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B374F" w14:textId="425EAAA5" w:rsidR="005E0247" w:rsidRDefault="005E0247" w:rsidP="00C32037">
      <w:pPr>
        <w:spacing w:after="0" w:line="240" w:lineRule="auto"/>
        <w:jc w:val="center"/>
      </w:pPr>
    </w:p>
    <w:p w14:paraId="6BF5BAAC" w14:textId="77777777" w:rsidR="00A606BB" w:rsidRDefault="00A606BB" w:rsidP="00C32037">
      <w:pPr>
        <w:spacing w:after="0" w:line="240" w:lineRule="auto"/>
      </w:pPr>
    </w:p>
    <w:p w14:paraId="4D0744AE" w14:textId="77777777" w:rsidR="00A606BB" w:rsidRDefault="00A606BB" w:rsidP="00C32037">
      <w:pPr>
        <w:spacing w:after="0" w:line="240" w:lineRule="auto"/>
      </w:pPr>
    </w:p>
    <w:p w14:paraId="2AE2AC24" w14:textId="77777777" w:rsidR="00A606BB" w:rsidRDefault="00A606BB" w:rsidP="00C32037">
      <w:pPr>
        <w:spacing w:after="0" w:line="240" w:lineRule="auto"/>
      </w:pPr>
    </w:p>
    <w:p w14:paraId="1E654845" w14:textId="77777777" w:rsidR="00A606BB" w:rsidRDefault="00A606BB" w:rsidP="00C32037">
      <w:pPr>
        <w:spacing w:after="0" w:line="240" w:lineRule="auto"/>
      </w:pPr>
    </w:p>
    <w:p w14:paraId="2E92493F" w14:textId="77777777" w:rsidR="00A606BB" w:rsidRPr="00A220FE" w:rsidRDefault="00A606BB" w:rsidP="00C32037">
      <w:pPr>
        <w:spacing w:after="0" w:line="240" w:lineRule="auto"/>
        <w:jc w:val="center"/>
        <w:rPr>
          <w:sz w:val="52"/>
          <w:szCs w:val="52"/>
        </w:rPr>
      </w:pPr>
      <w:r w:rsidRPr="00A220FE">
        <w:rPr>
          <w:sz w:val="52"/>
          <w:szCs w:val="52"/>
        </w:rPr>
        <w:t>AANBESTEDINGSLEIDRAAD</w:t>
      </w:r>
    </w:p>
    <w:p w14:paraId="3D10C8FC" w14:textId="77777777" w:rsidR="00A220FE" w:rsidRDefault="00A220FE" w:rsidP="00C32037">
      <w:pPr>
        <w:spacing w:after="0" w:line="240" w:lineRule="auto"/>
        <w:jc w:val="center"/>
        <w:rPr>
          <w:sz w:val="36"/>
          <w:szCs w:val="36"/>
        </w:rPr>
      </w:pPr>
    </w:p>
    <w:p w14:paraId="47FB2FE2" w14:textId="33258B2E" w:rsidR="00A606BB" w:rsidRPr="00A220FE" w:rsidRDefault="00316E2A" w:rsidP="00C32037">
      <w:pPr>
        <w:spacing w:after="0" w:line="240" w:lineRule="auto"/>
        <w:jc w:val="center"/>
        <w:rPr>
          <w:b/>
          <w:sz w:val="36"/>
          <w:szCs w:val="36"/>
        </w:rPr>
      </w:pPr>
      <w:r>
        <w:rPr>
          <w:b/>
          <w:sz w:val="36"/>
          <w:szCs w:val="36"/>
        </w:rPr>
        <w:t xml:space="preserve">Levering </w:t>
      </w:r>
      <w:r w:rsidR="00F9262B">
        <w:rPr>
          <w:b/>
          <w:sz w:val="36"/>
          <w:szCs w:val="36"/>
        </w:rPr>
        <w:t xml:space="preserve">Duurzame </w:t>
      </w:r>
      <w:r w:rsidR="00C85461">
        <w:rPr>
          <w:b/>
          <w:sz w:val="36"/>
          <w:szCs w:val="36"/>
        </w:rPr>
        <w:t xml:space="preserve">Elektriciteit en </w:t>
      </w:r>
      <w:r w:rsidR="00387DF3">
        <w:rPr>
          <w:b/>
          <w:sz w:val="36"/>
          <w:szCs w:val="36"/>
        </w:rPr>
        <w:t>Aardg</w:t>
      </w:r>
      <w:r w:rsidR="00C85461">
        <w:rPr>
          <w:b/>
          <w:sz w:val="36"/>
          <w:szCs w:val="36"/>
        </w:rPr>
        <w:t>as</w:t>
      </w:r>
    </w:p>
    <w:p w14:paraId="0A68BDC2" w14:textId="77777777" w:rsidR="00A220FE" w:rsidRDefault="00A220FE" w:rsidP="00C32037">
      <w:pPr>
        <w:spacing w:after="0" w:line="240" w:lineRule="auto"/>
        <w:jc w:val="center"/>
        <w:rPr>
          <w:sz w:val="36"/>
          <w:szCs w:val="36"/>
        </w:rPr>
      </w:pPr>
    </w:p>
    <w:p w14:paraId="6F4467FB" w14:textId="77777777" w:rsidR="00AD13F9" w:rsidRPr="0003355E" w:rsidRDefault="00AD13F9" w:rsidP="00C32037">
      <w:pPr>
        <w:spacing w:after="0" w:line="240" w:lineRule="auto"/>
        <w:jc w:val="center"/>
        <w:rPr>
          <w:sz w:val="32"/>
          <w:szCs w:val="32"/>
        </w:rPr>
      </w:pPr>
      <w:r w:rsidRPr="0003355E">
        <w:rPr>
          <w:sz w:val="32"/>
          <w:szCs w:val="32"/>
        </w:rPr>
        <w:t xml:space="preserve">Ten behoeve van gemeente </w:t>
      </w:r>
    </w:p>
    <w:p w14:paraId="2E560457" w14:textId="5FDC9EA1" w:rsidR="00AD13F9" w:rsidRPr="0003355E" w:rsidRDefault="00AD13F9" w:rsidP="00C32037">
      <w:pPr>
        <w:spacing w:after="0" w:line="240" w:lineRule="auto"/>
        <w:jc w:val="center"/>
        <w:rPr>
          <w:sz w:val="32"/>
          <w:szCs w:val="32"/>
        </w:rPr>
      </w:pPr>
      <w:r w:rsidRPr="0003355E">
        <w:rPr>
          <w:sz w:val="32"/>
          <w:szCs w:val="32"/>
        </w:rPr>
        <w:t>Barendrecht, Albrandswa</w:t>
      </w:r>
      <w:r w:rsidR="003B702C" w:rsidRPr="0003355E">
        <w:rPr>
          <w:sz w:val="32"/>
          <w:szCs w:val="32"/>
        </w:rPr>
        <w:t>a</w:t>
      </w:r>
      <w:r w:rsidRPr="0003355E">
        <w:rPr>
          <w:sz w:val="32"/>
          <w:szCs w:val="32"/>
        </w:rPr>
        <w:t>rd en Ridderkerk</w:t>
      </w:r>
    </w:p>
    <w:p w14:paraId="34F156B2" w14:textId="35A0AF50" w:rsidR="00A606BB" w:rsidRDefault="00A606BB" w:rsidP="00C32037">
      <w:pPr>
        <w:spacing w:after="0" w:line="240" w:lineRule="auto"/>
      </w:pPr>
    </w:p>
    <w:p w14:paraId="2997C361" w14:textId="77777777" w:rsidR="00A606BB" w:rsidRDefault="00A606BB" w:rsidP="00C32037">
      <w:pPr>
        <w:spacing w:after="0" w:line="240" w:lineRule="auto"/>
      </w:pPr>
    </w:p>
    <w:p w14:paraId="3E2F3C7A" w14:textId="77777777" w:rsidR="00A606BB" w:rsidRDefault="00A606BB" w:rsidP="00C32037">
      <w:pPr>
        <w:spacing w:after="0" w:line="240" w:lineRule="auto"/>
      </w:pPr>
    </w:p>
    <w:p w14:paraId="352FDECD" w14:textId="77777777" w:rsidR="00A606BB" w:rsidRDefault="00A606BB" w:rsidP="00C32037">
      <w:pPr>
        <w:spacing w:after="0" w:line="240" w:lineRule="auto"/>
      </w:pPr>
    </w:p>
    <w:p w14:paraId="08832715" w14:textId="77777777" w:rsidR="00A606BB" w:rsidRDefault="00A606BB" w:rsidP="00C32037">
      <w:pPr>
        <w:spacing w:after="0" w:line="240" w:lineRule="auto"/>
      </w:pPr>
    </w:p>
    <w:p w14:paraId="2A7F047B" w14:textId="77777777" w:rsidR="00A606BB" w:rsidRDefault="00A606BB" w:rsidP="00C32037">
      <w:pPr>
        <w:spacing w:after="0" w:line="240" w:lineRule="auto"/>
      </w:pPr>
    </w:p>
    <w:p w14:paraId="65DBB0D5" w14:textId="77777777" w:rsidR="00A606BB" w:rsidRDefault="00A606BB" w:rsidP="00C32037">
      <w:pPr>
        <w:spacing w:after="0" w:line="240" w:lineRule="auto"/>
      </w:pPr>
    </w:p>
    <w:p w14:paraId="381BC687" w14:textId="77777777" w:rsidR="00A606BB" w:rsidRDefault="00A606BB" w:rsidP="00C32037">
      <w:pPr>
        <w:spacing w:after="0" w:line="240" w:lineRule="auto"/>
      </w:pPr>
    </w:p>
    <w:p w14:paraId="1C9BF925" w14:textId="77777777" w:rsidR="00A606BB" w:rsidRDefault="00A606BB" w:rsidP="00C32037">
      <w:pPr>
        <w:spacing w:after="0" w:line="240" w:lineRule="auto"/>
      </w:pPr>
    </w:p>
    <w:p w14:paraId="26B1BA96" w14:textId="77777777" w:rsidR="00A606BB" w:rsidRDefault="00A606BB" w:rsidP="00C32037">
      <w:pPr>
        <w:spacing w:after="0" w:line="240" w:lineRule="auto"/>
      </w:pPr>
    </w:p>
    <w:p w14:paraId="0B4FE489" w14:textId="77777777" w:rsidR="00A606BB" w:rsidRDefault="00A606BB" w:rsidP="00C32037">
      <w:pPr>
        <w:spacing w:after="0" w:line="240" w:lineRule="auto"/>
      </w:pPr>
    </w:p>
    <w:p w14:paraId="12FF1FA8" w14:textId="71B608FE" w:rsidR="00A606BB" w:rsidRDefault="00A606BB" w:rsidP="00C32037">
      <w:pPr>
        <w:spacing w:after="0" w:line="240" w:lineRule="auto"/>
      </w:pPr>
    </w:p>
    <w:p w14:paraId="6F83EC69" w14:textId="77777777" w:rsidR="005B67CF" w:rsidRDefault="005B67CF" w:rsidP="00C32037">
      <w:pPr>
        <w:spacing w:after="0" w:line="240" w:lineRule="auto"/>
      </w:pPr>
    </w:p>
    <w:p w14:paraId="606E393C" w14:textId="77777777" w:rsidR="00A606BB" w:rsidRDefault="00A606BB" w:rsidP="00C32037">
      <w:pPr>
        <w:spacing w:after="0" w:line="240" w:lineRule="auto"/>
      </w:pPr>
    </w:p>
    <w:p w14:paraId="7F969E64" w14:textId="77777777" w:rsidR="00A606BB" w:rsidRDefault="00A606BB" w:rsidP="00C32037">
      <w:pPr>
        <w:spacing w:after="0" w:line="240" w:lineRule="auto"/>
      </w:pPr>
    </w:p>
    <w:p w14:paraId="50475C3C" w14:textId="1328DB3A" w:rsidR="00A606BB" w:rsidRDefault="00A606BB" w:rsidP="00C32037">
      <w:pPr>
        <w:spacing w:after="0" w:line="240" w:lineRule="auto"/>
      </w:pPr>
    </w:p>
    <w:p w14:paraId="216EEF0D" w14:textId="53281AB8" w:rsidR="005B67CF" w:rsidRDefault="005B67CF" w:rsidP="00C32037">
      <w:pPr>
        <w:spacing w:after="0" w:line="240" w:lineRule="auto"/>
      </w:pPr>
    </w:p>
    <w:p w14:paraId="4495DA69" w14:textId="598E178C" w:rsidR="005B67CF" w:rsidRDefault="005B67CF" w:rsidP="00C32037">
      <w:pPr>
        <w:spacing w:after="0" w:line="240" w:lineRule="auto"/>
      </w:pPr>
    </w:p>
    <w:p w14:paraId="3B2A3073" w14:textId="0924BA2C" w:rsidR="005B67CF" w:rsidRDefault="005B67CF" w:rsidP="00C32037">
      <w:pPr>
        <w:spacing w:after="0" w:line="240" w:lineRule="auto"/>
      </w:pPr>
    </w:p>
    <w:p w14:paraId="6106E733" w14:textId="77777777" w:rsidR="005B67CF" w:rsidRDefault="005B67CF" w:rsidP="00C32037">
      <w:pPr>
        <w:spacing w:after="0" w:line="240" w:lineRule="auto"/>
      </w:pPr>
    </w:p>
    <w:p w14:paraId="7539341F" w14:textId="3ABB0E51" w:rsidR="005B67CF" w:rsidRDefault="005B67CF" w:rsidP="00C32037">
      <w:pPr>
        <w:spacing w:after="0" w:line="240" w:lineRule="auto"/>
      </w:pPr>
    </w:p>
    <w:p w14:paraId="3521118B" w14:textId="77777777" w:rsidR="005B67CF" w:rsidRDefault="005B67CF" w:rsidP="00C32037">
      <w:pPr>
        <w:spacing w:after="0" w:line="240" w:lineRule="auto"/>
      </w:pPr>
    </w:p>
    <w:p w14:paraId="5CAA5804" w14:textId="7BF38953" w:rsidR="00A606BB" w:rsidRPr="005B67CF" w:rsidRDefault="00075BF8" w:rsidP="00C32037">
      <w:pPr>
        <w:spacing w:after="0" w:line="240" w:lineRule="auto"/>
        <w:rPr>
          <w:sz w:val="20"/>
          <w:szCs w:val="20"/>
        </w:rPr>
      </w:pPr>
      <w:r>
        <w:rPr>
          <w:sz w:val="20"/>
          <w:szCs w:val="20"/>
        </w:rPr>
        <w:t>TenderNed-nummer</w:t>
      </w:r>
      <w:r>
        <w:rPr>
          <w:sz w:val="20"/>
          <w:szCs w:val="20"/>
        </w:rPr>
        <w:tab/>
        <w:t>: BAR-</w:t>
      </w:r>
      <w:r w:rsidR="00DA088B">
        <w:rPr>
          <w:sz w:val="20"/>
          <w:szCs w:val="20"/>
        </w:rPr>
        <w:t>314316</w:t>
      </w:r>
    </w:p>
    <w:p w14:paraId="0DFF72B7" w14:textId="77777777" w:rsidR="00A606BB" w:rsidRPr="005B67CF" w:rsidRDefault="00A606BB" w:rsidP="00C32037">
      <w:pPr>
        <w:spacing w:after="0" w:line="240" w:lineRule="auto"/>
        <w:rPr>
          <w:sz w:val="20"/>
          <w:szCs w:val="20"/>
        </w:rPr>
      </w:pPr>
      <w:r w:rsidRPr="005B67CF">
        <w:rPr>
          <w:sz w:val="20"/>
          <w:szCs w:val="20"/>
        </w:rPr>
        <w:t>Procedure</w:t>
      </w:r>
      <w:r w:rsidRPr="005B67CF">
        <w:rPr>
          <w:sz w:val="20"/>
          <w:szCs w:val="20"/>
        </w:rPr>
        <w:tab/>
      </w:r>
      <w:r w:rsidRPr="005B67CF">
        <w:rPr>
          <w:sz w:val="20"/>
          <w:szCs w:val="20"/>
        </w:rPr>
        <w:tab/>
        <w:t xml:space="preserve">: Europese Openbare Procedure </w:t>
      </w:r>
    </w:p>
    <w:p w14:paraId="1BE0811E" w14:textId="5532589F" w:rsidR="00A606BB" w:rsidRPr="005B67CF" w:rsidRDefault="00A606BB" w:rsidP="00C32037">
      <w:pPr>
        <w:spacing w:after="0" w:line="240" w:lineRule="auto"/>
        <w:rPr>
          <w:sz w:val="20"/>
          <w:szCs w:val="20"/>
        </w:rPr>
      </w:pPr>
      <w:r w:rsidRPr="005B67CF">
        <w:rPr>
          <w:sz w:val="20"/>
          <w:szCs w:val="20"/>
        </w:rPr>
        <w:t>Greenvalley-nummer</w:t>
      </w:r>
      <w:r w:rsidRPr="005B67CF">
        <w:rPr>
          <w:sz w:val="20"/>
          <w:szCs w:val="20"/>
        </w:rPr>
        <w:tab/>
        <w:t xml:space="preserve">: </w:t>
      </w:r>
      <w:r w:rsidR="00DA088B">
        <w:rPr>
          <w:sz w:val="20"/>
          <w:szCs w:val="20"/>
        </w:rPr>
        <w:t>308441</w:t>
      </w:r>
    </w:p>
    <w:p w14:paraId="0EC61CF1" w14:textId="7947882E" w:rsidR="0002174A" w:rsidRPr="005B67CF" w:rsidRDefault="002953A4" w:rsidP="00C32037">
      <w:pPr>
        <w:spacing w:after="0" w:line="240" w:lineRule="auto"/>
        <w:rPr>
          <w:sz w:val="20"/>
          <w:szCs w:val="20"/>
        </w:rPr>
      </w:pPr>
      <w:r>
        <w:rPr>
          <w:sz w:val="20"/>
          <w:szCs w:val="20"/>
        </w:rPr>
        <w:t>Aanbestedende dienst</w:t>
      </w:r>
      <w:r w:rsidR="00A220FE" w:rsidRPr="005B67CF">
        <w:rPr>
          <w:sz w:val="20"/>
          <w:szCs w:val="20"/>
        </w:rPr>
        <w:tab/>
        <w:t>: BAR-organisatie</w:t>
      </w:r>
    </w:p>
    <w:p w14:paraId="6150F023" w14:textId="77777777" w:rsidR="0002174A" w:rsidRPr="005B67CF" w:rsidRDefault="0002174A" w:rsidP="00C32037">
      <w:pPr>
        <w:spacing w:after="0" w:line="240" w:lineRule="auto"/>
        <w:rPr>
          <w:sz w:val="20"/>
          <w:szCs w:val="20"/>
        </w:rPr>
      </w:pPr>
    </w:p>
    <w:p w14:paraId="79195D75" w14:textId="77777777" w:rsidR="0002174A" w:rsidRPr="005B67CF" w:rsidRDefault="0002174A" w:rsidP="00C32037">
      <w:pPr>
        <w:spacing w:after="0" w:line="240" w:lineRule="auto"/>
        <w:rPr>
          <w:sz w:val="20"/>
          <w:szCs w:val="20"/>
        </w:rPr>
      </w:pPr>
    </w:p>
    <w:p w14:paraId="5D233D2D" w14:textId="77777777" w:rsidR="0002174A" w:rsidRPr="005B67CF" w:rsidRDefault="0002174A" w:rsidP="00C32037">
      <w:pPr>
        <w:spacing w:after="0" w:line="240" w:lineRule="auto"/>
        <w:rPr>
          <w:sz w:val="20"/>
          <w:szCs w:val="20"/>
        </w:rPr>
      </w:pPr>
    </w:p>
    <w:p w14:paraId="7A7ACE77" w14:textId="77777777" w:rsidR="0002174A" w:rsidRPr="005B67CF" w:rsidRDefault="0002174A" w:rsidP="00C32037">
      <w:pPr>
        <w:spacing w:after="0" w:line="240" w:lineRule="auto"/>
        <w:rPr>
          <w:sz w:val="20"/>
          <w:szCs w:val="20"/>
        </w:rPr>
      </w:pPr>
    </w:p>
    <w:p w14:paraId="544FA391" w14:textId="6D6DFC1A" w:rsidR="0002174A" w:rsidRPr="005B67CF" w:rsidRDefault="00DB3B9C" w:rsidP="00C32037">
      <w:pPr>
        <w:spacing w:after="0" w:line="240" w:lineRule="auto"/>
        <w:rPr>
          <w:sz w:val="20"/>
          <w:szCs w:val="20"/>
        </w:rPr>
      </w:pPr>
      <w:r>
        <w:rPr>
          <w:sz w:val="20"/>
          <w:szCs w:val="20"/>
        </w:rPr>
        <w:t>Status</w:t>
      </w:r>
      <w:r>
        <w:rPr>
          <w:sz w:val="20"/>
          <w:szCs w:val="20"/>
        </w:rPr>
        <w:tab/>
      </w:r>
      <w:r>
        <w:rPr>
          <w:sz w:val="20"/>
          <w:szCs w:val="20"/>
        </w:rPr>
        <w:tab/>
      </w:r>
      <w:r>
        <w:rPr>
          <w:sz w:val="20"/>
          <w:szCs w:val="20"/>
        </w:rPr>
        <w:tab/>
        <w:t>: definitief</w:t>
      </w:r>
    </w:p>
    <w:p w14:paraId="0E42CC1E" w14:textId="1D057591" w:rsidR="0002174A" w:rsidRPr="005B67CF" w:rsidRDefault="00281C4B" w:rsidP="00C32037">
      <w:pPr>
        <w:spacing w:after="0" w:line="240" w:lineRule="auto"/>
        <w:rPr>
          <w:sz w:val="20"/>
          <w:szCs w:val="20"/>
        </w:rPr>
      </w:pPr>
      <w:r w:rsidRPr="005B67CF">
        <w:rPr>
          <w:sz w:val="20"/>
          <w:szCs w:val="20"/>
        </w:rPr>
        <w:t>Datum</w:t>
      </w:r>
      <w:r w:rsidRPr="005B67CF">
        <w:rPr>
          <w:sz w:val="20"/>
          <w:szCs w:val="20"/>
        </w:rPr>
        <w:tab/>
      </w:r>
      <w:r w:rsidRPr="005B67CF">
        <w:rPr>
          <w:sz w:val="20"/>
          <w:szCs w:val="20"/>
        </w:rPr>
        <w:tab/>
      </w:r>
      <w:r w:rsidRPr="005B67CF">
        <w:rPr>
          <w:sz w:val="20"/>
          <w:szCs w:val="20"/>
        </w:rPr>
        <w:tab/>
        <w:t xml:space="preserve">: </w:t>
      </w:r>
      <w:r w:rsidR="00C0049C">
        <w:rPr>
          <w:sz w:val="20"/>
          <w:szCs w:val="20"/>
        </w:rPr>
        <w:t>14</w:t>
      </w:r>
      <w:r w:rsidR="00EC112B">
        <w:rPr>
          <w:sz w:val="20"/>
          <w:szCs w:val="20"/>
        </w:rPr>
        <w:t xml:space="preserve"> juni</w:t>
      </w:r>
      <w:r w:rsidR="00387DF3">
        <w:rPr>
          <w:sz w:val="20"/>
          <w:szCs w:val="20"/>
        </w:rPr>
        <w:t xml:space="preserve"> 2021</w:t>
      </w:r>
    </w:p>
    <w:p w14:paraId="339D5797" w14:textId="77777777" w:rsidR="00A606BB" w:rsidRDefault="00A606BB" w:rsidP="00C32037">
      <w:pPr>
        <w:spacing w:after="0" w:line="240" w:lineRule="auto"/>
      </w:pPr>
    </w:p>
    <w:p w14:paraId="54A8D6CD" w14:textId="263A95D4" w:rsidR="00A606BB" w:rsidRPr="000E0DBC" w:rsidRDefault="00AD13F9" w:rsidP="00C32037">
      <w:pPr>
        <w:spacing w:after="0" w:line="240" w:lineRule="auto"/>
        <w:rPr>
          <w:b/>
          <w:sz w:val="28"/>
          <w:szCs w:val="28"/>
        </w:rPr>
      </w:pPr>
      <w:bookmarkStart w:id="0" w:name="_Toc34046989"/>
      <w:r>
        <w:rPr>
          <w:b/>
          <w:sz w:val="28"/>
          <w:szCs w:val="28"/>
        </w:rPr>
        <w:br w:type="page"/>
      </w:r>
      <w:r w:rsidR="000E0DBC" w:rsidRPr="000E0DBC">
        <w:rPr>
          <w:b/>
          <w:sz w:val="28"/>
          <w:szCs w:val="28"/>
        </w:rPr>
        <w:lastRenderedPageBreak/>
        <w:t>Inhoudsopgave</w:t>
      </w:r>
      <w:bookmarkEnd w:id="0"/>
      <w:r w:rsidR="000E0DBC" w:rsidRPr="000E0DBC">
        <w:rPr>
          <w:b/>
          <w:sz w:val="28"/>
          <w:szCs w:val="28"/>
        </w:rPr>
        <w:t xml:space="preserve"> </w:t>
      </w:r>
    </w:p>
    <w:p w14:paraId="585D5948" w14:textId="7E6AFB9D" w:rsidR="00E874E5" w:rsidRDefault="005E0247">
      <w:pPr>
        <w:pStyle w:val="Inhopg1"/>
        <w:tabs>
          <w:tab w:val="right" w:leader="dot" w:pos="9062"/>
        </w:tabs>
        <w:rPr>
          <w:rFonts w:eastAsiaTheme="minorEastAsia"/>
          <w:noProof/>
          <w:lang w:eastAsia="nl-NL"/>
        </w:rPr>
      </w:pPr>
      <w:r>
        <w:fldChar w:fldCharType="begin"/>
      </w:r>
      <w:r>
        <w:instrText xml:space="preserve"> TOC \o "1-4" \h \z \u </w:instrText>
      </w:r>
      <w:r>
        <w:fldChar w:fldCharType="separate"/>
      </w:r>
      <w:hyperlink w:anchor="_Toc74563078" w:history="1">
        <w:r w:rsidR="00E874E5" w:rsidRPr="007401A4">
          <w:rPr>
            <w:rStyle w:val="Hyperlink"/>
            <w:noProof/>
          </w:rPr>
          <w:t>Begrippenlijst</w:t>
        </w:r>
        <w:r w:rsidR="00E874E5">
          <w:rPr>
            <w:noProof/>
            <w:webHidden/>
          </w:rPr>
          <w:tab/>
        </w:r>
        <w:r w:rsidR="00E874E5">
          <w:rPr>
            <w:noProof/>
            <w:webHidden/>
          </w:rPr>
          <w:fldChar w:fldCharType="begin"/>
        </w:r>
        <w:r w:rsidR="00E874E5">
          <w:rPr>
            <w:noProof/>
            <w:webHidden/>
          </w:rPr>
          <w:instrText xml:space="preserve"> PAGEREF _Toc74563078 \h </w:instrText>
        </w:r>
        <w:r w:rsidR="00E874E5">
          <w:rPr>
            <w:noProof/>
            <w:webHidden/>
          </w:rPr>
        </w:r>
        <w:r w:rsidR="00E874E5">
          <w:rPr>
            <w:noProof/>
            <w:webHidden/>
          </w:rPr>
          <w:fldChar w:fldCharType="separate"/>
        </w:r>
        <w:r w:rsidR="00E874E5">
          <w:rPr>
            <w:noProof/>
            <w:webHidden/>
          </w:rPr>
          <w:t>4</w:t>
        </w:r>
        <w:r w:rsidR="00E874E5">
          <w:rPr>
            <w:noProof/>
            <w:webHidden/>
          </w:rPr>
          <w:fldChar w:fldCharType="end"/>
        </w:r>
      </w:hyperlink>
    </w:p>
    <w:p w14:paraId="1036F8B3" w14:textId="0F146D26" w:rsidR="00E874E5" w:rsidRDefault="00DB3B9C">
      <w:pPr>
        <w:pStyle w:val="Inhopg1"/>
        <w:tabs>
          <w:tab w:val="right" w:leader="dot" w:pos="9062"/>
        </w:tabs>
        <w:rPr>
          <w:rFonts w:eastAsiaTheme="minorEastAsia"/>
          <w:noProof/>
          <w:lang w:eastAsia="nl-NL"/>
        </w:rPr>
      </w:pPr>
      <w:hyperlink w:anchor="_Toc74563079" w:history="1">
        <w:r w:rsidR="00E874E5" w:rsidRPr="007401A4">
          <w:rPr>
            <w:rStyle w:val="Hyperlink"/>
            <w:noProof/>
          </w:rPr>
          <w:t>Aanbestedingsdocumenten</w:t>
        </w:r>
        <w:r w:rsidR="00E874E5">
          <w:rPr>
            <w:noProof/>
            <w:webHidden/>
          </w:rPr>
          <w:tab/>
        </w:r>
        <w:r w:rsidR="00E874E5">
          <w:rPr>
            <w:noProof/>
            <w:webHidden/>
          </w:rPr>
          <w:fldChar w:fldCharType="begin"/>
        </w:r>
        <w:r w:rsidR="00E874E5">
          <w:rPr>
            <w:noProof/>
            <w:webHidden/>
          </w:rPr>
          <w:instrText xml:space="preserve"> PAGEREF _Toc74563079 \h </w:instrText>
        </w:r>
        <w:r w:rsidR="00E874E5">
          <w:rPr>
            <w:noProof/>
            <w:webHidden/>
          </w:rPr>
        </w:r>
        <w:r w:rsidR="00E874E5">
          <w:rPr>
            <w:noProof/>
            <w:webHidden/>
          </w:rPr>
          <w:fldChar w:fldCharType="separate"/>
        </w:r>
        <w:r w:rsidR="00E874E5">
          <w:rPr>
            <w:noProof/>
            <w:webHidden/>
          </w:rPr>
          <w:t>9</w:t>
        </w:r>
        <w:r w:rsidR="00E874E5">
          <w:rPr>
            <w:noProof/>
            <w:webHidden/>
          </w:rPr>
          <w:fldChar w:fldCharType="end"/>
        </w:r>
      </w:hyperlink>
    </w:p>
    <w:p w14:paraId="27EFA0D4" w14:textId="52A80DDB" w:rsidR="00E874E5" w:rsidRDefault="00DB3B9C">
      <w:pPr>
        <w:pStyle w:val="Inhopg1"/>
        <w:tabs>
          <w:tab w:val="right" w:leader="dot" w:pos="9062"/>
        </w:tabs>
        <w:rPr>
          <w:rFonts w:eastAsiaTheme="minorEastAsia"/>
          <w:noProof/>
          <w:lang w:eastAsia="nl-NL"/>
        </w:rPr>
      </w:pPr>
      <w:hyperlink w:anchor="_Toc74563080" w:history="1">
        <w:r w:rsidR="00E874E5" w:rsidRPr="007401A4">
          <w:rPr>
            <w:rStyle w:val="Hyperlink"/>
            <w:noProof/>
          </w:rPr>
          <w:t>Algemene informatie</w:t>
        </w:r>
        <w:r w:rsidR="00E874E5">
          <w:rPr>
            <w:noProof/>
            <w:webHidden/>
          </w:rPr>
          <w:tab/>
        </w:r>
        <w:r w:rsidR="00E874E5">
          <w:rPr>
            <w:noProof/>
            <w:webHidden/>
          </w:rPr>
          <w:fldChar w:fldCharType="begin"/>
        </w:r>
        <w:r w:rsidR="00E874E5">
          <w:rPr>
            <w:noProof/>
            <w:webHidden/>
          </w:rPr>
          <w:instrText xml:space="preserve"> PAGEREF _Toc74563080 \h </w:instrText>
        </w:r>
        <w:r w:rsidR="00E874E5">
          <w:rPr>
            <w:noProof/>
            <w:webHidden/>
          </w:rPr>
        </w:r>
        <w:r w:rsidR="00E874E5">
          <w:rPr>
            <w:noProof/>
            <w:webHidden/>
          </w:rPr>
          <w:fldChar w:fldCharType="separate"/>
        </w:r>
        <w:r w:rsidR="00E874E5">
          <w:rPr>
            <w:noProof/>
            <w:webHidden/>
          </w:rPr>
          <w:t>10</w:t>
        </w:r>
        <w:r w:rsidR="00E874E5">
          <w:rPr>
            <w:noProof/>
            <w:webHidden/>
          </w:rPr>
          <w:fldChar w:fldCharType="end"/>
        </w:r>
      </w:hyperlink>
    </w:p>
    <w:p w14:paraId="2EF9A887" w14:textId="71510BB1" w:rsidR="00E874E5" w:rsidRDefault="00DB3B9C">
      <w:pPr>
        <w:pStyle w:val="Inhopg2"/>
        <w:tabs>
          <w:tab w:val="left" w:pos="880"/>
          <w:tab w:val="right" w:leader="dot" w:pos="9062"/>
        </w:tabs>
        <w:rPr>
          <w:rFonts w:eastAsiaTheme="minorEastAsia"/>
          <w:noProof/>
          <w:lang w:eastAsia="nl-NL"/>
        </w:rPr>
      </w:pPr>
      <w:hyperlink w:anchor="_Toc74563081" w:history="1">
        <w:r w:rsidR="00E874E5" w:rsidRPr="007401A4">
          <w:rPr>
            <w:rStyle w:val="Hyperlink"/>
            <w:noProof/>
          </w:rPr>
          <w:t>1.1</w:t>
        </w:r>
        <w:r w:rsidR="00E874E5">
          <w:rPr>
            <w:rFonts w:eastAsiaTheme="minorEastAsia"/>
            <w:noProof/>
            <w:lang w:eastAsia="nl-NL"/>
          </w:rPr>
          <w:tab/>
        </w:r>
        <w:r w:rsidR="00E874E5" w:rsidRPr="007401A4">
          <w:rPr>
            <w:rStyle w:val="Hyperlink"/>
            <w:noProof/>
          </w:rPr>
          <w:t>Aanbestedende dienst</w:t>
        </w:r>
        <w:r w:rsidR="00E874E5">
          <w:rPr>
            <w:noProof/>
            <w:webHidden/>
          </w:rPr>
          <w:tab/>
        </w:r>
        <w:r w:rsidR="00E874E5">
          <w:rPr>
            <w:noProof/>
            <w:webHidden/>
          </w:rPr>
          <w:fldChar w:fldCharType="begin"/>
        </w:r>
        <w:r w:rsidR="00E874E5">
          <w:rPr>
            <w:noProof/>
            <w:webHidden/>
          </w:rPr>
          <w:instrText xml:space="preserve"> PAGEREF _Toc74563081 \h </w:instrText>
        </w:r>
        <w:r w:rsidR="00E874E5">
          <w:rPr>
            <w:noProof/>
            <w:webHidden/>
          </w:rPr>
        </w:r>
        <w:r w:rsidR="00E874E5">
          <w:rPr>
            <w:noProof/>
            <w:webHidden/>
          </w:rPr>
          <w:fldChar w:fldCharType="separate"/>
        </w:r>
        <w:r w:rsidR="00E874E5">
          <w:rPr>
            <w:noProof/>
            <w:webHidden/>
          </w:rPr>
          <w:t>10</w:t>
        </w:r>
        <w:r w:rsidR="00E874E5">
          <w:rPr>
            <w:noProof/>
            <w:webHidden/>
          </w:rPr>
          <w:fldChar w:fldCharType="end"/>
        </w:r>
      </w:hyperlink>
    </w:p>
    <w:p w14:paraId="3AC30FC5" w14:textId="73713E2E" w:rsidR="00E874E5" w:rsidRDefault="00DB3B9C">
      <w:pPr>
        <w:pStyle w:val="Inhopg3"/>
        <w:tabs>
          <w:tab w:val="right" w:leader="dot" w:pos="9062"/>
        </w:tabs>
        <w:rPr>
          <w:rFonts w:eastAsiaTheme="minorEastAsia"/>
          <w:noProof/>
          <w:lang w:eastAsia="nl-NL"/>
        </w:rPr>
      </w:pPr>
      <w:hyperlink w:anchor="_Toc74563082" w:history="1">
        <w:r w:rsidR="00E874E5" w:rsidRPr="007401A4">
          <w:rPr>
            <w:rStyle w:val="Hyperlink"/>
            <w:noProof/>
          </w:rPr>
          <w:t>1.1.1 Gegevens Aanbestedende dienst t.b.v. aanbesteding</w:t>
        </w:r>
        <w:r w:rsidR="00E874E5">
          <w:rPr>
            <w:noProof/>
            <w:webHidden/>
          </w:rPr>
          <w:tab/>
        </w:r>
        <w:r w:rsidR="00E874E5">
          <w:rPr>
            <w:noProof/>
            <w:webHidden/>
          </w:rPr>
          <w:fldChar w:fldCharType="begin"/>
        </w:r>
        <w:r w:rsidR="00E874E5">
          <w:rPr>
            <w:noProof/>
            <w:webHidden/>
          </w:rPr>
          <w:instrText xml:space="preserve"> PAGEREF _Toc74563082 \h </w:instrText>
        </w:r>
        <w:r w:rsidR="00E874E5">
          <w:rPr>
            <w:noProof/>
            <w:webHidden/>
          </w:rPr>
        </w:r>
        <w:r w:rsidR="00E874E5">
          <w:rPr>
            <w:noProof/>
            <w:webHidden/>
          </w:rPr>
          <w:fldChar w:fldCharType="separate"/>
        </w:r>
        <w:r w:rsidR="00E874E5">
          <w:rPr>
            <w:noProof/>
            <w:webHidden/>
          </w:rPr>
          <w:t>10</w:t>
        </w:r>
        <w:r w:rsidR="00E874E5">
          <w:rPr>
            <w:noProof/>
            <w:webHidden/>
          </w:rPr>
          <w:fldChar w:fldCharType="end"/>
        </w:r>
      </w:hyperlink>
    </w:p>
    <w:p w14:paraId="6840D267" w14:textId="276B6EAB" w:rsidR="00E874E5" w:rsidRDefault="00DB3B9C">
      <w:pPr>
        <w:pStyle w:val="Inhopg3"/>
        <w:tabs>
          <w:tab w:val="right" w:leader="dot" w:pos="9062"/>
        </w:tabs>
        <w:rPr>
          <w:rFonts w:eastAsiaTheme="minorEastAsia"/>
          <w:noProof/>
          <w:lang w:eastAsia="nl-NL"/>
        </w:rPr>
      </w:pPr>
      <w:hyperlink w:anchor="_Toc74563083" w:history="1">
        <w:r w:rsidR="00E874E5" w:rsidRPr="007401A4">
          <w:rPr>
            <w:rStyle w:val="Hyperlink"/>
            <w:noProof/>
          </w:rPr>
          <w:t>1.1.2 Gegevens Opdrachtgevers</w:t>
        </w:r>
        <w:r w:rsidR="00E874E5">
          <w:rPr>
            <w:noProof/>
            <w:webHidden/>
          </w:rPr>
          <w:tab/>
        </w:r>
        <w:r w:rsidR="00E874E5">
          <w:rPr>
            <w:noProof/>
            <w:webHidden/>
          </w:rPr>
          <w:fldChar w:fldCharType="begin"/>
        </w:r>
        <w:r w:rsidR="00E874E5">
          <w:rPr>
            <w:noProof/>
            <w:webHidden/>
          </w:rPr>
          <w:instrText xml:space="preserve"> PAGEREF _Toc74563083 \h </w:instrText>
        </w:r>
        <w:r w:rsidR="00E874E5">
          <w:rPr>
            <w:noProof/>
            <w:webHidden/>
          </w:rPr>
        </w:r>
        <w:r w:rsidR="00E874E5">
          <w:rPr>
            <w:noProof/>
            <w:webHidden/>
          </w:rPr>
          <w:fldChar w:fldCharType="separate"/>
        </w:r>
        <w:r w:rsidR="00E874E5">
          <w:rPr>
            <w:noProof/>
            <w:webHidden/>
          </w:rPr>
          <w:t>10</w:t>
        </w:r>
        <w:r w:rsidR="00E874E5">
          <w:rPr>
            <w:noProof/>
            <w:webHidden/>
          </w:rPr>
          <w:fldChar w:fldCharType="end"/>
        </w:r>
      </w:hyperlink>
    </w:p>
    <w:p w14:paraId="19D4B175" w14:textId="02D34D9F" w:rsidR="00E874E5" w:rsidRDefault="00DB3B9C">
      <w:pPr>
        <w:pStyle w:val="Inhopg2"/>
        <w:tabs>
          <w:tab w:val="right" w:leader="dot" w:pos="9062"/>
        </w:tabs>
        <w:rPr>
          <w:rFonts w:eastAsiaTheme="minorEastAsia"/>
          <w:noProof/>
          <w:lang w:eastAsia="nl-NL"/>
        </w:rPr>
      </w:pPr>
      <w:hyperlink w:anchor="_Toc74563084" w:history="1">
        <w:r w:rsidR="00E874E5" w:rsidRPr="007401A4">
          <w:rPr>
            <w:rStyle w:val="Hyperlink"/>
            <w:noProof/>
          </w:rPr>
          <w:t>1.2 Leeswijzer</w:t>
        </w:r>
        <w:r w:rsidR="00E874E5">
          <w:rPr>
            <w:noProof/>
            <w:webHidden/>
          </w:rPr>
          <w:tab/>
        </w:r>
        <w:r w:rsidR="00E874E5">
          <w:rPr>
            <w:noProof/>
            <w:webHidden/>
          </w:rPr>
          <w:fldChar w:fldCharType="begin"/>
        </w:r>
        <w:r w:rsidR="00E874E5">
          <w:rPr>
            <w:noProof/>
            <w:webHidden/>
          </w:rPr>
          <w:instrText xml:space="preserve"> PAGEREF _Toc74563084 \h </w:instrText>
        </w:r>
        <w:r w:rsidR="00E874E5">
          <w:rPr>
            <w:noProof/>
            <w:webHidden/>
          </w:rPr>
        </w:r>
        <w:r w:rsidR="00E874E5">
          <w:rPr>
            <w:noProof/>
            <w:webHidden/>
          </w:rPr>
          <w:fldChar w:fldCharType="separate"/>
        </w:r>
        <w:r w:rsidR="00E874E5">
          <w:rPr>
            <w:noProof/>
            <w:webHidden/>
          </w:rPr>
          <w:t>10</w:t>
        </w:r>
        <w:r w:rsidR="00E874E5">
          <w:rPr>
            <w:noProof/>
            <w:webHidden/>
          </w:rPr>
          <w:fldChar w:fldCharType="end"/>
        </w:r>
      </w:hyperlink>
    </w:p>
    <w:p w14:paraId="0FA88889" w14:textId="10952F64" w:rsidR="00E874E5" w:rsidRDefault="00DB3B9C">
      <w:pPr>
        <w:pStyle w:val="Inhopg1"/>
        <w:tabs>
          <w:tab w:val="left" w:pos="440"/>
          <w:tab w:val="right" w:leader="dot" w:pos="9062"/>
        </w:tabs>
        <w:rPr>
          <w:rFonts w:eastAsiaTheme="minorEastAsia"/>
          <w:noProof/>
          <w:lang w:eastAsia="nl-NL"/>
        </w:rPr>
      </w:pPr>
      <w:hyperlink w:anchor="_Toc74563085" w:history="1">
        <w:r w:rsidR="00E874E5" w:rsidRPr="007401A4">
          <w:rPr>
            <w:rStyle w:val="Hyperlink"/>
            <w:noProof/>
          </w:rPr>
          <w:t>2.</w:t>
        </w:r>
        <w:r w:rsidR="00E874E5">
          <w:rPr>
            <w:rFonts w:eastAsiaTheme="minorEastAsia"/>
            <w:noProof/>
            <w:lang w:eastAsia="nl-NL"/>
          </w:rPr>
          <w:tab/>
        </w:r>
        <w:r w:rsidR="00E874E5" w:rsidRPr="007401A4">
          <w:rPr>
            <w:rStyle w:val="Hyperlink"/>
            <w:noProof/>
          </w:rPr>
          <w:t>De Opdracht</w:t>
        </w:r>
        <w:r w:rsidR="00E874E5">
          <w:rPr>
            <w:noProof/>
            <w:webHidden/>
          </w:rPr>
          <w:tab/>
        </w:r>
        <w:r w:rsidR="00E874E5">
          <w:rPr>
            <w:noProof/>
            <w:webHidden/>
          </w:rPr>
          <w:fldChar w:fldCharType="begin"/>
        </w:r>
        <w:r w:rsidR="00E874E5">
          <w:rPr>
            <w:noProof/>
            <w:webHidden/>
          </w:rPr>
          <w:instrText xml:space="preserve"> PAGEREF _Toc74563085 \h </w:instrText>
        </w:r>
        <w:r w:rsidR="00E874E5">
          <w:rPr>
            <w:noProof/>
            <w:webHidden/>
          </w:rPr>
        </w:r>
        <w:r w:rsidR="00E874E5">
          <w:rPr>
            <w:noProof/>
            <w:webHidden/>
          </w:rPr>
          <w:fldChar w:fldCharType="separate"/>
        </w:r>
        <w:r w:rsidR="00E874E5">
          <w:rPr>
            <w:noProof/>
            <w:webHidden/>
          </w:rPr>
          <w:t>11</w:t>
        </w:r>
        <w:r w:rsidR="00E874E5">
          <w:rPr>
            <w:noProof/>
            <w:webHidden/>
          </w:rPr>
          <w:fldChar w:fldCharType="end"/>
        </w:r>
      </w:hyperlink>
    </w:p>
    <w:p w14:paraId="4F8A97A1" w14:textId="3DC22907" w:rsidR="00E874E5" w:rsidRDefault="00DB3B9C">
      <w:pPr>
        <w:pStyle w:val="Inhopg2"/>
        <w:tabs>
          <w:tab w:val="right" w:leader="dot" w:pos="9062"/>
        </w:tabs>
        <w:rPr>
          <w:rFonts w:eastAsiaTheme="minorEastAsia"/>
          <w:noProof/>
          <w:lang w:eastAsia="nl-NL"/>
        </w:rPr>
      </w:pPr>
      <w:hyperlink w:anchor="_Toc74563086" w:history="1">
        <w:r w:rsidR="00E874E5" w:rsidRPr="007401A4">
          <w:rPr>
            <w:rStyle w:val="Hyperlink"/>
            <w:noProof/>
          </w:rPr>
          <w:t>2.1 Algemene Omschrijving Opdracht</w:t>
        </w:r>
        <w:r w:rsidR="00E874E5">
          <w:rPr>
            <w:noProof/>
            <w:webHidden/>
          </w:rPr>
          <w:tab/>
        </w:r>
        <w:r w:rsidR="00E874E5">
          <w:rPr>
            <w:noProof/>
            <w:webHidden/>
          </w:rPr>
          <w:fldChar w:fldCharType="begin"/>
        </w:r>
        <w:r w:rsidR="00E874E5">
          <w:rPr>
            <w:noProof/>
            <w:webHidden/>
          </w:rPr>
          <w:instrText xml:space="preserve"> PAGEREF _Toc74563086 \h </w:instrText>
        </w:r>
        <w:r w:rsidR="00E874E5">
          <w:rPr>
            <w:noProof/>
            <w:webHidden/>
          </w:rPr>
        </w:r>
        <w:r w:rsidR="00E874E5">
          <w:rPr>
            <w:noProof/>
            <w:webHidden/>
          </w:rPr>
          <w:fldChar w:fldCharType="separate"/>
        </w:r>
        <w:r w:rsidR="00E874E5">
          <w:rPr>
            <w:noProof/>
            <w:webHidden/>
          </w:rPr>
          <w:t>11</w:t>
        </w:r>
        <w:r w:rsidR="00E874E5">
          <w:rPr>
            <w:noProof/>
            <w:webHidden/>
          </w:rPr>
          <w:fldChar w:fldCharType="end"/>
        </w:r>
      </w:hyperlink>
    </w:p>
    <w:p w14:paraId="12E7ED9B" w14:textId="5E5545DD" w:rsidR="00E874E5" w:rsidRDefault="00DB3B9C">
      <w:pPr>
        <w:pStyle w:val="Inhopg3"/>
        <w:tabs>
          <w:tab w:val="right" w:leader="dot" w:pos="9062"/>
        </w:tabs>
        <w:rPr>
          <w:rFonts w:eastAsiaTheme="minorEastAsia"/>
          <w:noProof/>
          <w:lang w:eastAsia="nl-NL"/>
        </w:rPr>
      </w:pPr>
      <w:hyperlink w:anchor="_Toc74563087" w:history="1">
        <w:r w:rsidR="00E874E5" w:rsidRPr="007401A4">
          <w:rPr>
            <w:rStyle w:val="Hyperlink"/>
            <w:noProof/>
          </w:rPr>
          <w:t>2.1.1 Geen Percelenregeling</w:t>
        </w:r>
        <w:r w:rsidR="00E874E5">
          <w:rPr>
            <w:noProof/>
            <w:webHidden/>
          </w:rPr>
          <w:tab/>
        </w:r>
        <w:r w:rsidR="00E874E5">
          <w:rPr>
            <w:noProof/>
            <w:webHidden/>
          </w:rPr>
          <w:fldChar w:fldCharType="begin"/>
        </w:r>
        <w:r w:rsidR="00E874E5">
          <w:rPr>
            <w:noProof/>
            <w:webHidden/>
          </w:rPr>
          <w:instrText xml:space="preserve"> PAGEREF _Toc74563087 \h </w:instrText>
        </w:r>
        <w:r w:rsidR="00E874E5">
          <w:rPr>
            <w:noProof/>
            <w:webHidden/>
          </w:rPr>
        </w:r>
        <w:r w:rsidR="00E874E5">
          <w:rPr>
            <w:noProof/>
            <w:webHidden/>
          </w:rPr>
          <w:fldChar w:fldCharType="separate"/>
        </w:r>
        <w:r w:rsidR="00E874E5">
          <w:rPr>
            <w:noProof/>
            <w:webHidden/>
          </w:rPr>
          <w:t>11</w:t>
        </w:r>
        <w:r w:rsidR="00E874E5">
          <w:rPr>
            <w:noProof/>
            <w:webHidden/>
          </w:rPr>
          <w:fldChar w:fldCharType="end"/>
        </w:r>
      </w:hyperlink>
    </w:p>
    <w:p w14:paraId="66931F49" w14:textId="61D43CDC" w:rsidR="00E874E5" w:rsidRDefault="00DB3B9C">
      <w:pPr>
        <w:pStyle w:val="Inhopg3"/>
        <w:tabs>
          <w:tab w:val="right" w:leader="dot" w:pos="9062"/>
        </w:tabs>
        <w:rPr>
          <w:rFonts w:eastAsiaTheme="minorEastAsia"/>
          <w:noProof/>
          <w:lang w:eastAsia="nl-NL"/>
        </w:rPr>
      </w:pPr>
      <w:hyperlink w:anchor="_Toc74563088" w:history="1">
        <w:r w:rsidR="00E874E5" w:rsidRPr="007401A4">
          <w:rPr>
            <w:rStyle w:val="Hyperlink"/>
            <w:noProof/>
          </w:rPr>
          <w:t>2.1.2 Rol Aanbestedende dienst t.a.v. Opdracht</w:t>
        </w:r>
        <w:r w:rsidR="00E874E5">
          <w:rPr>
            <w:noProof/>
            <w:webHidden/>
          </w:rPr>
          <w:tab/>
        </w:r>
        <w:r w:rsidR="00E874E5">
          <w:rPr>
            <w:noProof/>
            <w:webHidden/>
          </w:rPr>
          <w:fldChar w:fldCharType="begin"/>
        </w:r>
        <w:r w:rsidR="00E874E5">
          <w:rPr>
            <w:noProof/>
            <w:webHidden/>
          </w:rPr>
          <w:instrText xml:space="preserve"> PAGEREF _Toc74563088 \h </w:instrText>
        </w:r>
        <w:r w:rsidR="00E874E5">
          <w:rPr>
            <w:noProof/>
            <w:webHidden/>
          </w:rPr>
        </w:r>
        <w:r w:rsidR="00E874E5">
          <w:rPr>
            <w:noProof/>
            <w:webHidden/>
          </w:rPr>
          <w:fldChar w:fldCharType="separate"/>
        </w:r>
        <w:r w:rsidR="00E874E5">
          <w:rPr>
            <w:noProof/>
            <w:webHidden/>
          </w:rPr>
          <w:t>11</w:t>
        </w:r>
        <w:r w:rsidR="00E874E5">
          <w:rPr>
            <w:noProof/>
            <w:webHidden/>
          </w:rPr>
          <w:fldChar w:fldCharType="end"/>
        </w:r>
      </w:hyperlink>
    </w:p>
    <w:p w14:paraId="35241467" w14:textId="231B955E" w:rsidR="00E874E5" w:rsidRDefault="00DB3B9C">
      <w:pPr>
        <w:pStyle w:val="Inhopg2"/>
        <w:tabs>
          <w:tab w:val="right" w:leader="dot" w:pos="9062"/>
        </w:tabs>
        <w:rPr>
          <w:rFonts w:eastAsiaTheme="minorEastAsia"/>
          <w:noProof/>
          <w:lang w:eastAsia="nl-NL"/>
        </w:rPr>
      </w:pPr>
      <w:hyperlink w:anchor="_Toc74563089" w:history="1">
        <w:r w:rsidR="00E874E5" w:rsidRPr="007401A4">
          <w:rPr>
            <w:rStyle w:val="Hyperlink"/>
            <w:noProof/>
          </w:rPr>
          <w:t>2.2 Visie Opdrachtgever t.a.v. Aanbesteding/Inkopen</w:t>
        </w:r>
        <w:r w:rsidR="00E874E5">
          <w:rPr>
            <w:noProof/>
            <w:webHidden/>
          </w:rPr>
          <w:tab/>
        </w:r>
        <w:r w:rsidR="00E874E5">
          <w:rPr>
            <w:noProof/>
            <w:webHidden/>
          </w:rPr>
          <w:fldChar w:fldCharType="begin"/>
        </w:r>
        <w:r w:rsidR="00E874E5">
          <w:rPr>
            <w:noProof/>
            <w:webHidden/>
          </w:rPr>
          <w:instrText xml:space="preserve"> PAGEREF _Toc74563089 \h </w:instrText>
        </w:r>
        <w:r w:rsidR="00E874E5">
          <w:rPr>
            <w:noProof/>
            <w:webHidden/>
          </w:rPr>
        </w:r>
        <w:r w:rsidR="00E874E5">
          <w:rPr>
            <w:noProof/>
            <w:webHidden/>
          </w:rPr>
          <w:fldChar w:fldCharType="separate"/>
        </w:r>
        <w:r w:rsidR="00E874E5">
          <w:rPr>
            <w:noProof/>
            <w:webHidden/>
          </w:rPr>
          <w:t>12</w:t>
        </w:r>
        <w:r w:rsidR="00E874E5">
          <w:rPr>
            <w:noProof/>
            <w:webHidden/>
          </w:rPr>
          <w:fldChar w:fldCharType="end"/>
        </w:r>
      </w:hyperlink>
    </w:p>
    <w:p w14:paraId="442F87F0" w14:textId="66E6E390" w:rsidR="00E874E5" w:rsidRDefault="00DB3B9C">
      <w:pPr>
        <w:pStyle w:val="Inhopg3"/>
        <w:tabs>
          <w:tab w:val="right" w:leader="dot" w:pos="9062"/>
        </w:tabs>
        <w:rPr>
          <w:rFonts w:eastAsiaTheme="minorEastAsia"/>
          <w:noProof/>
          <w:lang w:eastAsia="nl-NL"/>
        </w:rPr>
      </w:pPr>
      <w:hyperlink w:anchor="_Toc74563090" w:history="1">
        <w:r w:rsidR="00E874E5" w:rsidRPr="007401A4">
          <w:rPr>
            <w:rStyle w:val="Hyperlink"/>
            <w:noProof/>
          </w:rPr>
          <w:t>2.2.1 Duurzaamheid en Maatschappelijk verantwoord inkopen</w:t>
        </w:r>
        <w:r w:rsidR="00E874E5">
          <w:rPr>
            <w:noProof/>
            <w:webHidden/>
          </w:rPr>
          <w:tab/>
        </w:r>
        <w:r w:rsidR="00E874E5">
          <w:rPr>
            <w:noProof/>
            <w:webHidden/>
          </w:rPr>
          <w:fldChar w:fldCharType="begin"/>
        </w:r>
        <w:r w:rsidR="00E874E5">
          <w:rPr>
            <w:noProof/>
            <w:webHidden/>
          </w:rPr>
          <w:instrText xml:space="preserve"> PAGEREF _Toc74563090 \h </w:instrText>
        </w:r>
        <w:r w:rsidR="00E874E5">
          <w:rPr>
            <w:noProof/>
            <w:webHidden/>
          </w:rPr>
        </w:r>
        <w:r w:rsidR="00E874E5">
          <w:rPr>
            <w:noProof/>
            <w:webHidden/>
          </w:rPr>
          <w:fldChar w:fldCharType="separate"/>
        </w:r>
        <w:r w:rsidR="00E874E5">
          <w:rPr>
            <w:noProof/>
            <w:webHidden/>
          </w:rPr>
          <w:t>12</w:t>
        </w:r>
        <w:r w:rsidR="00E874E5">
          <w:rPr>
            <w:noProof/>
            <w:webHidden/>
          </w:rPr>
          <w:fldChar w:fldCharType="end"/>
        </w:r>
      </w:hyperlink>
    </w:p>
    <w:p w14:paraId="6E7ED7D4" w14:textId="6D6CC398" w:rsidR="00E874E5" w:rsidRDefault="00DB3B9C">
      <w:pPr>
        <w:pStyle w:val="Inhopg3"/>
        <w:tabs>
          <w:tab w:val="right" w:leader="dot" w:pos="9062"/>
        </w:tabs>
        <w:rPr>
          <w:rFonts w:eastAsiaTheme="minorEastAsia"/>
          <w:noProof/>
          <w:lang w:eastAsia="nl-NL"/>
        </w:rPr>
      </w:pPr>
      <w:hyperlink w:anchor="_Toc74563091" w:history="1">
        <w:r w:rsidR="00E874E5" w:rsidRPr="007401A4">
          <w:rPr>
            <w:rStyle w:val="Hyperlink"/>
            <w:noProof/>
          </w:rPr>
          <w:t>2.2.2 Ambities Opdrachtgever</w:t>
        </w:r>
        <w:r w:rsidR="00E874E5">
          <w:rPr>
            <w:noProof/>
            <w:webHidden/>
          </w:rPr>
          <w:tab/>
        </w:r>
        <w:r w:rsidR="00E874E5">
          <w:rPr>
            <w:noProof/>
            <w:webHidden/>
          </w:rPr>
          <w:fldChar w:fldCharType="begin"/>
        </w:r>
        <w:r w:rsidR="00E874E5">
          <w:rPr>
            <w:noProof/>
            <w:webHidden/>
          </w:rPr>
          <w:instrText xml:space="preserve"> PAGEREF _Toc74563091 \h </w:instrText>
        </w:r>
        <w:r w:rsidR="00E874E5">
          <w:rPr>
            <w:noProof/>
            <w:webHidden/>
          </w:rPr>
        </w:r>
        <w:r w:rsidR="00E874E5">
          <w:rPr>
            <w:noProof/>
            <w:webHidden/>
          </w:rPr>
          <w:fldChar w:fldCharType="separate"/>
        </w:r>
        <w:r w:rsidR="00E874E5">
          <w:rPr>
            <w:noProof/>
            <w:webHidden/>
          </w:rPr>
          <w:t>12</w:t>
        </w:r>
        <w:r w:rsidR="00E874E5">
          <w:rPr>
            <w:noProof/>
            <w:webHidden/>
          </w:rPr>
          <w:fldChar w:fldCharType="end"/>
        </w:r>
      </w:hyperlink>
    </w:p>
    <w:p w14:paraId="132AD176" w14:textId="6B9A618A" w:rsidR="00E874E5" w:rsidRDefault="00DB3B9C">
      <w:pPr>
        <w:pStyle w:val="Inhopg2"/>
        <w:tabs>
          <w:tab w:val="right" w:leader="dot" w:pos="9062"/>
        </w:tabs>
        <w:rPr>
          <w:rFonts w:eastAsiaTheme="minorEastAsia"/>
          <w:noProof/>
          <w:lang w:eastAsia="nl-NL"/>
        </w:rPr>
      </w:pPr>
      <w:hyperlink w:anchor="_Toc74563092" w:history="1">
        <w:r w:rsidR="00E874E5" w:rsidRPr="007401A4">
          <w:rPr>
            <w:rStyle w:val="Hyperlink"/>
            <w:noProof/>
          </w:rPr>
          <w:t>2.3 Huidige aantal Aansluitingen en Volume</w:t>
        </w:r>
        <w:r w:rsidR="00E874E5">
          <w:rPr>
            <w:noProof/>
            <w:webHidden/>
          </w:rPr>
          <w:tab/>
        </w:r>
        <w:r w:rsidR="00E874E5">
          <w:rPr>
            <w:noProof/>
            <w:webHidden/>
          </w:rPr>
          <w:fldChar w:fldCharType="begin"/>
        </w:r>
        <w:r w:rsidR="00E874E5">
          <w:rPr>
            <w:noProof/>
            <w:webHidden/>
          </w:rPr>
          <w:instrText xml:space="preserve"> PAGEREF _Toc74563092 \h </w:instrText>
        </w:r>
        <w:r w:rsidR="00E874E5">
          <w:rPr>
            <w:noProof/>
            <w:webHidden/>
          </w:rPr>
        </w:r>
        <w:r w:rsidR="00E874E5">
          <w:rPr>
            <w:noProof/>
            <w:webHidden/>
          </w:rPr>
          <w:fldChar w:fldCharType="separate"/>
        </w:r>
        <w:r w:rsidR="00E874E5">
          <w:rPr>
            <w:noProof/>
            <w:webHidden/>
          </w:rPr>
          <w:t>12</w:t>
        </w:r>
        <w:r w:rsidR="00E874E5">
          <w:rPr>
            <w:noProof/>
            <w:webHidden/>
          </w:rPr>
          <w:fldChar w:fldCharType="end"/>
        </w:r>
      </w:hyperlink>
    </w:p>
    <w:p w14:paraId="6CB24FA4" w14:textId="0071863E" w:rsidR="00E874E5" w:rsidRDefault="00DB3B9C">
      <w:pPr>
        <w:pStyle w:val="Inhopg3"/>
        <w:tabs>
          <w:tab w:val="right" w:leader="dot" w:pos="9062"/>
        </w:tabs>
        <w:rPr>
          <w:rFonts w:eastAsiaTheme="minorEastAsia"/>
          <w:noProof/>
          <w:lang w:eastAsia="nl-NL"/>
        </w:rPr>
      </w:pPr>
      <w:hyperlink w:anchor="_Toc74563093" w:history="1">
        <w:r w:rsidR="00E874E5" w:rsidRPr="007401A4">
          <w:rPr>
            <w:rStyle w:val="Hyperlink"/>
            <w:noProof/>
          </w:rPr>
          <w:t>2.3.1 Aantal aansluitingen</w:t>
        </w:r>
        <w:r w:rsidR="00E874E5">
          <w:rPr>
            <w:noProof/>
            <w:webHidden/>
          </w:rPr>
          <w:tab/>
        </w:r>
        <w:r w:rsidR="00E874E5">
          <w:rPr>
            <w:noProof/>
            <w:webHidden/>
          </w:rPr>
          <w:fldChar w:fldCharType="begin"/>
        </w:r>
        <w:r w:rsidR="00E874E5">
          <w:rPr>
            <w:noProof/>
            <w:webHidden/>
          </w:rPr>
          <w:instrText xml:space="preserve"> PAGEREF _Toc74563093 \h </w:instrText>
        </w:r>
        <w:r w:rsidR="00E874E5">
          <w:rPr>
            <w:noProof/>
            <w:webHidden/>
          </w:rPr>
        </w:r>
        <w:r w:rsidR="00E874E5">
          <w:rPr>
            <w:noProof/>
            <w:webHidden/>
          </w:rPr>
          <w:fldChar w:fldCharType="separate"/>
        </w:r>
        <w:r w:rsidR="00E874E5">
          <w:rPr>
            <w:noProof/>
            <w:webHidden/>
          </w:rPr>
          <w:t>12</w:t>
        </w:r>
        <w:r w:rsidR="00E874E5">
          <w:rPr>
            <w:noProof/>
            <w:webHidden/>
          </w:rPr>
          <w:fldChar w:fldCharType="end"/>
        </w:r>
      </w:hyperlink>
    </w:p>
    <w:p w14:paraId="0FA63420" w14:textId="59E68435" w:rsidR="00E874E5" w:rsidRDefault="00DB3B9C">
      <w:pPr>
        <w:pStyle w:val="Inhopg3"/>
        <w:tabs>
          <w:tab w:val="right" w:leader="dot" w:pos="9062"/>
        </w:tabs>
        <w:rPr>
          <w:rFonts w:eastAsiaTheme="minorEastAsia"/>
          <w:noProof/>
          <w:lang w:eastAsia="nl-NL"/>
        </w:rPr>
      </w:pPr>
      <w:hyperlink w:anchor="_Toc74563094" w:history="1">
        <w:r w:rsidR="00E874E5" w:rsidRPr="007401A4">
          <w:rPr>
            <w:rStyle w:val="Hyperlink"/>
            <w:noProof/>
          </w:rPr>
          <w:t>2.3.2 Huidige Volume</w:t>
        </w:r>
        <w:r w:rsidR="00E874E5">
          <w:rPr>
            <w:noProof/>
            <w:webHidden/>
          </w:rPr>
          <w:tab/>
        </w:r>
        <w:r w:rsidR="00E874E5">
          <w:rPr>
            <w:noProof/>
            <w:webHidden/>
          </w:rPr>
          <w:fldChar w:fldCharType="begin"/>
        </w:r>
        <w:r w:rsidR="00E874E5">
          <w:rPr>
            <w:noProof/>
            <w:webHidden/>
          </w:rPr>
          <w:instrText xml:space="preserve"> PAGEREF _Toc74563094 \h </w:instrText>
        </w:r>
        <w:r w:rsidR="00E874E5">
          <w:rPr>
            <w:noProof/>
            <w:webHidden/>
          </w:rPr>
        </w:r>
        <w:r w:rsidR="00E874E5">
          <w:rPr>
            <w:noProof/>
            <w:webHidden/>
          </w:rPr>
          <w:fldChar w:fldCharType="separate"/>
        </w:r>
        <w:r w:rsidR="00E874E5">
          <w:rPr>
            <w:noProof/>
            <w:webHidden/>
          </w:rPr>
          <w:t>12</w:t>
        </w:r>
        <w:r w:rsidR="00E874E5">
          <w:rPr>
            <w:noProof/>
            <w:webHidden/>
          </w:rPr>
          <w:fldChar w:fldCharType="end"/>
        </w:r>
      </w:hyperlink>
    </w:p>
    <w:p w14:paraId="762A78AD" w14:textId="620A5742" w:rsidR="00E874E5" w:rsidRDefault="00DB3B9C">
      <w:pPr>
        <w:pStyle w:val="Inhopg3"/>
        <w:tabs>
          <w:tab w:val="right" w:leader="dot" w:pos="9062"/>
        </w:tabs>
        <w:rPr>
          <w:rFonts w:eastAsiaTheme="minorEastAsia"/>
          <w:noProof/>
          <w:lang w:eastAsia="nl-NL"/>
        </w:rPr>
      </w:pPr>
      <w:hyperlink w:anchor="_Toc74563095" w:history="1">
        <w:r w:rsidR="00E874E5" w:rsidRPr="007401A4">
          <w:rPr>
            <w:rStyle w:val="Hyperlink"/>
            <w:noProof/>
          </w:rPr>
          <w:t>2.3.3 Maximale afname en/of toename hoeveelheden</w:t>
        </w:r>
        <w:r w:rsidR="00E874E5">
          <w:rPr>
            <w:noProof/>
            <w:webHidden/>
          </w:rPr>
          <w:tab/>
        </w:r>
        <w:r w:rsidR="00E874E5">
          <w:rPr>
            <w:noProof/>
            <w:webHidden/>
          </w:rPr>
          <w:fldChar w:fldCharType="begin"/>
        </w:r>
        <w:r w:rsidR="00E874E5">
          <w:rPr>
            <w:noProof/>
            <w:webHidden/>
          </w:rPr>
          <w:instrText xml:space="preserve"> PAGEREF _Toc74563095 \h </w:instrText>
        </w:r>
        <w:r w:rsidR="00E874E5">
          <w:rPr>
            <w:noProof/>
            <w:webHidden/>
          </w:rPr>
        </w:r>
        <w:r w:rsidR="00E874E5">
          <w:rPr>
            <w:noProof/>
            <w:webHidden/>
          </w:rPr>
          <w:fldChar w:fldCharType="separate"/>
        </w:r>
        <w:r w:rsidR="00E874E5">
          <w:rPr>
            <w:noProof/>
            <w:webHidden/>
          </w:rPr>
          <w:t>13</w:t>
        </w:r>
        <w:r w:rsidR="00E874E5">
          <w:rPr>
            <w:noProof/>
            <w:webHidden/>
          </w:rPr>
          <w:fldChar w:fldCharType="end"/>
        </w:r>
      </w:hyperlink>
    </w:p>
    <w:p w14:paraId="566488DF" w14:textId="6EFA9090" w:rsidR="00E874E5" w:rsidRDefault="00DB3B9C">
      <w:pPr>
        <w:pStyle w:val="Inhopg2"/>
        <w:tabs>
          <w:tab w:val="right" w:leader="dot" w:pos="9062"/>
        </w:tabs>
        <w:rPr>
          <w:rFonts w:eastAsiaTheme="minorEastAsia"/>
          <w:noProof/>
          <w:lang w:eastAsia="nl-NL"/>
        </w:rPr>
      </w:pPr>
      <w:hyperlink w:anchor="_Toc74563096" w:history="1">
        <w:r w:rsidR="00E874E5" w:rsidRPr="007401A4">
          <w:rPr>
            <w:rStyle w:val="Hyperlink"/>
            <w:noProof/>
          </w:rPr>
          <w:t>2.4 Looptijd Overeenkomst Opdracht</w:t>
        </w:r>
        <w:r w:rsidR="00E874E5">
          <w:rPr>
            <w:noProof/>
            <w:webHidden/>
          </w:rPr>
          <w:tab/>
        </w:r>
        <w:r w:rsidR="00E874E5">
          <w:rPr>
            <w:noProof/>
            <w:webHidden/>
          </w:rPr>
          <w:fldChar w:fldCharType="begin"/>
        </w:r>
        <w:r w:rsidR="00E874E5">
          <w:rPr>
            <w:noProof/>
            <w:webHidden/>
          </w:rPr>
          <w:instrText xml:space="preserve"> PAGEREF _Toc74563096 \h </w:instrText>
        </w:r>
        <w:r w:rsidR="00E874E5">
          <w:rPr>
            <w:noProof/>
            <w:webHidden/>
          </w:rPr>
        </w:r>
        <w:r w:rsidR="00E874E5">
          <w:rPr>
            <w:noProof/>
            <w:webHidden/>
          </w:rPr>
          <w:fldChar w:fldCharType="separate"/>
        </w:r>
        <w:r w:rsidR="00E874E5">
          <w:rPr>
            <w:noProof/>
            <w:webHidden/>
          </w:rPr>
          <w:t>13</w:t>
        </w:r>
        <w:r w:rsidR="00E874E5">
          <w:rPr>
            <w:noProof/>
            <w:webHidden/>
          </w:rPr>
          <w:fldChar w:fldCharType="end"/>
        </w:r>
      </w:hyperlink>
    </w:p>
    <w:p w14:paraId="69E3AEF2" w14:textId="325EA973" w:rsidR="00E874E5" w:rsidRDefault="00DB3B9C">
      <w:pPr>
        <w:pStyle w:val="Inhopg2"/>
        <w:tabs>
          <w:tab w:val="right" w:leader="dot" w:pos="9062"/>
        </w:tabs>
        <w:rPr>
          <w:rFonts w:eastAsiaTheme="minorEastAsia"/>
          <w:noProof/>
          <w:lang w:eastAsia="nl-NL"/>
        </w:rPr>
      </w:pPr>
      <w:hyperlink w:anchor="_Toc74563097" w:history="1">
        <w:r w:rsidR="00E874E5" w:rsidRPr="007401A4">
          <w:rPr>
            <w:rStyle w:val="Hyperlink"/>
            <w:noProof/>
          </w:rPr>
          <w:t>2.5 Contractuele voorwaarden Opdracht</w:t>
        </w:r>
        <w:r w:rsidR="00E874E5">
          <w:rPr>
            <w:noProof/>
            <w:webHidden/>
          </w:rPr>
          <w:tab/>
        </w:r>
        <w:r w:rsidR="00E874E5">
          <w:rPr>
            <w:noProof/>
            <w:webHidden/>
          </w:rPr>
          <w:fldChar w:fldCharType="begin"/>
        </w:r>
        <w:r w:rsidR="00E874E5">
          <w:rPr>
            <w:noProof/>
            <w:webHidden/>
          </w:rPr>
          <w:instrText xml:space="preserve"> PAGEREF _Toc74563097 \h </w:instrText>
        </w:r>
        <w:r w:rsidR="00E874E5">
          <w:rPr>
            <w:noProof/>
            <w:webHidden/>
          </w:rPr>
        </w:r>
        <w:r w:rsidR="00E874E5">
          <w:rPr>
            <w:noProof/>
            <w:webHidden/>
          </w:rPr>
          <w:fldChar w:fldCharType="separate"/>
        </w:r>
        <w:r w:rsidR="00E874E5">
          <w:rPr>
            <w:noProof/>
            <w:webHidden/>
          </w:rPr>
          <w:t>13</w:t>
        </w:r>
        <w:r w:rsidR="00E874E5">
          <w:rPr>
            <w:noProof/>
            <w:webHidden/>
          </w:rPr>
          <w:fldChar w:fldCharType="end"/>
        </w:r>
      </w:hyperlink>
    </w:p>
    <w:p w14:paraId="5EBB753F" w14:textId="71AEE7C1" w:rsidR="00E874E5" w:rsidRDefault="00DB3B9C">
      <w:pPr>
        <w:pStyle w:val="Inhopg2"/>
        <w:tabs>
          <w:tab w:val="right" w:leader="dot" w:pos="9062"/>
        </w:tabs>
        <w:rPr>
          <w:rFonts w:eastAsiaTheme="minorEastAsia"/>
          <w:noProof/>
          <w:lang w:eastAsia="nl-NL"/>
        </w:rPr>
      </w:pPr>
      <w:hyperlink w:anchor="_Toc74563098" w:history="1">
        <w:r w:rsidR="00E874E5" w:rsidRPr="007401A4">
          <w:rPr>
            <w:rStyle w:val="Hyperlink"/>
            <w:noProof/>
          </w:rPr>
          <w:t>2.6 Social Return on Investment (SROI)</w:t>
        </w:r>
        <w:r w:rsidR="00E874E5">
          <w:rPr>
            <w:noProof/>
            <w:webHidden/>
          </w:rPr>
          <w:tab/>
        </w:r>
        <w:r w:rsidR="00E874E5">
          <w:rPr>
            <w:noProof/>
            <w:webHidden/>
          </w:rPr>
          <w:fldChar w:fldCharType="begin"/>
        </w:r>
        <w:r w:rsidR="00E874E5">
          <w:rPr>
            <w:noProof/>
            <w:webHidden/>
          </w:rPr>
          <w:instrText xml:space="preserve"> PAGEREF _Toc74563098 \h </w:instrText>
        </w:r>
        <w:r w:rsidR="00E874E5">
          <w:rPr>
            <w:noProof/>
            <w:webHidden/>
          </w:rPr>
        </w:r>
        <w:r w:rsidR="00E874E5">
          <w:rPr>
            <w:noProof/>
            <w:webHidden/>
          </w:rPr>
          <w:fldChar w:fldCharType="separate"/>
        </w:r>
        <w:r w:rsidR="00E874E5">
          <w:rPr>
            <w:noProof/>
            <w:webHidden/>
          </w:rPr>
          <w:t>13</w:t>
        </w:r>
        <w:r w:rsidR="00E874E5">
          <w:rPr>
            <w:noProof/>
            <w:webHidden/>
          </w:rPr>
          <w:fldChar w:fldCharType="end"/>
        </w:r>
      </w:hyperlink>
    </w:p>
    <w:p w14:paraId="588DCAFA" w14:textId="3A31EE52" w:rsidR="00E874E5" w:rsidRDefault="00DB3B9C">
      <w:pPr>
        <w:pStyle w:val="Inhopg1"/>
        <w:tabs>
          <w:tab w:val="left" w:pos="440"/>
          <w:tab w:val="right" w:leader="dot" w:pos="9062"/>
        </w:tabs>
        <w:rPr>
          <w:rFonts w:eastAsiaTheme="minorEastAsia"/>
          <w:noProof/>
          <w:lang w:eastAsia="nl-NL"/>
        </w:rPr>
      </w:pPr>
      <w:hyperlink w:anchor="_Toc74563099" w:history="1">
        <w:r w:rsidR="00E874E5" w:rsidRPr="007401A4">
          <w:rPr>
            <w:rStyle w:val="Hyperlink"/>
            <w:noProof/>
          </w:rPr>
          <w:t>3.</w:t>
        </w:r>
        <w:r w:rsidR="00E874E5">
          <w:rPr>
            <w:rFonts w:eastAsiaTheme="minorEastAsia"/>
            <w:noProof/>
            <w:lang w:eastAsia="nl-NL"/>
          </w:rPr>
          <w:tab/>
        </w:r>
        <w:r w:rsidR="00E874E5" w:rsidRPr="007401A4">
          <w:rPr>
            <w:rStyle w:val="Hyperlink"/>
            <w:noProof/>
          </w:rPr>
          <w:t>Procedure</w:t>
        </w:r>
        <w:r w:rsidR="00E874E5">
          <w:rPr>
            <w:noProof/>
            <w:webHidden/>
          </w:rPr>
          <w:tab/>
        </w:r>
        <w:r w:rsidR="00E874E5">
          <w:rPr>
            <w:noProof/>
            <w:webHidden/>
          </w:rPr>
          <w:fldChar w:fldCharType="begin"/>
        </w:r>
        <w:r w:rsidR="00E874E5">
          <w:rPr>
            <w:noProof/>
            <w:webHidden/>
          </w:rPr>
          <w:instrText xml:space="preserve"> PAGEREF _Toc74563099 \h </w:instrText>
        </w:r>
        <w:r w:rsidR="00E874E5">
          <w:rPr>
            <w:noProof/>
            <w:webHidden/>
          </w:rPr>
        </w:r>
        <w:r w:rsidR="00E874E5">
          <w:rPr>
            <w:noProof/>
            <w:webHidden/>
          </w:rPr>
          <w:fldChar w:fldCharType="separate"/>
        </w:r>
        <w:r w:rsidR="00E874E5">
          <w:rPr>
            <w:noProof/>
            <w:webHidden/>
          </w:rPr>
          <w:t>14</w:t>
        </w:r>
        <w:r w:rsidR="00E874E5">
          <w:rPr>
            <w:noProof/>
            <w:webHidden/>
          </w:rPr>
          <w:fldChar w:fldCharType="end"/>
        </w:r>
      </w:hyperlink>
    </w:p>
    <w:p w14:paraId="52B0B189" w14:textId="09424D8B" w:rsidR="00E874E5" w:rsidRDefault="00DB3B9C">
      <w:pPr>
        <w:pStyle w:val="Inhopg2"/>
        <w:tabs>
          <w:tab w:val="right" w:leader="dot" w:pos="9062"/>
        </w:tabs>
        <w:rPr>
          <w:rFonts w:eastAsiaTheme="minorEastAsia"/>
          <w:noProof/>
          <w:lang w:eastAsia="nl-NL"/>
        </w:rPr>
      </w:pPr>
      <w:hyperlink w:anchor="_Toc74563100" w:history="1">
        <w:r w:rsidR="00E874E5" w:rsidRPr="007401A4">
          <w:rPr>
            <w:rStyle w:val="Hyperlink"/>
            <w:noProof/>
          </w:rPr>
          <w:t>3.1 Planning aanbesteding</w:t>
        </w:r>
        <w:r w:rsidR="00E874E5">
          <w:rPr>
            <w:noProof/>
            <w:webHidden/>
          </w:rPr>
          <w:tab/>
        </w:r>
        <w:r w:rsidR="00E874E5">
          <w:rPr>
            <w:noProof/>
            <w:webHidden/>
          </w:rPr>
          <w:fldChar w:fldCharType="begin"/>
        </w:r>
        <w:r w:rsidR="00E874E5">
          <w:rPr>
            <w:noProof/>
            <w:webHidden/>
          </w:rPr>
          <w:instrText xml:space="preserve"> PAGEREF _Toc74563100 \h </w:instrText>
        </w:r>
        <w:r w:rsidR="00E874E5">
          <w:rPr>
            <w:noProof/>
            <w:webHidden/>
          </w:rPr>
        </w:r>
        <w:r w:rsidR="00E874E5">
          <w:rPr>
            <w:noProof/>
            <w:webHidden/>
          </w:rPr>
          <w:fldChar w:fldCharType="separate"/>
        </w:r>
        <w:r w:rsidR="00E874E5">
          <w:rPr>
            <w:noProof/>
            <w:webHidden/>
          </w:rPr>
          <w:t>14</w:t>
        </w:r>
        <w:r w:rsidR="00E874E5">
          <w:rPr>
            <w:noProof/>
            <w:webHidden/>
          </w:rPr>
          <w:fldChar w:fldCharType="end"/>
        </w:r>
      </w:hyperlink>
    </w:p>
    <w:p w14:paraId="5F97B101" w14:textId="236843DD" w:rsidR="00E874E5" w:rsidRDefault="00DB3B9C">
      <w:pPr>
        <w:pStyle w:val="Inhopg2"/>
        <w:tabs>
          <w:tab w:val="right" w:leader="dot" w:pos="9062"/>
        </w:tabs>
        <w:rPr>
          <w:rFonts w:eastAsiaTheme="minorEastAsia"/>
          <w:noProof/>
          <w:lang w:eastAsia="nl-NL"/>
        </w:rPr>
      </w:pPr>
      <w:hyperlink w:anchor="_Toc74563101" w:history="1">
        <w:r w:rsidR="00E874E5" w:rsidRPr="007401A4">
          <w:rPr>
            <w:rStyle w:val="Hyperlink"/>
            <w:noProof/>
          </w:rPr>
          <w:t>3.2 Inlichtingen en informatie verstrekken</w:t>
        </w:r>
        <w:r w:rsidR="00E874E5">
          <w:rPr>
            <w:noProof/>
            <w:webHidden/>
          </w:rPr>
          <w:tab/>
        </w:r>
        <w:r w:rsidR="00E874E5">
          <w:rPr>
            <w:noProof/>
            <w:webHidden/>
          </w:rPr>
          <w:fldChar w:fldCharType="begin"/>
        </w:r>
        <w:r w:rsidR="00E874E5">
          <w:rPr>
            <w:noProof/>
            <w:webHidden/>
          </w:rPr>
          <w:instrText xml:space="preserve"> PAGEREF _Toc74563101 \h </w:instrText>
        </w:r>
        <w:r w:rsidR="00E874E5">
          <w:rPr>
            <w:noProof/>
            <w:webHidden/>
          </w:rPr>
        </w:r>
        <w:r w:rsidR="00E874E5">
          <w:rPr>
            <w:noProof/>
            <w:webHidden/>
          </w:rPr>
          <w:fldChar w:fldCharType="separate"/>
        </w:r>
        <w:r w:rsidR="00E874E5">
          <w:rPr>
            <w:noProof/>
            <w:webHidden/>
          </w:rPr>
          <w:t>14</w:t>
        </w:r>
        <w:r w:rsidR="00E874E5">
          <w:rPr>
            <w:noProof/>
            <w:webHidden/>
          </w:rPr>
          <w:fldChar w:fldCharType="end"/>
        </w:r>
      </w:hyperlink>
    </w:p>
    <w:p w14:paraId="596E6434" w14:textId="4A4BDC6B" w:rsidR="00E874E5" w:rsidRDefault="00DB3B9C">
      <w:pPr>
        <w:pStyle w:val="Inhopg3"/>
        <w:tabs>
          <w:tab w:val="right" w:leader="dot" w:pos="9062"/>
        </w:tabs>
        <w:rPr>
          <w:rFonts w:eastAsiaTheme="minorEastAsia"/>
          <w:noProof/>
          <w:lang w:eastAsia="nl-NL"/>
        </w:rPr>
      </w:pPr>
      <w:hyperlink w:anchor="_Toc74563102" w:history="1">
        <w:r w:rsidR="00E874E5" w:rsidRPr="007401A4">
          <w:rPr>
            <w:rStyle w:val="Hyperlink"/>
            <w:noProof/>
          </w:rPr>
          <w:t>3.2.1 Communicatie</w:t>
        </w:r>
        <w:r w:rsidR="00E874E5">
          <w:rPr>
            <w:noProof/>
            <w:webHidden/>
          </w:rPr>
          <w:tab/>
        </w:r>
        <w:r w:rsidR="00E874E5">
          <w:rPr>
            <w:noProof/>
            <w:webHidden/>
          </w:rPr>
          <w:fldChar w:fldCharType="begin"/>
        </w:r>
        <w:r w:rsidR="00E874E5">
          <w:rPr>
            <w:noProof/>
            <w:webHidden/>
          </w:rPr>
          <w:instrText xml:space="preserve"> PAGEREF _Toc74563102 \h </w:instrText>
        </w:r>
        <w:r w:rsidR="00E874E5">
          <w:rPr>
            <w:noProof/>
            <w:webHidden/>
          </w:rPr>
        </w:r>
        <w:r w:rsidR="00E874E5">
          <w:rPr>
            <w:noProof/>
            <w:webHidden/>
          </w:rPr>
          <w:fldChar w:fldCharType="separate"/>
        </w:r>
        <w:r w:rsidR="00E874E5">
          <w:rPr>
            <w:noProof/>
            <w:webHidden/>
          </w:rPr>
          <w:t>14</w:t>
        </w:r>
        <w:r w:rsidR="00E874E5">
          <w:rPr>
            <w:noProof/>
            <w:webHidden/>
          </w:rPr>
          <w:fldChar w:fldCharType="end"/>
        </w:r>
      </w:hyperlink>
    </w:p>
    <w:p w14:paraId="7B070DDB" w14:textId="3319C86D" w:rsidR="00E874E5" w:rsidRDefault="00DB3B9C">
      <w:pPr>
        <w:pStyle w:val="Inhopg3"/>
        <w:tabs>
          <w:tab w:val="right" w:leader="dot" w:pos="9062"/>
        </w:tabs>
        <w:rPr>
          <w:rFonts w:eastAsiaTheme="minorEastAsia"/>
          <w:noProof/>
          <w:lang w:eastAsia="nl-NL"/>
        </w:rPr>
      </w:pPr>
      <w:hyperlink w:anchor="_Toc74563103" w:history="1">
        <w:r w:rsidR="00E874E5" w:rsidRPr="007401A4">
          <w:rPr>
            <w:rStyle w:val="Hyperlink"/>
            <w:noProof/>
          </w:rPr>
          <w:t>3.2.2 Nadere inlichtingen ten behoeve van de Inschrijver</w:t>
        </w:r>
        <w:r w:rsidR="00E874E5">
          <w:rPr>
            <w:noProof/>
            <w:webHidden/>
          </w:rPr>
          <w:tab/>
        </w:r>
        <w:r w:rsidR="00E874E5">
          <w:rPr>
            <w:noProof/>
            <w:webHidden/>
          </w:rPr>
          <w:fldChar w:fldCharType="begin"/>
        </w:r>
        <w:r w:rsidR="00E874E5">
          <w:rPr>
            <w:noProof/>
            <w:webHidden/>
          </w:rPr>
          <w:instrText xml:space="preserve"> PAGEREF _Toc74563103 \h </w:instrText>
        </w:r>
        <w:r w:rsidR="00E874E5">
          <w:rPr>
            <w:noProof/>
            <w:webHidden/>
          </w:rPr>
        </w:r>
        <w:r w:rsidR="00E874E5">
          <w:rPr>
            <w:noProof/>
            <w:webHidden/>
          </w:rPr>
          <w:fldChar w:fldCharType="separate"/>
        </w:r>
        <w:r w:rsidR="00E874E5">
          <w:rPr>
            <w:noProof/>
            <w:webHidden/>
          </w:rPr>
          <w:t>14</w:t>
        </w:r>
        <w:r w:rsidR="00E874E5">
          <w:rPr>
            <w:noProof/>
            <w:webHidden/>
          </w:rPr>
          <w:fldChar w:fldCharType="end"/>
        </w:r>
      </w:hyperlink>
    </w:p>
    <w:p w14:paraId="58AB8B22" w14:textId="477B9F03" w:rsidR="00E874E5" w:rsidRDefault="00DB3B9C">
      <w:pPr>
        <w:pStyle w:val="Inhopg2"/>
        <w:tabs>
          <w:tab w:val="right" w:leader="dot" w:pos="9062"/>
        </w:tabs>
        <w:rPr>
          <w:rFonts w:eastAsiaTheme="minorEastAsia"/>
          <w:noProof/>
          <w:lang w:eastAsia="nl-NL"/>
        </w:rPr>
      </w:pPr>
      <w:hyperlink w:anchor="_Toc74563104" w:history="1">
        <w:r w:rsidR="00E874E5" w:rsidRPr="007401A4">
          <w:rPr>
            <w:rStyle w:val="Hyperlink"/>
            <w:noProof/>
          </w:rPr>
          <w:t>3.3 Prijzen</w:t>
        </w:r>
        <w:r w:rsidR="00E874E5">
          <w:rPr>
            <w:noProof/>
            <w:webHidden/>
          </w:rPr>
          <w:tab/>
        </w:r>
        <w:r w:rsidR="00E874E5">
          <w:rPr>
            <w:noProof/>
            <w:webHidden/>
          </w:rPr>
          <w:fldChar w:fldCharType="begin"/>
        </w:r>
        <w:r w:rsidR="00E874E5">
          <w:rPr>
            <w:noProof/>
            <w:webHidden/>
          </w:rPr>
          <w:instrText xml:space="preserve"> PAGEREF _Toc74563104 \h </w:instrText>
        </w:r>
        <w:r w:rsidR="00E874E5">
          <w:rPr>
            <w:noProof/>
            <w:webHidden/>
          </w:rPr>
        </w:r>
        <w:r w:rsidR="00E874E5">
          <w:rPr>
            <w:noProof/>
            <w:webHidden/>
          </w:rPr>
          <w:fldChar w:fldCharType="separate"/>
        </w:r>
        <w:r w:rsidR="00E874E5">
          <w:rPr>
            <w:noProof/>
            <w:webHidden/>
          </w:rPr>
          <w:t>15</w:t>
        </w:r>
        <w:r w:rsidR="00E874E5">
          <w:rPr>
            <w:noProof/>
            <w:webHidden/>
          </w:rPr>
          <w:fldChar w:fldCharType="end"/>
        </w:r>
      </w:hyperlink>
    </w:p>
    <w:p w14:paraId="48058BDD" w14:textId="426FE25D" w:rsidR="00E874E5" w:rsidRDefault="00DB3B9C">
      <w:pPr>
        <w:pStyle w:val="Inhopg3"/>
        <w:tabs>
          <w:tab w:val="right" w:leader="dot" w:pos="9062"/>
        </w:tabs>
        <w:rPr>
          <w:rFonts w:eastAsiaTheme="minorEastAsia"/>
          <w:noProof/>
          <w:lang w:eastAsia="nl-NL"/>
        </w:rPr>
      </w:pPr>
      <w:hyperlink w:anchor="_Toc74563105" w:history="1">
        <w:r w:rsidR="00E874E5" w:rsidRPr="007401A4">
          <w:rPr>
            <w:rStyle w:val="Hyperlink"/>
            <w:noProof/>
          </w:rPr>
          <w:t>3.3.1 Indexatie</w:t>
        </w:r>
        <w:r w:rsidR="00E874E5">
          <w:rPr>
            <w:noProof/>
            <w:webHidden/>
          </w:rPr>
          <w:tab/>
        </w:r>
        <w:r w:rsidR="00E874E5">
          <w:rPr>
            <w:noProof/>
            <w:webHidden/>
          </w:rPr>
          <w:fldChar w:fldCharType="begin"/>
        </w:r>
        <w:r w:rsidR="00E874E5">
          <w:rPr>
            <w:noProof/>
            <w:webHidden/>
          </w:rPr>
          <w:instrText xml:space="preserve"> PAGEREF _Toc74563105 \h </w:instrText>
        </w:r>
        <w:r w:rsidR="00E874E5">
          <w:rPr>
            <w:noProof/>
            <w:webHidden/>
          </w:rPr>
        </w:r>
        <w:r w:rsidR="00E874E5">
          <w:rPr>
            <w:noProof/>
            <w:webHidden/>
          </w:rPr>
          <w:fldChar w:fldCharType="separate"/>
        </w:r>
        <w:r w:rsidR="00E874E5">
          <w:rPr>
            <w:noProof/>
            <w:webHidden/>
          </w:rPr>
          <w:t>15</w:t>
        </w:r>
        <w:r w:rsidR="00E874E5">
          <w:rPr>
            <w:noProof/>
            <w:webHidden/>
          </w:rPr>
          <w:fldChar w:fldCharType="end"/>
        </w:r>
      </w:hyperlink>
    </w:p>
    <w:p w14:paraId="17D3886F" w14:textId="3ECD9108" w:rsidR="00E874E5" w:rsidRDefault="00DB3B9C">
      <w:pPr>
        <w:pStyle w:val="Inhopg2"/>
        <w:tabs>
          <w:tab w:val="right" w:leader="dot" w:pos="9062"/>
        </w:tabs>
        <w:rPr>
          <w:rFonts w:eastAsiaTheme="minorEastAsia"/>
          <w:noProof/>
          <w:lang w:eastAsia="nl-NL"/>
        </w:rPr>
      </w:pPr>
      <w:hyperlink w:anchor="_Toc74563106" w:history="1">
        <w:r w:rsidR="00E874E5" w:rsidRPr="007401A4">
          <w:rPr>
            <w:rStyle w:val="Hyperlink"/>
            <w:noProof/>
          </w:rPr>
          <w:t>3.4 Inkoopvoorwaarden</w:t>
        </w:r>
        <w:r w:rsidR="00E874E5">
          <w:rPr>
            <w:noProof/>
            <w:webHidden/>
          </w:rPr>
          <w:tab/>
        </w:r>
        <w:r w:rsidR="00E874E5">
          <w:rPr>
            <w:noProof/>
            <w:webHidden/>
          </w:rPr>
          <w:fldChar w:fldCharType="begin"/>
        </w:r>
        <w:r w:rsidR="00E874E5">
          <w:rPr>
            <w:noProof/>
            <w:webHidden/>
          </w:rPr>
          <w:instrText xml:space="preserve"> PAGEREF _Toc74563106 \h </w:instrText>
        </w:r>
        <w:r w:rsidR="00E874E5">
          <w:rPr>
            <w:noProof/>
            <w:webHidden/>
          </w:rPr>
        </w:r>
        <w:r w:rsidR="00E874E5">
          <w:rPr>
            <w:noProof/>
            <w:webHidden/>
          </w:rPr>
          <w:fldChar w:fldCharType="separate"/>
        </w:r>
        <w:r w:rsidR="00E874E5">
          <w:rPr>
            <w:noProof/>
            <w:webHidden/>
          </w:rPr>
          <w:t>15</w:t>
        </w:r>
        <w:r w:rsidR="00E874E5">
          <w:rPr>
            <w:noProof/>
            <w:webHidden/>
          </w:rPr>
          <w:fldChar w:fldCharType="end"/>
        </w:r>
      </w:hyperlink>
    </w:p>
    <w:p w14:paraId="2925DA6D" w14:textId="62CF5272" w:rsidR="00E874E5" w:rsidRDefault="00DB3B9C">
      <w:pPr>
        <w:pStyle w:val="Inhopg2"/>
        <w:tabs>
          <w:tab w:val="right" w:leader="dot" w:pos="9062"/>
        </w:tabs>
        <w:rPr>
          <w:rFonts w:eastAsiaTheme="minorEastAsia"/>
          <w:noProof/>
          <w:lang w:eastAsia="nl-NL"/>
        </w:rPr>
      </w:pPr>
      <w:hyperlink w:anchor="_Toc74563107" w:history="1">
        <w:r w:rsidR="00E874E5" w:rsidRPr="007401A4">
          <w:rPr>
            <w:rStyle w:val="Hyperlink"/>
            <w:noProof/>
          </w:rPr>
          <w:t>3.5 Toetsing Uitsluitingsgronden en Geschiktheidscriteria</w:t>
        </w:r>
        <w:r w:rsidR="00E874E5">
          <w:rPr>
            <w:noProof/>
            <w:webHidden/>
          </w:rPr>
          <w:tab/>
        </w:r>
        <w:r w:rsidR="00E874E5">
          <w:rPr>
            <w:noProof/>
            <w:webHidden/>
          </w:rPr>
          <w:fldChar w:fldCharType="begin"/>
        </w:r>
        <w:r w:rsidR="00E874E5">
          <w:rPr>
            <w:noProof/>
            <w:webHidden/>
          </w:rPr>
          <w:instrText xml:space="preserve"> PAGEREF _Toc74563107 \h </w:instrText>
        </w:r>
        <w:r w:rsidR="00E874E5">
          <w:rPr>
            <w:noProof/>
            <w:webHidden/>
          </w:rPr>
        </w:r>
        <w:r w:rsidR="00E874E5">
          <w:rPr>
            <w:noProof/>
            <w:webHidden/>
          </w:rPr>
          <w:fldChar w:fldCharType="separate"/>
        </w:r>
        <w:r w:rsidR="00E874E5">
          <w:rPr>
            <w:noProof/>
            <w:webHidden/>
          </w:rPr>
          <w:t>15</w:t>
        </w:r>
        <w:r w:rsidR="00E874E5">
          <w:rPr>
            <w:noProof/>
            <w:webHidden/>
          </w:rPr>
          <w:fldChar w:fldCharType="end"/>
        </w:r>
      </w:hyperlink>
    </w:p>
    <w:p w14:paraId="2C3941BE" w14:textId="02D2E0A3" w:rsidR="00E874E5" w:rsidRDefault="00DB3B9C">
      <w:pPr>
        <w:pStyle w:val="Inhopg2"/>
        <w:tabs>
          <w:tab w:val="right" w:leader="dot" w:pos="9062"/>
        </w:tabs>
        <w:rPr>
          <w:rFonts w:eastAsiaTheme="minorEastAsia"/>
          <w:noProof/>
          <w:lang w:eastAsia="nl-NL"/>
        </w:rPr>
      </w:pPr>
      <w:hyperlink w:anchor="_Toc74563108" w:history="1">
        <w:r w:rsidR="00E874E5" w:rsidRPr="007401A4">
          <w:rPr>
            <w:rStyle w:val="Hyperlink"/>
            <w:noProof/>
          </w:rPr>
          <w:t>3.6 Opdrachtbrief</w:t>
        </w:r>
        <w:r w:rsidR="00E874E5">
          <w:rPr>
            <w:noProof/>
            <w:webHidden/>
          </w:rPr>
          <w:tab/>
        </w:r>
        <w:r w:rsidR="00E874E5">
          <w:rPr>
            <w:noProof/>
            <w:webHidden/>
          </w:rPr>
          <w:fldChar w:fldCharType="begin"/>
        </w:r>
        <w:r w:rsidR="00E874E5">
          <w:rPr>
            <w:noProof/>
            <w:webHidden/>
          </w:rPr>
          <w:instrText xml:space="preserve"> PAGEREF _Toc74563108 \h </w:instrText>
        </w:r>
        <w:r w:rsidR="00E874E5">
          <w:rPr>
            <w:noProof/>
            <w:webHidden/>
          </w:rPr>
        </w:r>
        <w:r w:rsidR="00E874E5">
          <w:rPr>
            <w:noProof/>
            <w:webHidden/>
          </w:rPr>
          <w:fldChar w:fldCharType="separate"/>
        </w:r>
        <w:r w:rsidR="00E874E5">
          <w:rPr>
            <w:noProof/>
            <w:webHidden/>
          </w:rPr>
          <w:t>15</w:t>
        </w:r>
        <w:r w:rsidR="00E874E5">
          <w:rPr>
            <w:noProof/>
            <w:webHidden/>
          </w:rPr>
          <w:fldChar w:fldCharType="end"/>
        </w:r>
      </w:hyperlink>
    </w:p>
    <w:p w14:paraId="2B9BEE11" w14:textId="1C731394" w:rsidR="00E874E5" w:rsidRDefault="00DB3B9C">
      <w:pPr>
        <w:pStyle w:val="Inhopg2"/>
        <w:tabs>
          <w:tab w:val="right" w:leader="dot" w:pos="9062"/>
        </w:tabs>
        <w:rPr>
          <w:rFonts w:eastAsiaTheme="minorEastAsia"/>
          <w:noProof/>
          <w:lang w:eastAsia="nl-NL"/>
        </w:rPr>
      </w:pPr>
      <w:hyperlink w:anchor="_Toc74563109" w:history="1">
        <w:r w:rsidR="00E874E5" w:rsidRPr="007401A4">
          <w:rPr>
            <w:rStyle w:val="Hyperlink"/>
            <w:noProof/>
          </w:rPr>
          <w:t>3.7 Tijdelijke of definitieve stopzetting</w:t>
        </w:r>
        <w:r w:rsidR="00E874E5">
          <w:rPr>
            <w:noProof/>
            <w:webHidden/>
          </w:rPr>
          <w:tab/>
        </w:r>
        <w:r w:rsidR="00E874E5">
          <w:rPr>
            <w:noProof/>
            <w:webHidden/>
          </w:rPr>
          <w:fldChar w:fldCharType="begin"/>
        </w:r>
        <w:r w:rsidR="00E874E5">
          <w:rPr>
            <w:noProof/>
            <w:webHidden/>
          </w:rPr>
          <w:instrText xml:space="preserve"> PAGEREF _Toc74563109 \h </w:instrText>
        </w:r>
        <w:r w:rsidR="00E874E5">
          <w:rPr>
            <w:noProof/>
            <w:webHidden/>
          </w:rPr>
        </w:r>
        <w:r w:rsidR="00E874E5">
          <w:rPr>
            <w:noProof/>
            <w:webHidden/>
          </w:rPr>
          <w:fldChar w:fldCharType="separate"/>
        </w:r>
        <w:r w:rsidR="00E874E5">
          <w:rPr>
            <w:noProof/>
            <w:webHidden/>
          </w:rPr>
          <w:t>15</w:t>
        </w:r>
        <w:r w:rsidR="00E874E5">
          <w:rPr>
            <w:noProof/>
            <w:webHidden/>
          </w:rPr>
          <w:fldChar w:fldCharType="end"/>
        </w:r>
      </w:hyperlink>
    </w:p>
    <w:p w14:paraId="1808C610" w14:textId="333D2DA1" w:rsidR="00E874E5" w:rsidRDefault="00DB3B9C">
      <w:pPr>
        <w:pStyle w:val="Inhopg2"/>
        <w:tabs>
          <w:tab w:val="right" w:leader="dot" w:pos="9062"/>
        </w:tabs>
        <w:rPr>
          <w:rFonts w:eastAsiaTheme="minorEastAsia"/>
          <w:noProof/>
          <w:lang w:eastAsia="nl-NL"/>
        </w:rPr>
      </w:pPr>
      <w:hyperlink w:anchor="_Toc74563110" w:history="1">
        <w:r w:rsidR="00E874E5" w:rsidRPr="007401A4">
          <w:rPr>
            <w:rStyle w:val="Hyperlink"/>
            <w:noProof/>
          </w:rPr>
          <w:t>3.8 Wachtkamerovereenkomst</w:t>
        </w:r>
        <w:r w:rsidR="00E874E5">
          <w:rPr>
            <w:noProof/>
            <w:webHidden/>
          </w:rPr>
          <w:tab/>
        </w:r>
        <w:r w:rsidR="00E874E5">
          <w:rPr>
            <w:noProof/>
            <w:webHidden/>
          </w:rPr>
          <w:fldChar w:fldCharType="begin"/>
        </w:r>
        <w:r w:rsidR="00E874E5">
          <w:rPr>
            <w:noProof/>
            <w:webHidden/>
          </w:rPr>
          <w:instrText xml:space="preserve"> PAGEREF _Toc74563110 \h </w:instrText>
        </w:r>
        <w:r w:rsidR="00E874E5">
          <w:rPr>
            <w:noProof/>
            <w:webHidden/>
          </w:rPr>
        </w:r>
        <w:r w:rsidR="00E874E5">
          <w:rPr>
            <w:noProof/>
            <w:webHidden/>
          </w:rPr>
          <w:fldChar w:fldCharType="separate"/>
        </w:r>
        <w:r w:rsidR="00E874E5">
          <w:rPr>
            <w:noProof/>
            <w:webHidden/>
          </w:rPr>
          <w:t>16</w:t>
        </w:r>
        <w:r w:rsidR="00E874E5">
          <w:rPr>
            <w:noProof/>
            <w:webHidden/>
          </w:rPr>
          <w:fldChar w:fldCharType="end"/>
        </w:r>
      </w:hyperlink>
    </w:p>
    <w:p w14:paraId="23A31D05" w14:textId="0739B75B" w:rsidR="00E874E5" w:rsidRDefault="00DB3B9C">
      <w:pPr>
        <w:pStyle w:val="Inhopg1"/>
        <w:tabs>
          <w:tab w:val="left" w:pos="440"/>
          <w:tab w:val="right" w:leader="dot" w:pos="9062"/>
        </w:tabs>
        <w:rPr>
          <w:rFonts w:eastAsiaTheme="minorEastAsia"/>
          <w:noProof/>
          <w:lang w:eastAsia="nl-NL"/>
        </w:rPr>
      </w:pPr>
      <w:hyperlink w:anchor="_Toc74563111" w:history="1">
        <w:r w:rsidR="00E874E5" w:rsidRPr="007401A4">
          <w:rPr>
            <w:rStyle w:val="Hyperlink"/>
            <w:noProof/>
          </w:rPr>
          <w:t>4.</w:t>
        </w:r>
        <w:r w:rsidR="00E874E5">
          <w:rPr>
            <w:rFonts w:eastAsiaTheme="minorEastAsia"/>
            <w:noProof/>
            <w:lang w:eastAsia="nl-NL"/>
          </w:rPr>
          <w:tab/>
        </w:r>
        <w:r w:rsidR="00E874E5" w:rsidRPr="007401A4">
          <w:rPr>
            <w:rStyle w:val="Hyperlink"/>
            <w:noProof/>
          </w:rPr>
          <w:t>Eisen Inschrijving</w:t>
        </w:r>
        <w:r w:rsidR="00E874E5">
          <w:rPr>
            <w:noProof/>
            <w:webHidden/>
          </w:rPr>
          <w:tab/>
        </w:r>
        <w:r w:rsidR="00E874E5">
          <w:rPr>
            <w:noProof/>
            <w:webHidden/>
          </w:rPr>
          <w:fldChar w:fldCharType="begin"/>
        </w:r>
        <w:r w:rsidR="00E874E5">
          <w:rPr>
            <w:noProof/>
            <w:webHidden/>
          </w:rPr>
          <w:instrText xml:space="preserve"> PAGEREF _Toc74563111 \h </w:instrText>
        </w:r>
        <w:r w:rsidR="00E874E5">
          <w:rPr>
            <w:noProof/>
            <w:webHidden/>
          </w:rPr>
        </w:r>
        <w:r w:rsidR="00E874E5">
          <w:rPr>
            <w:noProof/>
            <w:webHidden/>
          </w:rPr>
          <w:fldChar w:fldCharType="separate"/>
        </w:r>
        <w:r w:rsidR="00E874E5">
          <w:rPr>
            <w:noProof/>
            <w:webHidden/>
          </w:rPr>
          <w:t>17</w:t>
        </w:r>
        <w:r w:rsidR="00E874E5">
          <w:rPr>
            <w:noProof/>
            <w:webHidden/>
          </w:rPr>
          <w:fldChar w:fldCharType="end"/>
        </w:r>
      </w:hyperlink>
    </w:p>
    <w:p w14:paraId="439D0E0D" w14:textId="602E4E2E" w:rsidR="00E874E5" w:rsidRDefault="00DB3B9C">
      <w:pPr>
        <w:pStyle w:val="Inhopg2"/>
        <w:tabs>
          <w:tab w:val="right" w:leader="dot" w:pos="9062"/>
        </w:tabs>
        <w:rPr>
          <w:rFonts w:eastAsiaTheme="minorEastAsia"/>
          <w:noProof/>
          <w:lang w:eastAsia="nl-NL"/>
        </w:rPr>
      </w:pPr>
      <w:hyperlink w:anchor="_Toc74563112" w:history="1">
        <w:r w:rsidR="00E874E5" w:rsidRPr="007401A4">
          <w:rPr>
            <w:rStyle w:val="Hyperlink"/>
            <w:noProof/>
          </w:rPr>
          <w:t>4.1 Indienen via TenderNed</w:t>
        </w:r>
        <w:r w:rsidR="00E874E5">
          <w:rPr>
            <w:noProof/>
            <w:webHidden/>
          </w:rPr>
          <w:tab/>
        </w:r>
        <w:r w:rsidR="00E874E5">
          <w:rPr>
            <w:noProof/>
            <w:webHidden/>
          </w:rPr>
          <w:fldChar w:fldCharType="begin"/>
        </w:r>
        <w:r w:rsidR="00E874E5">
          <w:rPr>
            <w:noProof/>
            <w:webHidden/>
          </w:rPr>
          <w:instrText xml:space="preserve"> PAGEREF _Toc74563112 \h </w:instrText>
        </w:r>
        <w:r w:rsidR="00E874E5">
          <w:rPr>
            <w:noProof/>
            <w:webHidden/>
          </w:rPr>
        </w:r>
        <w:r w:rsidR="00E874E5">
          <w:rPr>
            <w:noProof/>
            <w:webHidden/>
          </w:rPr>
          <w:fldChar w:fldCharType="separate"/>
        </w:r>
        <w:r w:rsidR="00E874E5">
          <w:rPr>
            <w:noProof/>
            <w:webHidden/>
          </w:rPr>
          <w:t>17</w:t>
        </w:r>
        <w:r w:rsidR="00E874E5">
          <w:rPr>
            <w:noProof/>
            <w:webHidden/>
          </w:rPr>
          <w:fldChar w:fldCharType="end"/>
        </w:r>
      </w:hyperlink>
    </w:p>
    <w:p w14:paraId="7B30DC44" w14:textId="64944C6E" w:rsidR="00E874E5" w:rsidRDefault="00DB3B9C">
      <w:pPr>
        <w:pStyle w:val="Inhopg3"/>
        <w:tabs>
          <w:tab w:val="right" w:leader="dot" w:pos="9062"/>
        </w:tabs>
        <w:rPr>
          <w:rFonts w:eastAsiaTheme="minorEastAsia"/>
          <w:noProof/>
          <w:lang w:eastAsia="nl-NL"/>
        </w:rPr>
      </w:pPr>
      <w:hyperlink w:anchor="_Toc74563113" w:history="1">
        <w:r w:rsidR="00E874E5" w:rsidRPr="007401A4">
          <w:rPr>
            <w:rStyle w:val="Hyperlink"/>
            <w:noProof/>
          </w:rPr>
          <w:t>4.1.1 Rechtsgeldigheid ondertekenen via TenderNed</w:t>
        </w:r>
        <w:r w:rsidR="00E874E5">
          <w:rPr>
            <w:noProof/>
            <w:webHidden/>
          </w:rPr>
          <w:tab/>
        </w:r>
        <w:r w:rsidR="00E874E5">
          <w:rPr>
            <w:noProof/>
            <w:webHidden/>
          </w:rPr>
          <w:fldChar w:fldCharType="begin"/>
        </w:r>
        <w:r w:rsidR="00E874E5">
          <w:rPr>
            <w:noProof/>
            <w:webHidden/>
          </w:rPr>
          <w:instrText xml:space="preserve"> PAGEREF _Toc74563113 \h </w:instrText>
        </w:r>
        <w:r w:rsidR="00E874E5">
          <w:rPr>
            <w:noProof/>
            <w:webHidden/>
          </w:rPr>
        </w:r>
        <w:r w:rsidR="00E874E5">
          <w:rPr>
            <w:noProof/>
            <w:webHidden/>
          </w:rPr>
          <w:fldChar w:fldCharType="separate"/>
        </w:r>
        <w:r w:rsidR="00E874E5">
          <w:rPr>
            <w:noProof/>
            <w:webHidden/>
          </w:rPr>
          <w:t>17</w:t>
        </w:r>
        <w:r w:rsidR="00E874E5">
          <w:rPr>
            <w:noProof/>
            <w:webHidden/>
          </w:rPr>
          <w:fldChar w:fldCharType="end"/>
        </w:r>
      </w:hyperlink>
    </w:p>
    <w:p w14:paraId="1C7F0ADA" w14:textId="290ED46D" w:rsidR="00E874E5" w:rsidRDefault="00DB3B9C">
      <w:pPr>
        <w:pStyle w:val="Inhopg2"/>
        <w:tabs>
          <w:tab w:val="right" w:leader="dot" w:pos="9062"/>
        </w:tabs>
        <w:rPr>
          <w:rFonts w:eastAsiaTheme="minorEastAsia"/>
          <w:noProof/>
          <w:lang w:eastAsia="nl-NL"/>
        </w:rPr>
      </w:pPr>
      <w:hyperlink w:anchor="_Toc74563114" w:history="1">
        <w:r w:rsidR="00E874E5" w:rsidRPr="007401A4">
          <w:rPr>
            <w:rStyle w:val="Hyperlink"/>
            <w:noProof/>
          </w:rPr>
          <w:t>4.2 Geldigheid en volledigheid</w:t>
        </w:r>
        <w:r w:rsidR="00E874E5">
          <w:rPr>
            <w:noProof/>
            <w:webHidden/>
          </w:rPr>
          <w:tab/>
        </w:r>
        <w:r w:rsidR="00E874E5">
          <w:rPr>
            <w:noProof/>
            <w:webHidden/>
          </w:rPr>
          <w:fldChar w:fldCharType="begin"/>
        </w:r>
        <w:r w:rsidR="00E874E5">
          <w:rPr>
            <w:noProof/>
            <w:webHidden/>
          </w:rPr>
          <w:instrText xml:space="preserve"> PAGEREF _Toc74563114 \h </w:instrText>
        </w:r>
        <w:r w:rsidR="00E874E5">
          <w:rPr>
            <w:noProof/>
            <w:webHidden/>
          </w:rPr>
        </w:r>
        <w:r w:rsidR="00E874E5">
          <w:rPr>
            <w:noProof/>
            <w:webHidden/>
          </w:rPr>
          <w:fldChar w:fldCharType="separate"/>
        </w:r>
        <w:r w:rsidR="00E874E5">
          <w:rPr>
            <w:noProof/>
            <w:webHidden/>
          </w:rPr>
          <w:t>17</w:t>
        </w:r>
        <w:r w:rsidR="00E874E5">
          <w:rPr>
            <w:noProof/>
            <w:webHidden/>
          </w:rPr>
          <w:fldChar w:fldCharType="end"/>
        </w:r>
      </w:hyperlink>
    </w:p>
    <w:p w14:paraId="50D00145" w14:textId="7DE350EB" w:rsidR="00E874E5" w:rsidRDefault="00DB3B9C">
      <w:pPr>
        <w:pStyle w:val="Inhopg2"/>
        <w:tabs>
          <w:tab w:val="right" w:leader="dot" w:pos="9062"/>
        </w:tabs>
        <w:rPr>
          <w:rFonts w:eastAsiaTheme="minorEastAsia"/>
          <w:noProof/>
          <w:lang w:eastAsia="nl-NL"/>
        </w:rPr>
      </w:pPr>
      <w:hyperlink w:anchor="_Toc74563115" w:history="1">
        <w:r w:rsidR="00E874E5" w:rsidRPr="007401A4">
          <w:rPr>
            <w:rStyle w:val="Hyperlink"/>
            <w:noProof/>
          </w:rPr>
          <w:t>4.3 Vertegenwoordigingsbevoegdheid</w:t>
        </w:r>
        <w:r w:rsidR="00E874E5">
          <w:rPr>
            <w:noProof/>
            <w:webHidden/>
          </w:rPr>
          <w:tab/>
        </w:r>
        <w:r w:rsidR="00E874E5">
          <w:rPr>
            <w:noProof/>
            <w:webHidden/>
          </w:rPr>
          <w:fldChar w:fldCharType="begin"/>
        </w:r>
        <w:r w:rsidR="00E874E5">
          <w:rPr>
            <w:noProof/>
            <w:webHidden/>
          </w:rPr>
          <w:instrText xml:space="preserve"> PAGEREF _Toc74563115 \h </w:instrText>
        </w:r>
        <w:r w:rsidR="00E874E5">
          <w:rPr>
            <w:noProof/>
            <w:webHidden/>
          </w:rPr>
        </w:r>
        <w:r w:rsidR="00E874E5">
          <w:rPr>
            <w:noProof/>
            <w:webHidden/>
          </w:rPr>
          <w:fldChar w:fldCharType="separate"/>
        </w:r>
        <w:r w:rsidR="00E874E5">
          <w:rPr>
            <w:noProof/>
            <w:webHidden/>
          </w:rPr>
          <w:t>17</w:t>
        </w:r>
        <w:r w:rsidR="00E874E5">
          <w:rPr>
            <w:noProof/>
            <w:webHidden/>
          </w:rPr>
          <w:fldChar w:fldCharType="end"/>
        </w:r>
      </w:hyperlink>
    </w:p>
    <w:p w14:paraId="56CD971F" w14:textId="4A704F28" w:rsidR="00E874E5" w:rsidRDefault="00DB3B9C">
      <w:pPr>
        <w:pStyle w:val="Inhopg2"/>
        <w:tabs>
          <w:tab w:val="right" w:leader="dot" w:pos="9062"/>
        </w:tabs>
        <w:rPr>
          <w:rFonts w:eastAsiaTheme="minorEastAsia"/>
          <w:noProof/>
          <w:lang w:eastAsia="nl-NL"/>
        </w:rPr>
      </w:pPr>
      <w:hyperlink w:anchor="_Toc74563116" w:history="1">
        <w:r w:rsidR="00E874E5" w:rsidRPr="007401A4">
          <w:rPr>
            <w:rStyle w:val="Hyperlink"/>
            <w:noProof/>
          </w:rPr>
          <w:t>4.4 Gestanddoeningstermijn</w:t>
        </w:r>
        <w:r w:rsidR="00E874E5">
          <w:rPr>
            <w:noProof/>
            <w:webHidden/>
          </w:rPr>
          <w:tab/>
        </w:r>
        <w:r w:rsidR="00E874E5">
          <w:rPr>
            <w:noProof/>
            <w:webHidden/>
          </w:rPr>
          <w:fldChar w:fldCharType="begin"/>
        </w:r>
        <w:r w:rsidR="00E874E5">
          <w:rPr>
            <w:noProof/>
            <w:webHidden/>
          </w:rPr>
          <w:instrText xml:space="preserve"> PAGEREF _Toc74563116 \h </w:instrText>
        </w:r>
        <w:r w:rsidR="00E874E5">
          <w:rPr>
            <w:noProof/>
            <w:webHidden/>
          </w:rPr>
        </w:r>
        <w:r w:rsidR="00E874E5">
          <w:rPr>
            <w:noProof/>
            <w:webHidden/>
          </w:rPr>
          <w:fldChar w:fldCharType="separate"/>
        </w:r>
        <w:r w:rsidR="00E874E5">
          <w:rPr>
            <w:noProof/>
            <w:webHidden/>
          </w:rPr>
          <w:t>17</w:t>
        </w:r>
        <w:r w:rsidR="00E874E5">
          <w:rPr>
            <w:noProof/>
            <w:webHidden/>
          </w:rPr>
          <w:fldChar w:fldCharType="end"/>
        </w:r>
      </w:hyperlink>
    </w:p>
    <w:p w14:paraId="282B5F0C" w14:textId="62AFA63F" w:rsidR="00E874E5" w:rsidRDefault="00DB3B9C">
      <w:pPr>
        <w:pStyle w:val="Inhopg2"/>
        <w:tabs>
          <w:tab w:val="right" w:leader="dot" w:pos="9062"/>
        </w:tabs>
        <w:rPr>
          <w:rFonts w:eastAsiaTheme="minorEastAsia"/>
          <w:noProof/>
          <w:lang w:eastAsia="nl-NL"/>
        </w:rPr>
      </w:pPr>
      <w:hyperlink w:anchor="_Toc74563117" w:history="1">
        <w:r w:rsidR="00E874E5" w:rsidRPr="007401A4">
          <w:rPr>
            <w:rStyle w:val="Hyperlink"/>
            <w:noProof/>
          </w:rPr>
          <w:t>4.5 Tijdig melden onduidelijkheden en/of onregelmatigheden</w:t>
        </w:r>
        <w:r w:rsidR="00E874E5">
          <w:rPr>
            <w:noProof/>
            <w:webHidden/>
          </w:rPr>
          <w:tab/>
        </w:r>
        <w:r w:rsidR="00E874E5">
          <w:rPr>
            <w:noProof/>
            <w:webHidden/>
          </w:rPr>
          <w:fldChar w:fldCharType="begin"/>
        </w:r>
        <w:r w:rsidR="00E874E5">
          <w:rPr>
            <w:noProof/>
            <w:webHidden/>
          </w:rPr>
          <w:instrText xml:space="preserve"> PAGEREF _Toc74563117 \h </w:instrText>
        </w:r>
        <w:r w:rsidR="00E874E5">
          <w:rPr>
            <w:noProof/>
            <w:webHidden/>
          </w:rPr>
        </w:r>
        <w:r w:rsidR="00E874E5">
          <w:rPr>
            <w:noProof/>
            <w:webHidden/>
          </w:rPr>
          <w:fldChar w:fldCharType="separate"/>
        </w:r>
        <w:r w:rsidR="00E874E5">
          <w:rPr>
            <w:noProof/>
            <w:webHidden/>
          </w:rPr>
          <w:t>18</w:t>
        </w:r>
        <w:r w:rsidR="00E874E5">
          <w:rPr>
            <w:noProof/>
            <w:webHidden/>
          </w:rPr>
          <w:fldChar w:fldCharType="end"/>
        </w:r>
      </w:hyperlink>
    </w:p>
    <w:p w14:paraId="22EA2095" w14:textId="646AF9EE" w:rsidR="00E874E5" w:rsidRDefault="00DB3B9C">
      <w:pPr>
        <w:pStyle w:val="Inhopg2"/>
        <w:tabs>
          <w:tab w:val="right" w:leader="dot" w:pos="9062"/>
        </w:tabs>
        <w:rPr>
          <w:rFonts w:eastAsiaTheme="minorEastAsia"/>
          <w:noProof/>
          <w:lang w:eastAsia="nl-NL"/>
        </w:rPr>
      </w:pPr>
      <w:hyperlink w:anchor="_Toc74563118" w:history="1">
        <w:r w:rsidR="00E874E5" w:rsidRPr="007401A4">
          <w:rPr>
            <w:rStyle w:val="Hyperlink"/>
            <w:noProof/>
          </w:rPr>
          <w:t>4.6 Inschrijven</w:t>
        </w:r>
        <w:r w:rsidR="00E874E5">
          <w:rPr>
            <w:noProof/>
            <w:webHidden/>
          </w:rPr>
          <w:tab/>
        </w:r>
        <w:r w:rsidR="00E874E5">
          <w:rPr>
            <w:noProof/>
            <w:webHidden/>
          </w:rPr>
          <w:fldChar w:fldCharType="begin"/>
        </w:r>
        <w:r w:rsidR="00E874E5">
          <w:rPr>
            <w:noProof/>
            <w:webHidden/>
          </w:rPr>
          <w:instrText xml:space="preserve"> PAGEREF _Toc74563118 \h </w:instrText>
        </w:r>
        <w:r w:rsidR="00E874E5">
          <w:rPr>
            <w:noProof/>
            <w:webHidden/>
          </w:rPr>
        </w:r>
        <w:r w:rsidR="00E874E5">
          <w:rPr>
            <w:noProof/>
            <w:webHidden/>
          </w:rPr>
          <w:fldChar w:fldCharType="separate"/>
        </w:r>
        <w:r w:rsidR="00E874E5">
          <w:rPr>
            <w:noProof/>
            <w:webHidden/>
          </w:rPr>
          <w:t>18</w:t>
        </w:r>
        <w:r w:rsidR="00E874E5">
          <w:rPr>
            <w:noProof/>
            <w:webHidden/>
          </w:rPr>
          <w:fldChar w:fldCharType="end"/>
        </w:r>
      </w:hyperlink>
    </w:p>
    <w:p w14:paraId="0AF0CA13" w14:textId="1334ADE9" w:rsidR="00E874E5" w:rsidRDefault="00DB3B9C">
      <w:pPr>
        <w:pStyle w:val="Inhopg1"/>
        <w:tabs>
          <w:tab w:val="left" w:pos="440"/>
          <w:tab w:val="right" w:leader="dot" w:pos="9062"/>
        </w:tabs>
        <w:rPr>
          <w:rFonts w:eastAsiaTheme="minorEastAsia"/>
          <w:noProof/>
          <w:lang w:eastAsia="nl-NL"/>
        </w:rPr>
      </w:pPr>
      <w:hyperlink w:anchor="_Toc74563119" w:history="1">
        <w:r w:rsidR="00E874E5" w:rsidRPr="007401A4">
          <w:rPr>
            <w:rStyle w:val="Hyperlink"/>
            <w:noProof/>
          </w:rPr>
          <w:t>5.</w:t>
        </w:r>
        <w:r w:rsidR="00E874E5">
          <w:rPr>
            <w:rFonts w:eastAsiaTheme="minorEastAsia"/>
            <w:noProof/>
            <w:lang w:eastAsia="nl-NL"/>
          </w:rPr>
          <w:tab/>
        </w:r>
        <w:r w:rsidR="00E874E5" w:rsidRPr="007401A4">
          <w:rPr>
            <w:rStyle w:val="Hyperlink"/>
            <w:noProof/>
          </w:rPr>
          <w:t>Gunningscriteria</w:t>
        </w:r>
        <w:r w:rsidR="00E874E5">
          <w:rPr>
            <w:noProof/>
            <w:webHidden/>
          </w:rPr>
          <w:tab/>
        </w:r>
        <w:r w:rsidR="00E874E5">
          <w:rPr>
            <w:noProof/>
            <w:webHidden/>
          </w:rPr>
          <w:fldChar w:fldCharType="begin"/>
        </w:r>
        <w:r w:rsidR="00E874E5">
          <w:rPr>
            <w:noProof/>
            <w:webHidden/>
          </w:rPr>
          <w:instrText xml:space="preserve"> PAGEREF _Toc74563119 \h </w:instrText>
        </w:r>
        <w:r w:rsidR="00E874E5">
          <w:rPr>
            <w:noProof/>
            <w:webHidden/>
          </w:rPr>
        </w:r>
        <w:r w:rsidR="00E874E5">
          <w:rPr>
            <w:noProof/>
            <w:webHidden/>
          </w:rPr>
          <w:fldChar w:fldCharType="separate"/>
        </w:r>
        <w:r w:rsidR="00E874E5">
          <w:rPr>
            <w:noProof/>
            <w:webHidden/>
          </w:rPr>
          <w:t>19</w:t>
        </w:r>
        <w:r w:rsidR="00E874E5">
          <w:rPr>
            <w:noProof/>
            <w:webHidden/>
          </w:rPr>
          <w:fldChar w:fldCharType="end"/>
        </w:r>
      </w:hyperlink>
    </w:p>
    <w:p w14:paraId="5284FB7D" w14:textId="2A8FAE85" w:rsidR="00E874E5" w:rsidRDefault="00DB3B9C">
      <w:pPr>
        <w:pStyle w:val="Inhopg2"/>
        <w:tabs>
          <w:tab w:val="right" w:leader="dot" w:pos="9062"/>
        </w:tabs>
        <w:rPr>
          <w:rFonts w:eastAsiaTheme="minorEastAsia"/>
          <w:noProof/>
          <w:lang w:eastAsia="nl-NL"/>
        </w:rPr>
      </w:pPr>
      <w:hyperlink w:anchor="_Toc74563120" w:history="1">
        <w:r w:rsidR="00E874E5" w:rsidRPr="007401A4">
          <w:rPr>
            <w:rStyle w:val="Hyperlink"/>
            <w:noProof/>
          </w:rPr>
          <w:t>5.1 Motivatie gunningscriterium “Laagste Prijs”</w:t>
        </w:r>
        <w:r w:rsidR="00E874E5">
          <w:rPr>
            <w:noProof/>
            <w:webHidden/>
          </w:rPr>
          <w:tab/>
        </w:r>
        <w:r w:rsidR="00E874E5">
          <w:rPr>
            <w:noProof/>
            <w:webHidden/>
          </w:rPr>
          <w:fldChar w:fldCharType="begin"/>
        </w:r>
        <w:r w:rsidR="00E874E5">
          <w:rPr>
            <w:noProof/>
            <w:webHidden/>
          </w:rPr>
          <w:instrText xml:space="preserve"> PAGEREF _Toc74563120 \h </w:instrText>
        </w:r>
        <w:r w:rsidR="00E874E5">
          <w:rPr>
            <w:noProof/>
            <w:webHidden/>
          </w:rPr>
        </w:r>
        <w:r w:rsidR="00E874E5">
          <w:rPr>
            <w:noProof/>
            <w:webHidden/>
          </w:rPr>
          <w:fldChar w:fldCharType="separate"/>
        </w:r>
        <w:r w:rsidR="00E874E5">
          <w:rPr>
            <w:noProof/>
            <w:webHidden/>
          </w:rPr>
          <w:t>19</w:t>
        </w:r>
        <w:r w:rsidR="00E874E5">
          <w:rPr>
            <w:noProof/>
            <w:webHidden/>
          </w:rPr>
          <w:fldChar w:fldCharType="end"/>
        </w:r>
      </w:hyperlink>
    </w:p>
    <w:p w14:paraId="52B0DA47" w14:textId="63E887E0" w:rsidR="00E874E5" w:rsidRDefault="00DB3B9C">
      <w:pPr>
        <w:pStyle w:val="Inhopg2"/>
        <w:tabs>
          <w:tab w:val="right" w:leader="dot" w:pos="9062"/>
        </w:tabs>
        <w:rPr>
          <w:rFonts w:eastAsiaTheme="minorEastAsia"/>
          <w:noProof/>
          <w:lang w:eastAsia="nl-NL"/>
        </w:rPr>
      </w:pPr>
      <w:hyperlink w:anchor="_Toc74563121" w:history="1">
        <w:r w:rsidR="00E874E5" w:rsidRPr="007401A4">
          <w:rPr>
            <w:rStyle w:val="Hyperlink"/>
            <w:noProof/>
          </w:rPr>
          <w:t>5.2 Gunningcriterium: Prijs</w:t>
        </w:r>
        <w:r w:rsidR="00E874E5">
          <w:rPr>
            <w:noProof/>
            <w:webHidden/>
          </w:rPr>
          <w:tab/>
        </w:r>
        <w:r w:rsidR="00E874E5">
          <w:rPr>
            <w:noProof/>
            <w:webHidden/>
          </w:rPr>
          <w:fldChar w:fldCharType="begin"/>
        </w:r>
        <w:r w:rsidR="00E874E5">
          <w:rPr>
            <w:noProof/>
            <w:webHidden/>
          </w:rPr>
          <w:instrText xml:space="preserve"> PAGEREF _Toc74563121 \h </w:instrText>
        </w:r>
        <w:r w:rsidR="00E874E5">
          <w:rPr>
            <w:noProof/>
            <w:webHidden/>
          </w:rPr>
        </w:r>
        <w:r w:rsidR="00E874E5">
          <w:rPr>
            <w:noProof/>
            <w:webHidden/>
          </w:rPr>
          <w:fldChar w:fldCharType="separate"/>
        </w:r>
        <w:r w:rsidR="00E874E5">
          <w:rPr>
            <w:noProof/>
            <w:webHidden/>
          </w:rPr>
          <w:t>19</w:t>
        </w:r>
        <w:r w:rsidR="00E874E5">
          <w:rPr>
            <w:noProof/>
            <w:webHidden/>
          </w:rPr>
          <w:fldChar w:fldCharType="end"/>
        </w:r>
      </w:hyperlink>
    </w:p>
    <w:p w14:paraId="65B2B6E6" w14:textId="1B58FC62" w:rsidR="00E874E5" w:rsidRDefault="00DB3B9C">
      <w:pPr>
        <w:pStyle w:val="Inhopg2"/>
        <w:tabs>
          <w:tab w:val="right" w:leader="dot" w:pos="9062"/>
        </w:tabs>
        <w:rPr>
          <w:rFonts w:eastAsiaTheme="minorEastAsia"/>
          <w:noProof/>
          <w:lang w:eastAsia="nl-NL"/>
        </w:rPr>
      </w:pPr>
      <w:hyperlink w:anchor="_Toc74563122" w:history="1">
        <w:r w:rsidR="00E874E5" w:rsidRPr="007401A4">
          <w:rPr>
            <w:rStyle w:val="Hyperlink"/>
            <w:noProof/>
          </w:rPr>
          <w:t>5.4 Beoordeling en scoreberekening</w:t>
        </w:r>
        <w:r w:rsidR="00E874E5">
          <w:rPr>
            <w:noProof/>
            <w:webHidden/>
          </w:rPr>
          <w:tab/>
        </w:r>
        <w:r w:rsidR="00E874E5">
          <w:rPr>
            <w:noProof/>
            <w:webHidden/>
          </w:rPr>
          <w:fldChar w:fldCharType="begin"/>
        </w:r>
        <w:r w:rsidR="00E874E5">
          <w:rPr>
            <w:noProof/>
            <w:webHidden/>
          </w:rPr>
          <w:instrText xml:space="preserve"> PAGEREF _Toc74563122 \h </w:instrText>
        </w:r>
        <w:r w:rsidR="00E874E5">
          <w:rPr>
            <w:noProof/>
            <w:webHidden/>
          </w:rPr>
        </w:r>
        <w:r w:rsidR="00E874E5">
          <w:rPr>
            <w:noProof/>
            <w:webHidden/>
          </w:rPr>
          <w:fldChar w:fldCharType="separate"/>
        </w:r>
        <w:r w:rsidR="00E874E5">
          <w:rPr>
            <w:noProof/>
            <w:webHidden/>
          </w:rPr>
          <w:t>20</w:t>
        </w:r>
        <w:r w:rsidR="00E874E5">
          <w:rPr>
            <w:noProof/>
            <w:webHidden/>
          </w:rPr>
          <w:fldChar w:fldCharType="end"/>
        </w:r>
      </w:hyperlink>
    </w:p>
    <w:p w14:paraId="141F7EFB" w14:textId="5CFBDC1A" w:rsidR="00E874E5" w:rsidRDefault="00DB3B9C">
      <w:pPr>
        <w:pStyle w:val="Inhopg1"/>
        <w:tabs>
          <w:tab w:val="right" w:leader="dot" w:pos="9062"/>
        </w:tabs>
        <w:rPr>
          <w:rFonts w:eastAsiaTheme="minorEastAsia"/>
          <w:noProof/>
          <w:lang w:eastAsia="nl-NL"/>
        </w:rPr>
      </w:pPr>
      <w:hyperlink w:anchor="_Toc74563123" w:history="1">
        <w:r w:rsidR="00E874E5" w:rsidRPr="007401A4">
          <w:rPr>
            <w:rStyle w:val="Hyperlink"/>
            <w:noProof/>
          </w:rPr>
          <w:t>6 Overige bepalingen</w:t>
        </w:r>
        <w:r w:rsidR="00E874E5">
          <w:rPr>
            <w:noProof/>
            <w:webHidden/>
          </w:rPr>
          <w:tab/>
        </w:r>
        <w:r w:rsidR="00E874E5">
          <w:rPr>
            <w:noProof/>
            <w:webHidden/>
          </w:rPr>
          <w:fldChar w:fldCharType="begin"/>
        </w:r>
        <w:r w:rsidR="00E874E5">
          <w:rPr>
            <w:noProof/>
            <w:webHidden/>
          </w:rPr>
          <w:instrText xml:space="preserve"> PAGEREF _Toc74563123 \h </w:instrText>
        </w:r>
        <w:r w:rsidR="00E874E5">
          <w:rPr>
            <w:noProof/>
            <w:webHidden/>
          </w:rPr>
        </w:r>
        <w:r w:rsidR="00E874E5">
          <w:rPr>
            <w:noProof/>
            <w:webHidden/>
          </w:rPr>
          <w:fldChar w:fldCharType="separate"/>
        </w:r>
        <w:r w:rsidR="00E874E5">
          <w:rPr>
            <w:noProof/>
            <w:webHidden/>
          </w:rPr>
          <w:t>21</w:t>
        </w:r>
        <w:r w:rsidR="00E874E5">
          <w:rPr>
            <w:noProof/>
            <w:webHidden/>
          </w:rPr>
          <w:fldChar w:fldCharType="end"/>
        </w:r>
      </w:hyperlink>
    </w:p>
    <w:p w14:paraId="17572C77" w14:textId="7AD5913F" w:rsidR="00E874E5" w:rsidRDefault="00DB3B9C">
      <w:pPr>
        <w:pStyle w:val="Inhopg2"/>
        <w:tabs>
          <w:tab w:val="right" w:leader="dot" w:pos="9062"/>
        </w:tabs>
        <w:rPr>
          <w:rFonts w:eastAsiaTheme="minorEastAsia"/>
          <w:noProof/>
          <w:lang w:eastAsia="nl-NL"/>
        </w:rPr>
      </w:pPr>
      <w:hyperlink w:anchor="_Toc74563124" w:history="1">
        <w:r w:rsidR="00E874E5" w:rsidRPr="007401A4">
          <w:rPr>
            <w:rStyle w:val="Hyperlink"/>
            <w:noProof/>
          </w:rPr>
          <w:t>6.1 Voorbehoud</w:t>
        </w:r>
        <w:r w:rsidR="00E874E5">
          <w:rPr>
            <w:noProof/>
            <w:webHidden/>
          </w:rPr>
          <w:tab/>
        </w:r>
        <w:r w:rsidR="00E874E5">
          <w:rPr>
            <w:noProof/>
            <w:webHidden/>
          </w:rPr>
          <w:fldChar w:fldCharType="begin"/>
        </w:r>
        <w:r w:rsidR="00E874E5">
          <w:rPr>
            <w:noProof/>
            <w:webHidden/>
          </w:rPr>
          <w:instrText xml:space="preserve"> PAGEREF _Toc74563124 \h </w:instrText>
        </w:r>
        <w:r w:rsidR="00E874E5">
          <w:rPr>
            <w:noProof/>
            <w:webHidden/>
          </w:rPr>
        </w:r>
        <w:r w:rsidR="00E874E5">
          <w:rPr>
            <w:noProof/>
            <w:webHidden/>
          </w:rPr>
          <w:fldChar w:fldCharType="separate"/>
        </w:r>
        <w:r w:rsidR="00E874E5">
          <w:rPr>
            <w:noProof/>
            <w:webHidden/>
          </w:rPr>
          <w:t>21</w:t>
        </w:r>
        <w:r w:rsidR="00E874E5">
          <w:rPr>
            <w:noProof/>
            <w:webHidden/>
          </w:rPr>
          <w:fldChar w:fldCharType="end"/>
        </w:r>
      </w:hyperlink>
    </w:p>
    <w:p w14:paraId="06519D70" w14:textId="143BE747" w:rsidR="00E874E5" w:rsidRDefault="00DB3B9C">
      <w:pPr>
        <w:pStyle w:val="Inhopg2"/>
        <w:tabs>
          <w:tab w:val="right" w:leader="dot" w:pos="9062"/>
        </w:tabs>
        <w:rPr>
          <w:rFonts w:eastAsiaTheme="minorEastAsia"/>
          <w:noProof/>
          <w:lang w:eastAsia="nl-NL"/>
        </w:rPr>
      </w:pPr>
      <w:hyperlink w:anchor="_Toc74563125" w:history="1">
        <w:r w:rsidR="00E874E5" w:rsidRPr="007401A4">
          <w:rPr>
            <w:rStyle w:val="Hyperlink"/>
            <w:noProof/>
          </w:rPr>
          <w:t>6.2 Definitieve gunning van de Opdracht</w:t>
        </w:r>
        <w:r w:rsidR="00E874E5">
          <w:rPr>
            <w:noProof/>
            <w:webHidden/>
          </w:rPr>
          <w:tab/>
        </w:r>
        <w:r w:rsidR="00E874E5">
          <w:rPr>
            <w:noProof/>
            <w:webHidden/>
          </w:rPr>
          <w:fldChar w:fldCharType="begin"/>
        </w:r>
        <w:r w:rsidR="00E874E5">
          <w:rPr>
            <w:noProof/>
            <w:webHidden/>
          </w:rPr>
          <w:instrText xml:space="preserve"> PAGEREF _Toc74563125 \h </w:instrText>
        </w:r>
        <w:r w:rsidR="00E874E5">
          <w:rPr>
            <w:noProof/>
            <w:webHidden/>
          </w:rPr>
        </w:r>
        <w:r w:rsidR="00E874E5">
          <w:rPr>
            <w:noProof/>
            <w:webHidden/>
          </w:rPr>
          <w:fldChar w:fldCharType="separate"/>
        </w:r>
        <w:r w:rsidR="00E874E5">
          <w:rPr>
            <w:noProof/>
            <w:webHidden/>
          </w:rPr>
          <w:t>21</w:t>
        </w:r>
        <w:r w:rsidR="00E874E5">
          <w:rPr>
            <w:noProof/>
            <w:webHidden/>
          </w:rPr>
          <w:fldChar w:fldCharType="end"/>
        </w:r>
      </w:hyperlink>
    </w:p>
    <w:p w14:paraId="04117AC1" w14:textId="1A73AF62" w:rsidR="00E874E5" w:rsidRDefault="00DB3B9C">
      <w:pPr>
        <w:pStyle w:val="Inhopg2"/>
        <w:tabs>
          <w:tab w:val="right" w:leader="dot" w:pos="9062"/>
        </w:tabs>
        <w:rPr>
          <w:rFonts w:eastAsiaTheme="minorEastAsia"/>
          <w:noProof/>
          <w:lang w:eastAsia="nl-NL"/>
        </w:rPr>
      </w:pPr>
      <w:hyperlink w:anchor="_Toc74563126" w:history="1">
        <w:r w:rsidR="00E874E5" w:rsidRPr="007401A4">
          <w:rPr>
            <w:rStyle w:val="Hyperlink"/>
            <w:noProof/>
          </w:rPr>
          <w:t>6.3 Overgang rechten en plichten bij nieuwe organisatie</w:t>
        </w:r>
        <w:r w:rsidR="00E874E5">
          <w:rPr>
            <w:noProof/>
            <w:webHidden/>
          </w:rPr>
          <w:tab/>
        </w:r>
        <w:r w:rsidR="00E874E5">
          <w:rPr>
            <w:noProof/>
            <w:webHidden/>
          </w:rPr>
          <w:fldChar w:fldCharType="begin"/>
        </w:r>
        <w:r w:rsidR="00E874E5">
          <w:rPr>
            <w:noProof/>
            <w:webHidden/>
          </w:rPr>
          <w:instrText xml:space="preserve"> PAGEREF _Toc74563126 \h </w:instrText>
        </w:r>
        <w:r w:rsidR="00E874E5">
          <w:rPr>
            <w:noProof/>
            <w:webHidden/>
          </w:rPr>
        </w:r>
        <w:r w:rsidR="00E874E5">
          <w:rPr>
            <w:noProof/>
            <w:webHidden/>
          </w:rPr>
          <w:fldChar w:fldCharType="separate"/>
        </w:r>
        <w:r w:rsidR="00E874E5">
          <w:rPr>
            <w:noProof/>
            <w:webHidden/>
          </w:rPr>
          <w:t>21</w:t>
        </w:r>
        <w:r w:rsidR="00E874E5">
          <w:rPr>
            <w:noProof/>
            <w:webHidden/>
          </w:rPr>
          <w:fldChar w:fldCharType="end"/>
        </w:r>
      </w:hyperlink>
    </w:p>
    <w:p w14:paraId="2D9EDFE8" w14:textId="5A3AD494" w:rsidR="00E874E5" w:rsidRDefault="00DB3B9C">
      <w:pPr>
        <w:pStyle w:val="Inhopg2"/>
        <w:tabs>
          <w:tab w:val="right" w:leader="dot" w:pos="9062"/>
        </w:tabs>
        <w:rPr>
          <w:rFonts w:eastAsiaTheme="minorEastAsia"/>
          <w:noProof/>
          <w:lang w:eastAsia="nl-NL"/>
        </w:rPr>
      </w:pPr>
      <w:hyperlink w:anchor="_Toc74563127" w:history="1">
        <w:r w:rsidR="00E874E5" w:rsidRPr="007401A4">
          <w:rPr>
            <w:rStyle w:val="Hyperlink"/>
            <w:noProof/>
          </w:rPr>
          <w:t>6.4 Samenwerkingsverband</w:t>
        </w:r>
        <w:r w:rsidR="00E874E5">
          <w:rPr>
            <w:noProof/>
            <w:webHidden/>
          </w:rPr>
          <w:tab/>
        </w:r>
        <w:r w:rsidR="00E874E5">
          <w:rPr>
            <w:noProof/>
            <w:webHidden/>
          </w:rPr>
          <w:fldChar w:fldCharType="begin"/>
        </w:r>
        <w:r w:rsidR="00E874E5">
          <w:rPr>
            <w:noProof/>
            <w:webHidden/>
          </w:rPr>
          <w:instrText xml:space="preserve"> PAGEREF _Toc74563127 \h </w:instrText>
        </w:r>
        <w:r w:rsidR="00E874E5">
          <w:rPr>
            <w:noProof/>
            <w:webHidden/>
          </w:rPr>
        </w:r>
        <w:r w:rsidR="00E874E5">
          <w:rPr>
            <w:noProof/>
            <w:webHidden/>
          </w:rPr>
          <w:fldChar w:fldCharType="separate"/>
        </w:r>
        <w:r w:rsidR="00E874E5">
          <w:rPr>
            <w:noProof/>
            <w:webHidden/>
          </w:rPr>
          <w:t>21</w:t>
        </w:r>
        <w:r w:rsidR="00E874E5">
          <w:rPr>
            <w:noProof/>
            <w:webHidden/>
          </w:rPr>
          <w:fldChar w:fldCharType="end"/>
        </w:r>
      </w:hyperlink>
    </w:p>
    <w:p w14:paraId="43009E0C" w14:textId="24EC267A" w:rsidR="00E874E5" w:rsidRDefault="00DB3B9C">
      <w:pPr>
        <w:pStyle w:val="Inhopg2"/>
        <w:tabs>
          <w:tab w:val="right" w:leader="dot" w:pos="9062"/>
        </w:tabs>
        <w:rPr>
          <w:rFonts w:eastAsiaTheme="minorEastAsia"/>
          <w:noProof/>
          <w:lang w:eastAsia="nl-NL"/>
        </w:rPr>
      </w:pPr>
      <w:hyperlink w:anchor="_Toc74563128" w:history="1">
        <w:r w:rsidR="00E874E5" w:rsidRPr="007401A4">
          <w:rPr>
            <w:rStyle w:val="Hyperlink"/>
            <w:noProof/>
          </w:rPr>
          <w:t>6.5 Hoofdaannemer/onderaannemer</w:t>
        </w:r>
        <w:r w:rsidR="00E874E5">
          <w:rPr>
            <w:noProof/>
            <w:webHidden/>
          </w:rPr>
          <w:tab/>
        </w:r>
        <w:r w:rsidR="00E874E5">
          <w:rPr>
            <w:noProof/>
            <w:webHidden/>
          </w:rPr>
          <w:fldChar w:fldCharType="begin"/>
        </w:r>
        <w:r w:rsidR="00E874E5">
          <w:rPr>
            <w:noProof/>
            <w:webHidden/>
          </w:rPr>
          <w:instrText xml:space="preserve"> PAGEREF _Toc74563128 \h </w:instrText>
        </w:r>
        <w:r w:rsidR="00E874E5">
          <w:rPr>
            <w:noProof/>
            <w:webHidden/>
          </w:rPr>
        </w:r>
        <w:r w:rsidR="00E874E5">
          <w:rPr>
            <w:noProof/>
            <w:webHidden/>
          </w:rPr>
          <w:fldChar w:fldCharType="separate"/>
        </w:r>
        <w:r w:rsidR="00E874E5">
          <w:rPr>
            <w:noProof/>
            <w:webHidden/>
          </w:rPr>
          <w:t>21</w:t>
        </w:r>
        <w:r w:rsidR="00E874E5">
          <w:rPr>
            <w:noProof/>
            <w:webHidden/>
          </w:rPr>
          <w:fldChar w:fldCharType="end"/>
        </w:r>
      </w:hyperlink>
    </w:p>
    <w:p w14:paraId="09BC193D" w14:textId="1E77A144" w:rsidR="00E874E5" w:rsidRDefault="00DB3B9C">
      <w:pPr>
        <w:pStyle w:val="Inhopg2"/>
        <w:tabs>
          <w:tab w:val="right" w:leader="dot" w:pos="9062"/>
        </w:tabs>
        <w:rPr>
          <w:rFonts w:eastAsiaTheme="minorEastAsia"/>
          <w:noProof/>
          <w:lang w:eastAsia="nl-NL"/>
        </w:rPr>
      </w:pPr>
      <w:hyperlink w:anchor="_Toc74563129" w:history="1">
        <w:r w:rsidR="00E874E5" w:rsidRPr="007401A4">
          <w:rPr>
            <w:rStyle w:val="Hyperlink"/>
            <w:noProof/>
          </w:rPr>
          <w:t>6.6 Een inschrijving per onderneming (rechtspersoon)</w:t>
        </w:r>
        <w:r w:rsidR="00E874E5">
          <w:rPr>
            <w:noProof/>
            <w:webHidden/>
          </w:rPr>
          <w:tab/>
        </w:r>
        <w:r w:rsidR="00E874E5">
          <w:rPr>
            <w:noProof/>
            <w:webHidden/>
          </w:rPr>
          <w:fldChar w:fldCharType="begin"/>
        </w:r>
        <w:r w:rsidR="00E874E5">
          <w:rPr>
            <w:noProof/>
            <w:webHidden/>
          </w:rPr>
          <w:instrText xml:space="preserve"> PAGEREF _Toc74563129 \h </w:instrText>
        </w:r>
        <w:r w:rsidR="00E874E5">
          <w:rPr>
            <w:noProof/>
            <w:webHidden/>
          </w:rPr>
        </w:r>
        <w:r w:rsidR="00E874E5">
          <w:rPr>
            <w:noProof/>
            <w:webHidden/>
          </w:rPr>
          <w:fldChar w:fldCharType="separate"/>
        </w:r>
        <w:r w:rsidR="00E874E5">
          <w:rPr>
            <w:noProof/>
            <w:webHidden/>
          </w:rPr>
          <w:t>22</w:t>
        </w:r>
        <w:r w:rsidR="00E874E5">
          <w:rPr>
            <w:noProof/>
            <w:webHidden/>
          </w:rPr>
          <w:fldChar w:fldCharType="end"/>
        </w:r>
      </w:hyperlink>
    </w:p>
    <w:p w14:paraId="1020FBB3" w14:textId="7BFEA254" w:rsidR="00E874E5" w:rsidRDefault="00DB3B9C">
      <w:pPr>
        <w:pStyle w:val="Inhopg2"/>
        <w:tabs>
          <w:tab w:val="right" w:leader="dot" w:pos="9062"/>
        </w:tabs>
        <w:rPr>
          <w:rFonts w:eastAsiaTheme="minorEastAsia"/>
          <w:noProof/>
          <w:lang w:eastAsia="nl-NL"/>
        </w:rPr>
      </w:pPr>
      <w:hyperlink w:anchor="_Toc74563130" w:history="1">
        <w:r w:rsidR="00E874E5" w:rsidRPr="007401A4">
          <w:rPr>
            <w:rStyle w:val="Hyperlink"/>
            <w:noProof/>
          </w:rPr>
          <w:t>6.7 Taal</w:t>
        </w:r>
        <w:r w:rsidR="00E874E5">
          <w:rPr>
            <w:noProof/>
            <w:webHidden/>
          </w:rPr>
          <w:tab/>
        </w:r>
        <w:r w:rsidR="00E874E5">
          <w:rPr>
            <w:noProof/>
            <w:webHidden/>
          </w:rPr>
          <w:fldChar w:fldCharType="begin"/>
        </w:r>
        <w:r w:rsidR="00E874E5">
          <w:rPr>
            <w:noProof/>
            <w:webHidden/>
          </w:rPr>
          <w:instrText xml:space="preserve"> PAGEREF _Toc74563130 \h </w:instrText>
        </w:r>
        <w:r w:rsidR="00E874E5">
          <w:rPr>
            <w:noProof/>
            <w:webHidden/>
          </w:rPr>
        </w:r>
        <w:r w:rsidR="00E874E5">
          <w:rPr>
            <w:noProof/>
            <w:webHidden/>
          </w:rPr>
          <w:fldChar w:fldCharType="separate"/>
        </w:r>
        <w:r w:rsidR="00E874E5">
          <w:rPr>
            <w:noProof/>
            <w:webHidden/>
          </w:rPr>
          <w:t>22</w:t>
        </w:r>
        <w:r w:rsidR="00E874E5">
          <w:rPr>
            <w:noProof/>
            <w:webHidden/>
          </w:rPr>
          <w:fldChar w:fldCharType="end"/>
        </w:r>
      </w:hyperlink>
    </w:p>
    <w:p w14:paraId="5C64C0E4" w14:textId="0D4A94DA" w:rsidR="00E874E5" w:rsidRDefault="00DB3B9C">
      <w:pPr>
        <w:pStyle w:val="Inhopg2"/>
        <w:tabs>
          <w:tab w:val="right" w:leader="dot" w:pos="9062"/>
        </w:tabs>
        <w:rPr>
          <w:rFonts w:eastAsiaTheme="minorEastAsia"/>
          <w:noProof/>
          <w:lang w:eastAsia="nl-NL"/>
        </w:rPr>
      </w:pPr>
      <w:hyperlink w:anchor="_Toc74563131" w:history="1">
        <w:r w:rsidR="00E874E5" w:rsidRPr="007401A4">
          <w:rPr>
            <w:rStyle w:val="Hyperlink"/>
            <w:noProof/>
          </w:rPr>
          <w:t>6.8 Gebruik specifieke merknamen en/of certificaten</w:t>
        </w:r>
        <w:r w:rsidR="00E874E5">
          <w:rPr>
            <w:noProof/>
            <w:webHidden/>
          </w:rPr>
          <w:tab/>
        </w:r>
        <w:r w:rsidR="00E874E5">
          <w:rPr>
            <w:noProof/>
            <w:webHidden/>
          </w:rPr>
          <w:fldChar w:fldCharType="begin"/>
        </w:r>
        <w:r w:rsidR="00E874E5">
          <w:rPr>
            <w:noProof/>
            <w:webHidden/>
          </w:rPr>
          <w:instrText xml:space="preserve"> PAGEREF _Toc74563131 \h </w:instrText>
        </w:r>
        <w:r w:rsidR="00E874E5">
          <w:rPr>
            <w:noProof/>
            <w:webHidden/>
          </w:rPr>
        </w:r>
        <w:r w:rsidR="00E874E5">
          <w:rPr>
            <w:noProof/>
            <w:webHidden/>
          </w:rPr>
          <w:fldChar w:fldCharType="separate"/>
        </w:r>
        <w:r w:rsidR="00E874E5">
          <w:rPr>
            <w:noProof/>
            <w:webHidden/>
          </w:rPr>
          <w:t>22</w:t>
        </w:r>
        <w:r w:rsidR="00E874E5">
          <w:rPr>
            <w:noProof/>
            <w:webHidden/>
          </w:rPr>
          <w:fldChar w:fldCharType="end"/>
        </w:r>
      </w:hyperlink>
    </w:p>
    <w:p w14:paraId="2048D3E1" w14:textId="56974B53" w:rsidR="00E874E5" w:rsidRDefault="00DB3B9C">
      <w:pPr>
        <w:pStyle w:val="Inhopg2"/>
        <w:tabs>
          <w:tab w:val="right" w:leader="dot" w:pos="9062"/>
        </w:tabs>
        <w:rPr>
          <w:rFonts w:eastAsiaTheme="minorEastAsia"/>
          <w:noProof/>
          <w:lang w:eastAsia="nl-NL"/>
        </w:rPr>
      </w:pPr>
      <w:hyperlink w:anchor="_Toc74563132" w:history="1">
        <w:r w:rsidR="00E874E5" w:rsidRPr="007401A4">
          <w:rPr>
            <w:rStyle w:val="Hyperlink"/>
            <w:noProof/>
          </w:rPr>
          <w:t>6.9 Afwijkende prijsniveaus</w:t>
        </w:r>
        <w:r w:rsidR="00E874E5">
          <w:rPr>
            <w:noProof/>
            <w:webHidden/>
          </w:rPr>
          <w:tab/>
        </w:r>
        <w:r w:rsidR="00E874E5">
          <w:rPr>
            <w:noProof/>
            <w:webHidden/>
          </w:rPr>
          <w:fldChar w:fldCharType="begin"/>
        </w:r>
        <w:r w:rsidR="00E874E5">
          <w:rPr>
            <w:noProof/>
            <w:webHidden/>
          </w:rPr>
          <w:instrText xml:space="preserve"> PAGEREF _Toc74563132 \h </w:instrText>
        </w:r>
        <w:r w:rsidR="00E874E5">
          <w:rPr>
            <w:noProof/>
            <w:webHidden/>
          </w:rPr>
        </w:r>
        <w:r w:rsidR="00E874E5">
          <w:rPr>
            <w:noProof/>
            <w:webHidden/>
          </w:rPr>
          <w:fldChar w:fldCharType="separate"/>
        </w:r>
        <w:r w:rsidR="00E874E5">
          <w:rPr>
            <w:noProof/>
            <w:webHidden/>
          </w:rPr>
          <w:t>22</w:t>
        </w:r>
        <w:r w:rsidR="00E874E5">
          <w:rPr>
            <w:noProof/>
            <w:webHidden/>
          </w:rPr>
          <w:fldChar w:fldCharType="end"/>
        </w:r>
      </w:hyperlink>
    </w:p>
    <w:p w14:paraId="24F52B8B" w14:textId="3053441F" w:rsidR="00E874E5" w:rsidRDefault="00DB3B9C">
      <w:pPr>
        <w:pStyle w:val="Inhopg2"/>
        <w:tabs>
          <w:tab w:val="right" w:leader="dot" w:pos="9062"/>
        </w:tabs>
        <w:rPr>
          <w:rFonts w:eastAsiaTheme="minorEastAsia"/>
          <w:noProof/>
          <w:lang w:eastAsia="nl-NL"/>
        </w:rPr>
      </w:pPr>
      <w:hyperlink w:anchor="_Toc74563133" w:history="1">
        <w:r w:rsidR="00E874E5" w:rsidRPr="007401A4">
          <w:rPr>
            <w:rStyle w:val="Hyperlink"/>
            <w:noProof/>
          </w:rPr>
          <w:t>6.10 Afbreken aanbesteding</w:t>
        </w:r>
        <w:r w:rsidR="00E874E5">
          <w:rPr>
            <w:noProof/>
            <w:webHidden/>
          </w:rPr>
          <w:tab/>
        </w:r>
        <w:r w:rsidR="00E874E5">
          <w:rPr>
            <w:noProof/>
            <w:webHidden/>
          </w:rPr>
          <w:fldChar w:fldCharType="begin"/>
        </w:r>
        <w:r w:rsidR="00E874E5">
          <w:rPr>
            <w:noProof/>
            <w:webHidden/>
          </w:rPr>
          <w:instrText xml:space="preserve"> PAGEREF _Toc74563133 \h </w:instrText>
        </w:r>
        <w:r w:rsidR="00E874E5">
          <w:rPr>
            <w:noProof/>
            <w:webHidden/>
          </w:rPr>
        </w:r>
        <w:r w:rsidR="00E874E5">
          <w:rPr>
            <w:noProof/>
            <w:webHidden/>
          </w:rPr>
          <w:fldChar w:fldCharType="separate"/>
        </w:r>
        <w:r w:rsidR="00E874E5">
          <w:rPr>
            <w:noProof/>
            <w:webHidden/>
          </w:rPr>
          <w:t>22</w:t>
        </w:r>
        <w:r w:rsidR="00E874E5">
          <w:rPr>
            <w:noProof/>
            <w:webHidden/>
          </w:rPr>
          <w:fldChar w:fldCharType="end"/>
        </w:r>
      </w:hyperlink>
    </w:p>
    <w:p w14:paraId="6C942DF0" w14:textId="1E9FE9DE" w:rsidR="00E874E5" w:rsidRDefault="00DB3B9C">
      <w:pPr>
        <w:pStyle w:val="Inhopg2"/>
        <w:tabs>
          <w:tab w:val="right" w:leader="dot" w:pos="9062"/>
        </w:tabs>
        <w:rPr>
          <w:rFonts w:eastAsiaTheme="minorEastAsia"/>
          <w:noProof/>
          <w:lang w:eastAsia="nl-NL"/>
        </w:rPr>
      </w:pPr>
      <w:hyperlink w:anchor="_Toc74563134" w:history="1">
        <w:r w:rsidR="00E874E5" w:rsidRPr="007401A4">
          <w:rPr>
            <w:rStyle w:val="Hyperlink"/>
            <w:noProof/>
          </w:rPr>
          <w:t>6.11 Nederlands recht/geschillen</w:t>
        </w:r>
        <w:r w:rsidR="00E874E5">
          <w:rPr>
            <w:noProof/>
            <w:webHidden/>
          </w:rPr>
          <w:tab/>
        </w:r>
        <w:r w:rsidR="00E874E5">
          <w:rPr>
            <w:noProof/>
            <w:webHidden/>
          </w:rPr>
          <w:fldChar w:fldCharType="begin"/>
        </w:r>
        <w:r w:rsidR="00E874E5">
          <w:rPr>
            <w:noProof/>
            <w:webHidden/>
          </w:rPr>
          <w:instrText xml:space="preserve"> PAGEREF _Toc74563134 \h </w:instrText>
        </w:r>
        <w:r w:rsidR="00E874E5">
          <w:rPr>
            <w:noProof/>
            <w:webHidden/>
          </w:rPr>
        </w:r>
        <w:r w:rsidR="00E874E5">
          <w:rPr>
            <w:noProof/>
            <w:webHidden/>
          </w:rPr>
          <w:fldChar w:fldCharType="separate"/>
        </w:r>
        <w:r w:rsidR="00E874E5">
          <w:rPr>
            <w:noProof/>
            <w:webHidden/>
          </w:rPr>
          <w:t>22</w:t>
        </w:r>
        <w:r w:rsidR="00E874E5">
          <w:rPr>
            <w:noProof/>
            <w:webHidden/>
          </w:rPr>
          <w:fldChar w:fldCharType="end"/>
        </w:r>
      </w:hyperlink>
    </w:p>
    <w:p w14:paraId="0BB3441B" w14:textId="4AB7FC48" w:rsidR="00E874E5" w:rsidRDefault="00DB3B9C">
      <w:pPr>
        <w:pStyle w:val="Inhopg1"/>
        <w:tabs>
          <w:tab w:val="right" w:leader="dot" w:pos="9062"/>
        </w:tabs>
        <w:rPr>
          <w:rFonts w:eastAsiaTheme="minorEastAsia"/>
          <w:noProof/>
          <w:lang w:eastAsia="nl-NL"/>
        </w:rPr>
      </w:pPr>
      <w:hyperlink w:anchor="_Toc74563135" w:history="1">
        <w:r w:rsidR="00E874E5" w:rsidRPr="007401A4">
          <w:rPr>
            <w:rStyle w:val="Hyperlink"/>
            <w:noProof/>
          </w:rPr>
          <w:t>Slotwoord</w:t>
        </w:r>
        <w:r w:rsidR="00E874E5">
          <w:rPr>
            <w:noProof/>
            <w:webHidden/>
          </w:rPr>
          <w:tab/>
        </w:r>
        <w:r w:rsidR="00E874E5">
          <w:rPr>
            <w:noProof/>
            <w:webHidden/>
          </w:rPr>
          <w:fldChar w:fldCharType="begin"/>
        </w:r>
        <w:r w:rsidR="00E874E5">
          <w:rPr>
            <w:noProof/>
            <w:webHidden/>
          </w:rPr>
          <w:instrText xml:space="preserve"> PAGEREF _Toc74563135 \h </w:instrText>
        </w:r>
        <w:r w:rsidR="00E874E5">
          <w:rPr>
            <w:noProof/>
            <w:webHidden/>
          </w:rPr>
        </w:r>
        <w:r w:rsidR="00E874E5">
          <w:rPr>
            <w:noProof/>
            <w:webHidden/>
          </w:rPr>
          <w:fldChar w:fldCharType="separate"/>
        </w:r>
        <w:r w:rsidR="00E874E5">
          <w:rPr>
            <w:noProof/>
            <w:webHidden/>
          </w:rPr>
          <w:t>23</w:t>
        </w:r>
        <w:r w:rsidR="00E874E5">
          <w:rPr>
            <w:noProof/>
            <w:webHidden/>
          </w:rPr>
          <w:fldChar w:fldCharType="end"/>
        </w:r>
      </w:hyperlink>
    </w:p>
    <w:p w14:paraId="39916576" w14:textId="773F744B" w:rsidR="00882459" w:rsidRDefault="005E0247" w:rsidP="00C32037">
      <w:pPr>
        <w:spacing w:after="0" w:line="240" w:lineRule="auto"/>
      </w:pPr>
      <w:r>
        <w:fldChar w:fldCharType="end"/>
      </w:r>
    </w:p>
    <w:p w14:paraId="2A351433" w14:textId="77777777" w:rsidR="00882459" w:rsidRDefault="00882459" w:rsidP="00C32037">
      <w:pPr>
        <w:spacing w:after="0" w:line="240" w:lineRule="auto"/>
      </w:pPr>
      <w:r>
        <w:br w:type="page"/>
      </w:r>
    </w:p>
    <w:p w14:paraId="0298314E" w14:textId="02ED768E" w:rsidR="000E0DBC" w:rsidRDefault="000E0DBC" w:rsidP="00C32037">
      <w:pPr>
        <w:pStyle w:val="Kop1"/>
        <w:spacing w:before="0" w:line="240" w:lineRule="auto"/>
      </w:pPr>
      <w:bookmarkStart w:id="1" w:name="_Toc74563078"/>
      <w:r>
        <w:lastRenderedPageBreak/>
        <w:t>Begrippenlijst</w:t>
      </w:r>
      <w:bookmarkEnd w:id="1"/>
      <w:r>
        <w:t xml:space="preserve"> </w:t>
      </w:r>
    </w:p>
    <w:p w14:paraId="32911675" w14:textId="77777777" w:rsidR="00B6123C" w:rsidRDefault="00B6123C" w:rsidP="00C32037">
      <w:pPr>
        <w:spacing w:after="0" w:line="240" w:lineRule="auto"/>
      </w:pPr>
    </w:p>
    <w:p w14:paraId="073A23AC" w14:textId="497BEF1D" w:rsidR="000E0DBC" w:rsidRDefault="00665E9B" w:rsidP="00C32037">
      <w:pPr>
        <w:spacing w:after="0" w:line="240" w:lineRule="auto"/>
      </w:pPr>
      <w:r>
        <w:t>In deze aanbestedingsleidraad worden de o</w:t>
      </w:r>
      <w:r w:rsidR="00AD13F9">
        <w:t>nderstaande begrippen gebruikt. De gedefinieerde begrippen kunnen zowel in enkelvoud als meervoud gebruikt worden. De begripsbepalingen zijn van toepassing op alle aanbestedingsstukken.</w:t>
      </w:r>
    </w:p>
    <w:p w14:paraId="5C772319" w14:textId="77777777" w:rsidR="00AD13F9" w:rsidRDefault="00AD13F9" w:rsidP="00C32037">
      <w:pPr>
        <w:spacing w:after="0" w:line="240" w:lineRule="auto"/>
      </w:pPr>
    </w:p>
    <w:p w14:paraId="618A56F6" w14:textId="6599F8BE" w:rsidR="00AD13F9" w:rsidRDefault="002953A4" w:rsidP="00C32037">
      <w:pPr>
        <w:spacing w:after="0" w:line="240" w:lineRule="auto"/>
      </w:pPr>
      <w:r>
        <w:rPr>
          <w:b/>
        </w:rPr>
        <w:t>Aanbestedende dienst</w:t>
      </w:r>
      <w:r w:rsidR="00AD13F9" w:rsidRPr="00AD13F9">
        <w:rPr>
          <w:b/>
        </w:rPr>
        <w:t>:</w:t>
      </w:r>
      <w:r w:rsidR="00AD13F9">
        <w:t xml:space="preserve"> </w:t>
      </w:r>
      <w:r w:rsidR="00AD13F9" w:rsidRPr="00AD13F9">
        <w:t>De staat, een provincie, een gemeente, een waterschap of een publiekrechtelijke instelling dan wel een samenwerkingsverband van deze overheden of publiekrechtelijke instellingen.</w:t>
      </w:r>
      <w:r w:rsidR="00AD13F9">
        <w:t xml:space="preserve"> In dit geval is dit de</w:t>
      </w:r>
      <w:r w:rsidR="0040176F">
        <w:t xml:space="preserve"> GR</w:t>
      </w:r>
      <w:r w:rsidR="00AD13F9">
        <w:t xml:space="preserve"> BAR-organisatie. Een gemeenschappelijke regeling van de drie gemeenten: Barendrecht, Albrandswaard en Ridderkerk.</w:t>
      </w:r>
    </w:p>
    <w:p w14:paraId="13371641" w14:textId="77777777" w:rsidR="00AD13F9" w:rsidRDefault="00AD13F9" w:rsidP="00C32037">
      <w:pPr>
        <w:spacing w:after="0" w:line="240" w:lineRule="auto"/>
      </w:pPr>
    </w:p>
    <w:p w14:paraId="435D6AE5" w14:textId="19606388" w:rsidR="00AD13F9" w:rsidRDefault="00AD13F9" w:rsidP="00C32037">
      <w:pPr>
        <w:spacing w:after="0" w:line="240" w:lineRule="auto"/>
      </w:pPr>
      <w:r w:rsidRPr="00AD13F9">
        <w:rPr>
          <w:b/>
        </w:rPr>
        <w:t>Aanbesteding:</w:t>
      </w:r>
      <w:r w:rsidRPr="00AD13F9">
        <w:t xml:space="preserve"> De procedure waarbij een </w:t>
      </w:r>
      <w:r w:rsidR="002953A4">
        <w:t>Aanbestedende dienst</w:t>
      </w:r>
      <w:r w:rsidRPr="00AD13F9">
        <w:t xml:space="preserve"> bekendmaakt dat hij een Opdracht wil laten uitvoeren en bedrijven vraagt om een Inschrijving/offerte in te dienen.</w:t>
      </w:r>
    </w:p>
    <w:p w14:paraId="71DA9E44" w14:textId="77777777" w:rsidR="000E0DBC" w:rsidRDefault="000E0DBC" w:rsidP="00C32037">
      <w:pPr>
        <w:spacing w:after="0" w:line="240" w:lineRule="auto"/>
      </w:pPr>
    </w:p>
    <w:p w14:paraId="6AF6970E" w14:textId="77777777" w:rsidR="000E0DBC" w:rsidRDefault="00AD13F9" w:rsidP="00C32037">
      <w:pPr>
        <w:spacing w:after="0" w:line="240" w:lineRule="auto"/>
      </w:pPr>
      <w:r w:rsidRPr="00AD13F9">
        <w:rPr>
          <w:b/>
        </w:rPr>
        <w:t>Aanbestedingsleidraad:</w:t>
      </w:r>
      <w:r w:rsidRPr="00AD13F9">
        <w:t xml:space="preserve"> Onderhavig document, inclusief bijbehorende bijlagen waarin alle informatie, eisen, wensen en voorwaarden zijn opgenomen die relevant zijn voor het kunnen uitbrengen van een Inschrijving in het kader van de (Europese) Aanbestedingsprocedure waarop deze betrekking heeft.</w:t>
      </w:r>
    </w:p>
    <w:p w14:paraId="110DD3C6" w14:textId="77777777" w:rsidR="00AD13F9" w:rsidRDefault="00AD13F9" w:rsidP="00C32037">
      <w:pPr>
        <w:spacing w:after="0" w:line="240" w:lineRule="auto"/>
      </w:pPr>
    </w:p>
    <w:p w14:paraId="5A8204C1" w14:textId="76A34266" w:rsidR="00AD13F9" w:rsidRDefault="00AD13F9" w:rsidP="00C32037">
      <w:pPr>
        <w:spacing w:after="0" w:line="240" w:lineRule="auto"/>
      </w:pPr>
      <w:r w:rsidRPr="00AD13F9">
        <w:rPr>
          <w:b/>
        </w:rPr>
        <w:t>Aanbestedingsprocedure:</w:t>
      </w:r>
      <w:r w:rsidRPr="00AD13F9">
        <w:t xml:space="preserve"> De gekozen procedure waarin de Opdracht in de markt wordt gezet, om te komen tot een Opdrachtverstrekking met één of meerdere Leveranciers</w:t>
      </w:r>
      <w:r>
        <w:t>/Aannemers</w:t>
      </w:r>
      <w:r w:rsidRPr="00AD13F9">
        <w:t xml:space="preserve">, zoals omschreven in de </w:t>
      </w:r>
      <w:r w:rsidRPr="00B04473">
        <w:t>ARW 2016.</w:t>
      </w:r>
      <w:r w:rsidR="0040176F">
        <w:t xml:space="preserve"> </w:t>
      </w:r>
    </w:p>
    <w:p w14:paraId="48FD584C" w14:textId="77777777" w:rsidR="00AD13F9" w:rsidRDefault="00AD13F9" w:rsidP="00C32037">
      <w:pPr>
        <w:spacing w:after="0" w:line="240" w:lineRule="auto"/>
      </w:pPr>
    </w:p>
    <w:p w14:paraId="3A3142F0" w14:textId="77777777" w:rsidR="00AD13F9" w:rsidRDefault="00AD13F9" w:rsidP="00C32037">
      <w:pPr>
        <w:spacing w:after="0" w:line="240" w:lineRule="auto"/>
      </w:pPr>
      <w:r w:rsidRPr="00AD13F9">
        <w:rPr>
          <w:b/>
        </w:rPr>
        <w:t>Aanbestedingsplatform:</w:t>
      </w:r>
      <w:r w:rsidRPr="00AD13F9">
        <w:t xml:space="preserve"> Het digitale platform TenderNed waarop de Aanbestedingsprocedure uitgevoerd wordt.</w:t>
      </w:r>
    </w:p>
    <w:p w14:paraId="0EE1B72D" w14:textId="77777777" w:rsidR="00AD13F9" w:rsidRDefault="00AD13F9" w:rsidP="00C32037">
      <w:pPr>
        <w:spacing w:after="0" w:line="240" w:lineRule="auto"/>
      </w:pPr>
    </w:p>
    <w:p w14:paraId="043CDF7D" w14:textId="545F72B5" w:rsidR="00AD13F9" w:rsidRDefault="00AD13F9" w:rsidP="00C32037">
      <w:pPr>
        <w:spacing w:after="0" w:line="240" w:lineRule="auto"/>
      </w:pPr>
      <w:r w:rsidRPr="00AD13F9">
        <w:rPr>
          <w:b/>
        </w:rPr>
        <w:t>Aanbestedingsstukken:</w:t>
      </w:r>
      <w:r w:rsidRPr="00AD13F9">
        <w:t xml:space="preserve"> Alle stukken die door de </w:t>
      </w:r>
      <w:r w:rsidR="002953A4">
        <w:t>Aanbestedende dienst</w:t>
      </w:r>
      <w:r w:rsidRPr="00AD13F9">
        <w:t xml:space="preserve"> worden opgesteld of vermeld ter omschrijving of bepaling van onderdelen van de Aanbestedingsprocedure.</w:t>
      </w:r>
    </w:p>
    <w:p w14:paraId="2E568358" w14:textId="205CD730" w:rsidR="00AD13F9" w:rsidRDefault="00AD13F9" w:rsidP="00C32037">
      <w:pPr>
        <w:spacing w:after="0" w:line="240" w:lineRule="auto"/>
      </w:pPr>
    </w:p>
    <w:p w14:paraId="24B81040" w14:textId="6FBCF45B" w:rsidR="00630E65" w:rsidRDefault="00630E65" w:rsidP="00C32037">
      <w:pPr>
        <w:spacing w:after="0" w:line="240" w:lineRule="auto"/>
      </w:pPr>
      <w:r w:rsidRPr="00630E65">
        <w:rPr>
          <w:b/>
        </w:rPr>
        <w:t>Aansluitingen:</w:t>
      </w:r>
      <w:r>
        <w:t xml:space="preserve"> Alle aansluitingen en/of locaties van de Opdrachtgever met een eigen aansluiting op het openbare elektriciteitsnet van de locaties, waaraan door Opdrachtnemer op grond van de raamovereenkomst zal worden geleverd.</w:t>
      </w:r>
    </w:p>
    <w:p w14:paraId="7B3C259E" w14:textId="77777777" w:rsidR="00630E65" w:rsidRDefault="00630E65" w:rsidP="00C32037">
      <w:pPr>
        <w:spacing w:after="0" w:line="240" w:lineRule="auto"/>
      </w:pPr>
    </w:p>
    <w:p w14:paraId="47F9A501" w14:textId="55F45A4F" w:rsidR="005E1D15" w:rsidRDefault="005E1D15" w:rsidP="00C32037">
      <w:pPr>
        <w:spacing w:after="0" w:line="240" w:lineRule="auto"/>
      </w:pPr>
      <w:r w:rsidRPr="005E1D15">
        <w:rPr>
          <w:b/>
        </w:rPr>
        <w:t>Bijlage:</w:t>
      </w:r>
      <w:r w:rsidRPr="005E1D15">
        <w:t xml:space="preserve"> Een bijlage onderdeel uitmakend bij één van de Aanbestedingsstukken.</w:t>
      </w:r>
    </w:p>
    <w:p w14:paraId="1A3967F0" w14:textId="12EAAD40" w:rsidR="00B44A61" w:rsidRDefault="00B44A61" w:rsidP="00C32037">
      <w:pPr>
        <w:spacing w:after="0" w:line="240" w:lineRule="auto"/>
      </w:pPr>
    </w:p>
    <w:p w14:paraId="5005321C" w14:textId="6A67969B" w:rsidR="00B44A61" w:rsidRDefault="00B44A61" w:rsidP="00C32037">
      <w:pPr>
        <w:spacing w:after="0" w:line="240" w:lineRule="auto"/>
      </w:pPr>
      <w:r w:rsidRPr="00B44A61">
        <w:rPr>
          <w:b/>
        </w:rPr>
        <w:t>Commodityprijs:</w:t>
      </w:r>
      <w:r>
        <w:t xml:space="preserve"> De gewogen gemiddelde ‘kale’ handelsmarktprijs van de (procentueel) gefixeerde delen van het desbetreffende collectieve contractvolume, exclusief Opslag(en) e.d. </w:t>
      </w:r>
    </w:p>
    <w:p w14:paraId="2309979F" w14:textId="60274A52" w:rsidR="00B44A61" w:rsidRDefault="00B44A61" w:rsidP="00C32037">
      <w:pPr>
        <w:spacing w:after="0" w:line="240" w:lineRule="auto"/>
      </w:pPr>
    </w:p>
    <w:p w14:paraId="5E5B0F5E" w14:textId="035C951C" w:rsidR="00B44A61" w:rsidRDefault="00B44A61" w:rsidP="00C32037">
      <w:pPr>
        <w:spacing w:after="0" w:line="240" w:lineRule="auto"/>
      </w:pPr>
      <w:r w:rsidRPr="00B44A61">
        <w:rPr>
          <w:b/>
        </w:rPr>
        <w:t>Dag:</w:t>
      </w:r>
      <w:r>
        <w:t xml:space="preserve"> Een periode van 24 uur vanaf 00:00 uur CET tot 24:00 uur CET de volgende kalenderdag.</w:t>
      </w:r>
    </w:p>
    <w:p w14:paraId="4F3BEFA1" w14:textId="77777777" w:rsidR="005E1D15" w:rsidRDefault="005E1D15" w:rsidP="00C32037">
      <w:pPr>
        <w:spacing w:after="0" w:line="240" w:lineRule="auto"/>
      </w:pPr>
    </w:p>
    <w:p w14:paraId="71F0F51B" w14:textId="657BFB80" w:rsidR="005A26C4" w:rsidRDefault="005A26C4" w:rsidP="00C32037">
      <w:pPr>
        <w:spacing w:after="0" w:line="240" w:lineRule="auto"/>
      </w:pPr>
      <w:r w:rsidRPr="005A26C4">
        <w:rPr>
          <w:b/>
        </w:rPr>
        <w:t>Definitieve gunning:</w:t>
      </w:r>
      <w:r w:rsidRPr="005A26C4">
        <w:t xml:space="preserve"> De mededeling van de gunningsbeslissing na de bezwaartermijn, zijnde geen aanvaarding als bedoeld in artikel 217, eerste lid, van Boek 6 van het Burgerlijk Wetboek van een aanbod van een ondernemer.</w:t>
      </w:r>
    </w:p>
    <w:p w14:paraId="606C3C0F" w14:textId="2655047F" w:rsidR="00B44A61" w:rsidRDefault="00B44A61" w:rsidP="00C32037">
      <w:pPr>
        <w:spacing w:after="0" w:line="240" w:lineRule="auto"/>
      </w:pPr>
    </w:p>
    <w:p w14:paraId="269A445F" w14:textId="62C361CA" w:rsidR="00B44A61" w:rsidRDefault="00B44A61" w:rsidP="00C32037">
      <w:pPr>
        <w:spacing w:after="0" w:line="240" w:lineRule="auto"/>
      </w:pPr>
      <w:r w:rsidRPr="00B44A61">
        <w:rPr>
          <w:b/>
        </w:rPr>
        <w:t>Duurzame Elektriciteit:</w:t>
      </w:r>
      <w:r>
        <w:t xml:space="preserve"> Elektriciteit die is opgewekt uit hernieuwbare bronnen in Nederlandse (additionele) productie-installatie, conform de omschrijving in de elektriciteitswet artikel 1 lid U.</w:t>
      </w:r>
    </w:p>
    <w:p w14:paraId="7C8B6DC0" w14:textId="77917A56" w:rsidR="003317D1" w:rsidRDefault="003317D1" w:rsidP="00C32037">
      <w:pPr>
        <w:spacing w:after="0" w:line="240" w:lineRule="auto"/>
      </w:pPr>
    </w:p>
    <w:p w14:paraId="230F1F91" w14:textId="759E78AD" w:rsidR="003317D1" w:rsidRDefault="003317D1" w:rsidP="00C32037">
      <w:pPr>
        <w:spacing w:after="0" w:line="240" w:lineRule="auto"/>
      </w:pPr>
      <w:r w:rsidRPr="003317D1">
        <w:rPr>
          <w:b/>
        </w:rPr>
        <w:t>EB:</w:t>
      </w:r>
      <w:r>
        <w:t xml:space="preserve"> Energiebelasting en opslag duurzame energie tezamen.</w:t>
      </w:r>
    </w:p>
    <w:p w14:paraId="43F81315" w14:textId="77777777" w:rsidR="005A26C4" w:rsidRDefault="005A26C4" w:rsidP="00C32037">
      <w:pPr>
        <w:spacing w:after="0" w:line="240" w:lineRule="auto"/>
      </w:pPr>
    </w:p>
    <w:p w14:paraId="1F00D34A" w14:textId="77777777" w:rsidR="005A26C4" w:rsidRDefault="005A26C4" w:rsidP="00C32037">
      <w:pPr>
        <w:spacing w:after="0" w:line="240" w:lineRule="auto"/>
      </w:pPr>
      <w:r w:rsidRPr="005A26C4">
        <w:rPr>
          <w:b/>
        </w:rPr>
        <w:lastRenderedPageBreak/>
        <w:t>Economisch Meest Voordelige Inschrijving (EMVI):</w:t>
      </w:r>
      <w:r>
        <w:t xml:space="preserve"> EMVI is het overkoepelende begrip voor de drie gunningcriteria:</w:t>
      </w:r>
    </w:p>
    <w:p w14:paraId="7DB67C5F" w14:textId="77777777" w:rsidR="005A26C4" w:rsidRDefault="005A26C4" w:rsidP="00C32037">
      <w:pPr>
        <w:pStyle w:val="Lijstalinea"/>
        <w:numPr>
          <w:ilvl w:val="0"/>
          <w:numId w:val="1"/>
        </w:numPr>
        <w:spacing w:after="0" w:line="240" w:lineRule="auto"/>
      </w:pPr>
      <w:r>
        <w:t>Laagste prijs;</w:t>
      </w:r>
    </w:p>
    <w:p w14:paraId="5CCE3515" w14:textId="2A2E1C50" w:rsidR="005A26C4" w:rsidRDefault="005A26C4" w:rsidP="00C32037">
      <w:pPr>
        <w:pStyle w:val="Lijstalinea"/>
        <w:numPr>
          <w:ilvl w:val="0"/>
          <w:numId w:val="1"/>
        </w:numPr>
        <w:spacing w:after="0" w:line="240" w:lineRule="auto"/>
      </w:pPr>
      <w:r>
        <w:t>Laagste leve</w:t>
      </w:r>
      <w:r w:rsidR="00281C4B">
        <w:t>rings</w:t>
      </w:r>
      <w:r>
        <w:t>kosten;</w:t>
      </w:r>
    </w:p>
    <w:p w14:paraId="6DD7481C" w14:textId="2F5CC387" w:rsidR="005A26C4" w:rsidRDefault="005A26C4" w:rsidP="00C32037">
      <w:pPr>
        <w:pStyle w:val="Lijstalinea"/>
        <w:numPr>
          <w:ilvl w:val="0"/>
          <w:numId w:val="1"/>
        </w:numPr>
        <w:spacing w:after="0" w:line="240" w:lineRule="auto"/>
      </w:pPr>
      <w:r>
        <w:t>Beste prijs-kwaliteitverhouding.</w:t>
      </w:r>
    </w:p>
    <w:p w14:paraId="14C5D5A2" w14:textId="1057EDF8" w:rsidR="003317D1" w:rsidRDefault="003317D1" w:rsidP="003317D1">
      <w:pPr>
        <w:spacing w:after="0" w:line="240" w:lineRule="auto"/>
      </w:pPr>
    </w:p>
    <w:p w14:paraId="18510841" w14:textId="4C65C219" w:rsidR="003317D1" w:rsidRDefault="003317D1" w:rsidP="003317D1">
      <w:pPr>
        <w:spacing w:after="0" w:line="240" w:lineRule="auto"/>
      </w:pPr>
      <w:r w:rsidRPr="003317D1">
        <w:rPr>
          <w:b/>
        </w:rPr>
        <w:t>ENDEX:</w:t>
      </w:r>
      <w:r>
        <w:t xml:space="preserve"> De ICE-ENDEX handelsmarkt (</w:t>
      </w:r>
      <w:hyperlink r:id="rId8" w:history="1">
        <w:r w:rsidRPr="00BE6A81">
          <w:rPr>
            <w:rStyle w:val="Hyperlink"/>
          </w:rPr>
          <w:t>www.theice.com</w:t>
        </w:r>
      </w:hyperlink>
      <w:r>
        <w:t>)</w:t>
      </w:r>
    </w:p>
    <w:p w14:paraId="76F64012" w14:textId="2AC9C860" w:rsidR="000E0DBC" w:rsidRDefault="000E0DBC" w:rsidP="00C32037">
      <w:pPr>
        <w:spacing w:after="0" w:line="240" w:lineRule="auto"/>
      </w:pPr>
    </w:p>
    <w:p w14:paraId="1A18CB9E" w14:textId="2E8C272A" w:rsidR="003317D1" w:rsidRDefault="003317D1" w:rsidP="00C32037">
      <w:pPr>
        <w:spacing w:after="0" w:line="240" w:lineRule="auto"/>
      </w:pPr>
      <w:r w:rsidRPr="003317D1">
        <w:rPr>
          <w:b/>
        </w:rPr>
        <w:t>Enkeltarief:</w:t>
      </w:r>
      <w:r>
        <w:t xml:space="preserve"> Prijs voor alle kWh-en zonder onderscheid tussen PEAK en OFFPEAK bij Aansluitingen met een enkeltarief meting.</w:t>
      </w:r>
    </w:p>
    <w:p w14:paraId="51C73A11" w14:textId="06C032B5" w:rsidR="003317D1" w:rsidRDefault="003317D1" w:rsidP="00C32037">
      <w:pPr>
        <w:spacing w:after="0" w:line="240" w:lineRule="auto"/>
      </w:pPr>
    </w:p>
    <w:p w14:paraId="1665FBE2" w14:textId="25516413" w:rsidR="003317D1" w:rsidRDefault="003317D1" w:rsidP="00C32037">
      <w:pPr>
        <w:spacing w:after="0" w:line="240" w:lineRule="auto"/>
      </w:pPr>
      <w:r w:rsidRPr="003317D1">
        <w:rPr>
          <w:b/>
        </w:rPr>
        <w:t>Enkelverbruik:</w:t>
      </w:r>
      <w:r>
        <w:t xml:space="preserve"> Verbruik van alle kWh-en op Aansluitingen zonder onderscheid tussen PEAK en OFFPEAK.</w:t>
      </w:r>
    </w:p>
    <w:p w14:paraId="419C9631" w14:textId="0C12659A" w:rsidR="003317D1" w:rsidRDefault="003317D1" w:rsidP="00C32037">
      <w:pPr>
        <w:spacing w:after="0" w:line="240" w:lineRule="auto"/>
      </w:pPr>
    </w:p>
    <w:p w14:paraId="38D0714E" w14:textId="48550CBC" w:rsidR="00BB33B9" w:rsidRDefault="00BB33B9" w:rsidP="00C32037">
      <w:pPr>
        <w:spacing w:after="0" w:line="240" w:lineRule="auto"/>
      </w:pPr>
      <w:r w:rsidRPr="00BB33B9">
        <w:rPr>
          <w:b/>
        </w:rPr>
        <w:t xml:space="preserve">E-wet: </w:t>
      </w:r>
      <w:r>
        <w:t>Wet van juli 1998 houdende regels met betrekking tot de productie, het transport en de levering van elektriciteit (Elektriciteitswet 1998)</w:t>
      </w:r>
    </w:p>
    <w:p w14:paraId="45A6C476" w14:textId="77777777" w:rsidR="00BB33B9" w:rsidRDefault="00BB33B9" w:rsidP="00C32037">
      <w:pPr>
        <w:spacing w:after="0" w:line="240" w:lineRule="auto"/>
      </w:pPr>
    </w:p>
    <w:p w14:paraId="00D32441" w14:textId="20729FD7" w:rsidR="00A30A05" w:rsidRDefault="00A30A05" w:rsidP="00C32037">
      <w:pPr>
        <w:spacing w:after="0" w:line="240" w:lineRule="auto"/>
      </w:pPr>
      <w:r w:rsidRPr="00A30A05">
        <w:rPr>
          <w:b/>
        </w:rPr>
        <w:t>Grootverbruik</w:t>
      </w:r>
      <w:r>
        <w:rPr>
          <w:b/>
        </w:rPr>
        <w:t>s</w:t>
      </w:r>
      <w:r w:rsidRPr="00A30A05">
        <w:rPr>
          <w:b/>
        </w:rPr>
        <w:t>aansluitingen (</w:t>
      </w:r>
      <w:r w:rsidRPr="00A30A05">
        <w:rPr>
          <w:b/>
          <w:i/>
        </w:rPr>
        <w:t>GV</w:t>
      </w:r>
      <w:r w:rsidRPr="00A30A05">
        <w:rPr>
          <w:b/>
        </w:rPr>
        <w:t>):</w:t>
      </w:r>
      <w:r>
        <w:t xml:space="preserve"> </w:t>
      </w:r>
      <w:r w:rsidR="003511C0">
        <w:t>Een</w:t>
      </w:r>
      <w:r>
        <w:t xml:space="preserve"> aansluiting die zwaarder dan 3 x 80 Ampère gezekerd is.</w:t>
      </w:r>
    </w:p>
    <w:p w14:paraId="40330C8B" w14:textId="77777777" w:rsidR="00A30A05" w:rsidRDefault="00A30A05" w:rsidP="00C32037">
      <w:pPr>
        <w:spacing w:after="0" w:line="240" w:lineRule="auto"/>
      </w:pPr>
    </w:p>
    <w:p w14:paraId="6004F3F0" w14:textId="77777777" w:rsidR="000E0DBC" w:rsidRDefault="005A26C4" w:rsidP="00C32037">
      <w:pPr>
        <w:spacing w:after="0" w:line="240" w:lineRule="auto"/>
      </w:pPr>
      <w:r w:rsidRPr="005A26C4">
        <w:rPr>
          <w:b/>
        </w:rPr>
        <w:t>Gunningsbeslissing:</w:t>
      </w:r>
      <w:r w:rsidRPr="005A26C4">
        <w:t xml:space="preserve"> De keuze van de Inkopende dienst voor de Ondernemer aan wie hij voornemens is de Opdracht te gunnen waarop de procedure betrekking had te sluiten, waaronder mede wordt verstaan de keuze om geen Opdracht te gunnen te sluiten.</w:t>
      </w:r>
    </w:p>
    <w:p w14:paraId="390F32B4" w14:textId="77777777" w:rsidR="000E0DBC" w:rsidRDefault="000E0DBC" w:rsidP="00C32037">
      <w:pPr>
        <w:spacing w:after="0" w:line="240" w:lineRule="auto"/>
      </w:pPr>
    </w:p>
    <w:p w14:paraId="318FD672" w14:textId="45D5EFE1" w:rsidR="00D64A54" w:rsidRDefault="00D64A54" w:rsidP="00C32037">
      <w:pPr>
        <w:spacing w:after="0" w:line="240" w:lineRule="auto"/>
      </w:pPr>
      <w:r w:rsidRPr="00D64A54">
        <w:rPr>
          <w:b/>
        </w:rPr>
        <w:t>Gunningcriteria:</w:t>
      </w:r>
      <w:r>
        <w:rPr>
          <w:b/>
        </w:rPr>
        <w:t xml:space="preserve"> </w:t>
      </w:r>
      <w:r>
        <w:t xml:space="preserve">Criteria op basis waarvan de Opdracht zal worden gegund. Er is één hoofdcriterium namelijk de ‘economisch </w:t>
      </w:r>
      <w:r w:rsidR="006A146E">
        <w:t>meest voordelige inschrijving’ d</w:t>
      </w:r>
      <w:r>
        <w:t xml:space="preserve">aarbinnen onderscheidt de wetgever de volgende drie afzonderlijke gunningcriteria: (a) de beste prijs-kwaliteitverhouding, (b) laagste kosten berekend op basis van kosteneffectiviteit en (c) de laagste prijs (art. 2.114 AW). </w:t>
      </w:r>
      <w:r w:rsidRPr="00B04473">
        <w:t xml:space="preserve">Voor deze procedure is </w:t>
      </w:r>
      <w:r w:rsidRPr="009705FD">
        <w:t>‘de laagste prijs’</w:t>
      </w:r>
      <w:r w:rsidRPr="00B04473">
        <w:t xml:space="preserve"> van</w:t>
      </w:r>
      <w:r>
        <w:t xml:space="preserve"> toepassing.</w:t>
      </w:r>
    </w:p>
    <w:p w14:paraId="3B606B3F" w14:textId="2704E70A" w:rsidR="006130D0" w:rsidRDefault="006130D0" w:rsidP="00C32037">
      <w:pPr>
        <w:spacing w:after="0" w:line="240" w:lineRule="auto"/>
      </w:pPr>
    </w:p>
    <w:p w14:paraId="02204167" w14:textId="46DB04AF" w:rsidR="006130D0" w:rsidRDefault="006130D0" w:rsidP="00C32037">
      <w:pPr>
        <w:spacing w:after="0" w:line="240" w:lineRule="auto"/>
      </w:pPr>
      <w:r w:rsidRPr="006130D0">
        <w:rPr>
          <w:b/>
        </w:rPr>
        <w:t>GVO (garantie van oorsprong):</w:t>
      </w:r>
      <w:r>
        <w:t xml:space="preserve"> Het bewijs van opwekking van Duurzame elektriciteit. Met één Garantie van Oorsprong kan 1 megawattuur (MWh) elektriciteit geproduceerd uit hernieuwbare bronnen worden aangetoond. GVO’s worden uitgegeven en geregistreerd door CertiQ.</w:t>
      </w:r>
    </w:p>
    <w:p w14:paraId="7622B3EB" w14:textId="77777777" w:rsidR="00D64A54" w:rsidRDefault="00D64A54" w:rsidP="00C32037">
      <w:pPr>
        <w:spacing w:after="0" w:line="240" w:lineRule="auto"/>
      </w:pPr>
    </w:p>
    <w:p w14:paraId="3A5327CA" w14:textId="77777777" w:rsidR="000E0DBC" w:rsidRDefault="00D64A54" w:rsidP="00C32037">
      <w:pPr>
        <w:spacing w:after="0" w:line="240" w:lineRule="auto"/>
      </w:pPr>
      <w:r w:rsidRPr="00D64A54">
        <w:rPr>
          <w:b/>
        </w:rPr>
        <w:t>Inschrijver:</w:t>
      </w:r>
      <w:r w:rsidRPr="00D64A54">
        <w:t xml:space="preserve"> Een Ondernemer die een inschrijving heeft ingediend.</w:t>
      </w:r>
    </w:p>
    <w:p w14:paraId="232A317F" w14:textId="77777777" w:rsidR="000E0DBC" w:rsidRDefault="000E0DBC" w:rsidP="00C32037">
      <w:pPr>
        <w:spacing w:after="0" w:line="240" w:lineRule="auto"/>
      </w:pPr>
    </w:p>
    <w:p w14:paraId="24B9A90F" w14:textId="77777777" w:rsidR="000E0DBC" w:rsidRDefault="00D64A54" w:rsidP="00C32037">
      <w:pPr>
        <w:spacing w:after="0" w:line="240" w:lineRule="auto"/>
      </w:pPr>
      <w:r w:rsidRPr="00D64A54">
        <w:rPr>
          <w:b/>
        </w:rPr>
        <w:t>Inschrijving:</w:t>
      </w:r>
      <w:r w:rsidRPr="00D64A54">
        <w:t xml:space="preserve"> De door Inschrijver op basis van deze Aanbestedingsleidraad ingediende Inschrijving, inclusief bijlagen.</w:t>
      </w:r>
    </w:p>
    <w:p w14:paraId="7F5500CB" w14:textId="1025ACF2" w:rsidR="005D6D66" w:rsidRDefault="005D6D66" w:rsidP="00C32037">
      <w:pPr>
        <w:spacing w:after="0" w:line="240" w:lineRule="auto"/>
      </w:pPr>
    </w:p>
    <w:p w14:paraId="10686D8C" w14:textId="5439DA6E" w:rsidR="003511C0" w:rsidRDefault="003511C0" w:rsidP="00C32037">
      <w:pPr>
        <w:spacing w:after="0" w:line="240" w:lineRule="auto"/>
      </w:pPr>
      <w:r>
        <w:rPr>
          <w:b/>
        </w:rPr>
        <w:t>Kleinverbruiks</w:t>
      </w:r>
      <w:r w:rsidRPr="003511C0">
        <w:rPr>
          <w:b/>
        </w:rPr>
        <w:t>aansluiting (</w:t>
      </w:r>
      <w:r w:rsidRPr="003511C0">
        <w:rPr>
          <w:b/>
          <w:i/>
        </w:rPr>
        <w:t>KV</w:t>
      </w:r>
      <w:r w:rsidRPr="003511C0">
        <w:rPr>
          <w:b/>
        </w:rPr>
        <w:t>):</w:t>
      </w:r>
      <w:r>
        <w:t xml:space="preserve"> Een aansluiting die voor ten hoogste 3 x 80 Ampère gezekerd is.</w:t>
      </w:r>
    </w:p>
    <w:p w14:paraId="667CC906" w14:textId="77777777" w:rsidR="003511C0" w:rsidRDefault="003511C0" w:rsidP="00C32037">
      <w:pPr>
        <w:spacing w:after="0" w:line="240" w:lineRule="auto"/>
      </w:pPr>
    </w:p>
    <w:p w14:paraId="019768B7" w14:textId="1CF24BAA" w:rsidR="00D64A54" w:rsidRDefault="005D6D66" w:rsidP="00C32037">
      <w:pPr>
        <w:spacing w:after="0" w:line="240" w:lineRule="auto"/>
      </w:pPr>
      <w:r w:rsidRPr="005D6D66">
        <w:rPr>
          <w:b/>
        </w:rPr>
        <w:t>kWh enkeltarief:</w:t>
      </w:r>
      <w:r>
        <w:t xml:space="preserve"> Kilowatturen verbruikt bij meting door een meter met enkel telwerk.</w:t>
      </w:r>
    </w:p>
    <w:p w14:paraId="3079BC79" w14:textId="77777777" w:rsidR="005D6D66" w:rsidRDefault="005D6D66" w:rsidP="00C32037">
      <w:pPr>
        <w:spacing w:after="0" w:line="240" w:lineRule="auto"/>
      </w:pPr>
    </w:p>
    <w:p w14:paraId="255E1919" w14:textId="40A23886" w:rsidR="006D3A17" w:rsidRDefault="006D3A17" w:rsidP="00C32037">
      <w:pPr>
        <w:spacing w:after="0" w:line="240" w:lineRule="auto"/>
      </w:pPr>
      <w:r w:rsidRPr="006D3A17">
        <w:rPr>
          <w:b/>
        </w:rPr>
        <w:t>kWh hoogtarief</w:t>
      </w:r>
      <w:r>
        <w:t>: Kilowatturen afgenomen gedurende hoogtariefuren. Onder hoogtariefuren wordt verstaan: werkdagen (van maandag tot en met v</w:t>
      </w:r>
      <w:r w:rsidR="009705FD">
        <w:t>r</w:t>
      </w:r>
      <w:r w:rsidR="00B44A61">
        <w:t>ijdag) van 07:00 tot 23:00 uur.</w:t>
      </w:r>
    </w:p>
    <w:p w14:paraId="69F32C40" w14:textId="27A61E9C" w:rsidR="006D3A17" w:rsidRDefault="006D3A17" w:rsidP="00C32037">
      <w:pPr>
        <w:spacing w:after="0" w:line="240" w:lineRule="auto"/>
      </w:pPr>
    </w:p>
    <w:p w14:paraId="038EAE8B" w14:textId="6BF348F6" w:rsidR="006D3A17" w:rsidRDefault="006D3A17" w:rsidP="00C32037">
      <w:pPr>
        <w:spacing w:after="0" w:line="240" w:lineRule="auto"/>
      </w:pPr>
      <w:r w:rsidRPr="006D3A17">
        <w:rPr>
          <w:b/>
        </w:rPr>
        <w:t>kWh laagtarief:</w:t>
      </w:r>
      <w:r>
        <w:t xml:space="preserve"> Alle overige </w:t>
      </w:r>
      <w:r w:rsidR="00411915">
        <w:t>Kilowatt</w:t>
      </w:r>
      <w:r>
        <w:t>uren</w:t>
      </w:r>
      <w:r w:rsidR="00411915">
        <w:t xml:space="preserve"> afgenomen</w:t>
      </w:r>
      <w:r>
        <w:t xml:space="preserve"> die aangemerkt worden als laagtariefuren</w:t>
      </w:r>
      <w:r w:rsidR="00411915">
        <w:t xml:space="preserve">. Onder laagtariefuren worden tevens </w:t>
      </w:r>
      <w:r>
        <w:t>de officieel erkende feestdagen verstaan en deze zijn: nieuwjaarsdag, 1</w:t>
      </w:r>
      <w:r w:rsidRPr="006D3A17">
        <w:rPr>
          <w:vertAlign w:val="superscript"/>
        </w:rPr>
        <w:t>e</w:t>
      </w:r>
      <w:r>
        <w:t xml:space="preserve"> en 2</w:t>
      </w:r>
      <w:r w:rsidRPr="006D3A17">
        <w:rPr>
          <w:vertAlign w:val="superscript"/>
        </w:rPr>
        <w:t>e</w:t>
      </w:r>
      <w:r>
        <w:t xml:space="preserve"> paasdag, Koningsdag 27 april, </w:t>
      </w:r>
      <w:r w:rsidR="00FD04C8">
        <w:t xml:space="preserve">Bevrijdingsdag, </w:t>
      </w:r>
      <w:r>
        <w:t>Hemelvaartsdag, 1</w:t>
      </w:r>
      <w:r w:rsidRPr="006D3A17">
        <w:rPr>
          <w:vertAlign w:val="superscript"/>
        </w:rPr>
        <w:t>e</w:t>
      </w:r>
      <w:r>
        <w:t xml:space="preserve"> en 2</w:t>
      </w:r>
      <w:r w:rsidRPr="006D3A17">
        <w:rPr>
          <w:vertAlign w:val="superscript"/>
        </w:rPr>
        <w:t>e</w:t>
      </w:r>
      <w:r>
        <w:t xml:space="preserve"> pinksterdag en 1</w:t>
      </w:r>
      <w:r w:rsidRPr="006D3A17">
        <w:rPr>
          <w:vertAlign w:val="superscript"/>
        </w:rPr>
        <w:t>e</w:t>
      </w:r>
      <w:r>
        <w:t xml:space="preserve"> en 2</w:t>
      </w:r>
      <w:r w:rsidRPr="006D3A17">
        <w:rPr>
          <w:vertAlign w:val="superscript"/>
        </w:rPr>
        <w:t>e</w:t>
      </w:r>
      <w:r>
        <w:t xml:space="preserve"> kerstdag, van 07</w:t>
      </w:r>
      <w:r w:rsidR="00411915">
        <w:t>:00 tot 23</w:t>
      </w:r>
      <w:r>
        <w:t>:00 uur.</w:t>
      </w:r>
    </w:p>
    <w:p w14:paraId="725A9466" w14:textId="77777777" w:rsidR="006D3A17" w:rsidRDefault="006D3A17" w:rsidP="00C32037">
      <w:pPr>
        <w:spacing w:after="0" w:line="240" w:lineRule="auto"/>
      </w:pPr>
    </w:p>
    <w:p w14:paraId="2898D3CD" w14:textId="3FBC68B9" w:rsidR="00D64A54" w:rsidRDefault="00D64A54" w:rsidP="00C32037">
      <w:pPr>
        <w:spacing w:after="0" w:line="240" w:lineRule="auto"/>
      </w:pPr>
      <w:r w:rsidRPr="00D64A54">
        <w:rPr>
          <w:b/>
        </w:rPr>
        <w:t>Leverancier:</w:t>
      </w:r>
      <w:r w:rsidRPr="00D64A54">
        <w:t xml:space="preserve"> Een ieder die producten op de markt aanbiedt.</w:t>
      </w:r>
    </w:p>
    <w:p w14:paraId="3A0A470A" w14:textId="5B76F8D0" w:rsidR="00630E65" w:rsidRDefault="00630E65" w:rsidP="00C32037">
      <w:pPr>
        <w:spacing w:after="0" w:line="240" w:lineRule="auto"/>
      </w:pPr>
    </w:p>
    <w:p w14:paraId="7E3429E9" w14:textId="182F0E18" w:rsidR="00630E65" w:rsidRDefault="00630E65" w:rsidP="00C32037">
      <w:pPr>
        <w:spacing w:after="0" w:line="240" w:lineRule="auto"/>
      </w:pPr>
      <w:r w:rsidRPr="00630E65">
        <w:rPr>
          <w:b/>
        </w:rPr>
        <w:t>Levering:</w:t>
      </w:r>
      <w:r>
        <w:t xml:space="preserve"> De levering van elektriciteit via het openbare elektri</w:t>
      </w:r>
      <w:r w:rsidR="009705FD">
        <w:t>citeitsnet aan de aansluitingen, inclusief de overname van de Programmaverantwoordelijkheid van de Opdrachtgever door Opdrachtnemer.</w:t>
      </w:r>
    </w:p>
    <w:p w14:paraId="76A3FBD8" w14:textId="5ECF1D76" w:rsidR="00363B03" w:rsidRDefault="00363B03" w:rsidP="00C32037">
      <w:pPr>
        <w:spacing w:after="0" w:line="240" w:lineRule="auto"/>
      </w:pPr>
    </w:p>
    <w:p w14:paraId="4AAA1647" w14:textId="346ADD95" w:rsidR="00363B03" w:rsidRDefault="00363B03" w:rsidP="00C32037">
      <w:pPr>
        <w:spacing w:after="0" w:line="240" w:lineRule="auto"/>
      </w:pPr>
      <w:r w:rsidRPr="00363B03">
        <w:rPr>
          <w:b/>
        </w:rPr>
        <w:t>Meetinrichting:</w:t>
      </w:r>
      <w:r>
        <w:t xml:space="preserve"> De apparatuur bestemd voor het vaststellen van de omvang van de levering, van de voor de afrekening door de Opdrachtnemer nodig geachte gegevens en voor de controle van de afname</w:t>
      </w:r>
      <w:r w:rsidR="005D24E2">
        <w:t>. I</w:t>
      </w:r>
      <w:r>
        <w:t>ndien van toepassing voor de vaststelling van de omvang van het transport van gas.</w:t>
      </w:r>
    </w:p>
    <w:p w14:paraId="02C36584" w14:textId="40CE501F" w:rsidR="009705FD" w:rsidRDefault="009705FD" w:rsidP="00C32037">
      <w:pPr>
        <w:spacing w:after="0" w:line="240" w:lineRule="auto"/>
      </w:pPr>
    </w:p>
    <w:p w14:paraId="45E486C9" w14:textId="1A3432CD" w:rsidR="009705FD" w:rsidRDefault="009705FD" w:rsidP="00C32037">
      <w:pPr>
        <w:spacing w:after="0" w:line="240" w:lineRule="auto"/>
      </w:pPr>
      <w:r w:rsidRPr="009705FD">
        <w:rPr>
          <w:b/>
        </w:rPr>
        <w:t>Mutatie:</w:t>
      </w:r>
      <w:r>
        <w:t xml:space="preserve"> </w:t>
      </w:r>
      <w:r w:rsidR="00FB3C88">
        <w:t>Een</w:t>
      </w:r>
      <w:r>
        <w:t xml:space="preserve"> </w:t>
      </w:r>
      <w:r w:rsidR="00FB3C88">
        <w:t xml:space="preserve">wijziging ten aanzien van de Aansluitingen door: </w:t>
      </w:r>
      <w:r>
        <w:t xml:space="preserve">verandering van Leverancier (switch) of een Inhuizing of Uithuizing of Opheffing/Aanmelding of een Naamswijziging </w:t>
      </w:r>
      <w:r w:rsidR="00FB3C88">
        <w:t>van een Aansluiting.</w:t>
      </w:r>
    </w:p>
    <w:p w14:paraId="19EC240D" w14:textId="10A1BC0A" w:rsidR="009705FD" w:rsidRDefault="009705FD" w:rsidP="00C32037">
      <w:pPr>
        <w:spacing w:after="0" w:line="240" w:lineRule="auto"/>
      </w:pPr>
    </w:p>
    <w:p w14:paraId="27B779A4" w14:textId="2E515E15" w:rsidR="009705FD" w:rsidRDefault="009705FD" w:rsidP="00C32037">
      <w:pPr>
        <w:spacing w:after="0" w:line="240" w:lineRule="auto"/>
      </w:pPr>
      <w:r w:rsidRPr="009705FD">
        <w:rPr>
          <w:b/>
        </w:rPr>
        <w:t>Mutatiebandbreedte:</w:t>
      </w:r>
      <w:r>
        <w:t xml:space="preserve"> Een aan de Opdrachtgever toegekende marge op het aantal Aansluitingen in een percentage, waarbinnen het is toegestaan om af te wijken van het aantal Aansluitingen in de vorm van het toevoegen of afstoten van Aansluitingen, waaronder ook In- en/of Uithuizingen door koop, huur, nieuwbouw, sloop, verhuizing e.d. van toepassing zijn. Zonder dat dit financiële consequenties tot gevolg heeft binnen de voorwaarden van de Raamovereenkomst. </w:t>
      </w:r>
    </w:p>
    <w:p w14:paraId="4BD920FD" w14:textId="1AF6D16B" w:rsidR="00D64A54" w:rsidRDefault="00D64A54" w:rsidP="00C32037">
      <w:pPr>
        <w:spacing w:after="0" w:line="240" w:lineRule="auto"/>
      </w:pPr>
    </w:p>
    <w:p w14:paraId="09CCB710" w14:textId="613F39E4" w:rsidR="006D3A17" w:rsidRDefault="006D3A17" w:rsidP="00C32037">
      <w:pPr>
        <w:spacing w:after="0" w:line="240" w:lineRule="auto"/>
      </w:pPr>
      <w:r w:rsidRPr="006D3A17">
        <w:rPr>
          <w:b/>
        </w:rPr>
        <w:t>Netbeheerder</w:t>
      </w:r>
      <w:r>
        <w:t>: Een vennootschap die door de neteigenaar c.q. de minister van Economische Zaken is aangewezen voor het beheer van één of meerdere elektriciteitsnetten.</w:t>
      </w:r>
    </w:p>
    <w:p w14:paraId="519CC5E1" w14:textId="63F4679B" w:rsidR="003062DE" w:rsidRDefault="003062DE" w:rsidP="00C32037">
      <w:pPr>
        <w:spacing w:after="0" w:line="240" w:lineRule="auto"/>
      </w:pPr>
    </w:p>
    <w:p w14:paraId="34840C56" w14:textId="5E1835EC" w:rsidR="008B6AC3" w:rsidRDefault="003062DE" w:rsidP="00C32037">
      <w:pPr>
        <w:spacing w:after="0" w:line="240" w:lineRule="auto"/>
      </w:pPr>
      <w:r w:rsidRPr="003062DE">
        <w:rPr>
          <w:b/>
        </w:rPr>
        <w:t>Netgebruiker:</w:t>
      </w:r>
      <w:r>
        <w:t xml:space="preserve"> Degene voor wie met behulp van een gastransportnet het tr</w:t>
      </w:r>
      <w:r w:rsidR="008B6AC3">
        <w:t>ansport van gas wordt verricht.</w:t>
      </w:r>
    </w:p>
    <w:p w14:paraId="461CF6FC" w14:textId="77777777" w:rsidR="008B6AC3" w:rsidRDefault="008B6AC3" w:rsidP="00C32037">
      <w:pPr>
        <w:spacing w:after="0" w:line="240" w:lineRule="auto"/>
      </w:pPr>
    </w:p>
    <w:p w14:paraId="63D370AC" w14:textId="578AB01E" w:rsidR="00D64A54" w:rsidRDefault="00D64A54" w:rsidP="00C32037">
      <w:pPr>
        <w:spacing w:after="0" w:line="240" w:lineRule="auto"/>
      </w:pPr>
      <w:r w:rsidRPr="00D64A54">
        <w:rPr>
          <w:b/>
        </w:rPr>
        <w:t>Nota van Inlichtingen:</w:t>
      </w:r>
      <w:r w:rsidRPr="00D64A54">
        <w:t xml:space="preserve"> Aanvulling op de eerder gepubliceerde Aanbestedingsstukken</w:t>
      </w:r>
      <w:r w:rsidR="001210D1">
        <w:t xml:space="preserve"> via TenderNed</w:t>
      </w:r>
      <w:r w:rsidRPr="00D64A54">
        <w:t>, die onlosmakelijk onderdeel vormt van de Aanbestedingsdocumenten.</w:t>
      </w:r>
      <w:r w:rsidR="001210D1">
        <w:t xml:space="preserve"> Vragen en/of opmerkingen kunnen via TenderNed ingediend worden onder de ‘vragen en antwoorden’</w:t>
      </w:r>
      <w:r w:rsidR="00B04473">
        <w:t xml:space="preserve"> </w:t>
      </w:r>
      <w:r w:rsidR="001210D1">
        <w:t xml:space="preserve">module op TenderNed. De Inschrijver dient </w:t>
      </w:r>
      <w:r w:rsidR="00513C22" w:rsidRPr="00513C22">
        <w:rPr>
          <w:u w:val="single"/>
        </w:rPr>
        <w:t>per vak</w:t>
      </w:r>
      <w:r w:rsidR="00513C22">
        <w:rPr>
          <w:u w:val="single"/>
        </w:rPr>
        <w:t xml:space="preserve"> één vraag te stellen</w:t>
      </w:r>
      <w:r w:rsidR="00513C22" w:rsidRPr="00513C22">
        <w:t xml:space="preserve"> en deze</w:t>
      </w:r>
      <w:r w:rsidR="00513C22">
        <w:t xml:space="preserve"> </w:t>
      </w:r>
      <w:r w:rsidR="001210D1">
        <w:t xml:space="preserve">duidelijk aan te geven op welk document, paragraaf-, paginanummer dan wel de bijlage de betreffende vraag betrekking heeft. </w:t>
      </w:r>
    </w:p>
    <w:p w14:paraId="41966813" w14:textId="3E145BAE" w:rsidR="000E0DBC" w:rsidRDefault="000E0DBC" w:rsidP="00C32037">
      <w:pPr>
        <w:spacing w:after="0" w:line="240" w:lineRule="auto"/>
      </w:pPr>
    </w:p>
    <w:p w14:paraId="2E0DFFA6" w14:textId="00288B62" w:rsidR="006A07D4" w:rsidRDefault="006A07D4" w:rsidP="00C32037">
      <w:pPr>
        <w:spacing w:after="0" w:line="240" w:lineRule="auto"/>
      </w:pPr>
      <w:r w:rsidRPr="006A07D4">
        <w:rPr>
          <w:b/>
        </w:rPr>
        <w:t>OFFPEAK:</w:t>
      </w:r>
      <w:r>
        <w:t xml:space="preserve"> </w:t>
      </w:r>
      <w:r w:rsidR="00B44A61">
        <w:t>M</w:t>
      </w:r>
      <w:r>
        <w:t xml:space="preserve">et betrekking tot </w:t>
      </w:r>
      <w:r w:rsidR="00B44A61">
        <w:t>I</w:t>
      </w:r>
      <w:r>
        <w:t>nkoo</w:t>
      </w:r>
      <w:r w:rsidR="00B44A61">
        <w:t>p op Endex op werkdagen van 20:00 uur tot 08:00 uur en het weekend de gehele dag.  Met betrekking tot facturatie geldt de kWh-laagtarief.</w:t>
      </w:r>
    </w:p>
    <w:p w14:paraId="2E77E201" w14:textId="47CA8A1D" w:rsidR="00B44A61" w:rsidRDefault="00B44A61" w:rsidP="00C32037">
      <w:pPr>
        <w:spacing w:after="0" w:line="240" w:lineRule="auto"/>
      </w:pPr>
    </w:p>
    <w:p w14:paraId="40214F21" w14:textId="22D291C4" w:rsidR="00B44A61" w:rsidRDefault="00B44A61" w:rsidP="00C32037">
      <w:pPr>
        <w:spacing w:after="0" w:line="240" w:lineRule="auto"/>
      </w:pPr>
      <w:r w:rsidRPr="00B44A61">
        <w:rPr>
          <w:b/>
        </w:rPr>
        <w:t>Onbalans:</w:t>
      </w:r>
      <w:r>
        <w:t xml:space="preserve"> De verschillen tussen het vooraf opgegeven verbruik (het programma) en het feitelijk verbruik of productie.</w:t>
      </w:r>
    </w:p>
    <w:p w14:paraId="297744AE" w14:textId="77777777" w:rsidR="006A07D4" w:rsidRDefault="006A07D4" w:rsidP="00C32037">
      <w:pPr>
        <w:spacing w:after="0" w:line="240" w:lineRule="auto"/>
      </w:pPr>
    </w:p>
    <w:p w14:paraId="3AC5F580" w14:textId="0E2EC74B" w:rsidR="000B6EE2" w:rsidRDefault="000B6EE2" w:rsidP="00C32037">
      <w:pPr>
        <w:spacing w:after="0" w:line="240" w:lineRule="auto"/>
      </w:pPr>
      <w:r w:rsidRPr="000B6EE2">
        <w:rPr>
          <w:b/>
        </w:rPr>
        <w:t>Ondernemer:</w:t>
      </w:r>
      <w:r w:rsidRPr="000B6EE2">
        <w:t xml:space="preserve"> Een aannemer, leverancier of dienstverlener.</w:t>
      </w:r>
    </w:p>
    <w:p w14:paraId="33A044B7" w14:textId="5A9BE5E8" w:rsidR="00B44A61" w:rsidRDefault="00B44A61" w:rsidP="00C32037">
      <w:pPr>
        <w:spacing w:after="0" w:line="240" w:lineRule="auto"/>
      </w:pPr>
    </w:p>
    <w:p w14:paraId="29CFDE7B" w14:textId="361DDEB4" w:rsidR="00B44A61" w:rsidRDefault="00B44A61" w:rsidP="00C32037">
      <w:pPr>
        <w:spacing w:after="0" w:line="240" w:lineRule="auto"/>
      </w:pPr>
      <w:r w:rsidRPr="00B44A61">
        <w:rPr>
          <w:b/>
        </w:rPr>
        <w:t>Onderaannemer:</w:t>
      </w:r>
      <w:r>
        <w:t xml:space="preserve"> Een ondernemer die Inschrijver inschakelt voor uitvoering van (een deel) van de Opdracht en waarop Inschrijver eventueel een beroep doet bij het voldoen aan de minimumeisen/Opdracht.</w:t>
      </w:r>
    </w:p>
    <w:p w14:paraId="5767F76E" w14:textId="77777777" w:rsidR="000B6EE2" w:rsidRDefault="000B6EE2" w:rsidP="00C32037">
      <w:pPr>
        <w:spacing w:after="0" w:line="240" w:lineRule="auto"/>
      </w:pPr>
    </w:p>
    <w:p w14:paraId="4A8C1F30" w14:textId="77777777" w:rsidR="00D64A54" w:rsidRDefault="000B6EE2" w:rsidP="00C32037">
      <w:pPr>
        <w:spacing w:after="0" w:line="240" w:lineRule="auto"/>
      </w:pPr>
      <w:r w:rsidRPr="000B6EE2">
        <w:rPr>
          <w:b/>
        </w:rPr>
        <w:t>Opdrachtnemer(s):</w:t>
      </w:r>
      <w:r w:rsidRPr="000B6EE2">
        <w:t xml:space="preserve"> De Inschrijver(s) die gecontracteerd is/zijn om de Opdracht uit te voeren.</w:t>
      </w:r>
    </w:p>
    <w:p w14:paraId="7C954150" w14:textId="77777777" w:rsidR="00A606BB" w:rsidRDefault="00A606BB" w:rsidP="00C32037">
      <w:pPr>
        <w:spacing w:after="0" w:line="240" w:lineRule="auto"/>
      </w:pPr>
    </w:p>
    <w:p w14:paraId="04F781D8" w14:textId="037B925C" w:rsidR="00A606BB" w:rsidRDefault="000B6EE2" w:rsidP="00C32037">
      <w:pPr>
        <w:spacing w:after="0" w:line="240" w:lineRule="auto"/>
      </w:pPr>
      <w:r w:rsidRPr="000B6EE2">
        <w:rPr>
          <w:b/>
        </w:rPr>
        <w:t>Openbare procedure:</w:t>
      </w:r>
      <w:r w:rsidRPr="000B6EE2">
        <w:t xml:space="preserve"> Procedure waarbij alle ondernemers naar aanleiding van een aankondiging mogen inschrijven.</w:t>
      </w:r>
    </w:p>
    <w:p w14:paraId="36AA7511" w14:textId="09B93048" w:rsidR="00B44A61" w:rsidRDefault="00B44A61" w:rsidP="00C32037">
      <w:pPr>
        <w:spacing w:after="0" w:line="240" w:lineRule="auto"/>
      </w:pPr>
    </w:p>
    <w:p w14:paraId="207DFAD2" w14:textId="4EEB1EB8" w:rsidR="00B44A61" w:rsidRDefault="00B44A61" w:rsidP="00C32037">
      <w:pPr>
        <w:spacing w:after="0" w:line="240" w:lineRule="auto"/>
      </w:pPr>
      <w:r>
        <w:lastRenderedPageBreak/>
        <w:t>Opslag: de (eventuele negatieve) vergoeding aan Leverancier voor het leveren van elektriciteit onderverdeeld in een Opslag PEAK en Opslag OFFPEAK, exclusief de commodityprijs.</w:t>
      </w:r>
    </w:p>
    <w:p w14:paraId="03DAEBB8" w14:textId="7DBE5DBB" w:rsidR="008B6AC3" w:rsidRDefault="008B6AC3" w:rsidP="00C32037">
      <w:pPr>
        <w:spacing w:after="0" w:line="240" w:lineRule="auto"/>
      </w:pPr>
    </w:p>
    <w:p w14:paraId="0B1ED6EF" w14:textId="15C18769" w:rsidR="008B6AC3" w:rsidRDefault="008B6AC3" w:rsidP="00C32037">
      <w:pPr>
        <w:spacing w:after="0" w:line="240" w:lineRule="auto"/>
      </w:pPr>
      <w:r w:rsidRPr="008B6AC3">
        <w:rPr>
          <w:b/>
        </w:rPr>
        <w:t>Opslag OFFPEAK:</w:t>
      </w:r>
      <w:r>
        <w:t xml:space="preserve"> de (eventuele negatieve) vergoeding aan Leverancier voor het leveren van elektriciteit voor de OFFPEAK periode, exclusief </w:t>
      </w:r>
      <w:r w:rsidR="00B44A61">
        <w:t>de commodityprijs.</w:t>
      </w:r>
    </w:p>
    <w:p w14:paraId="263CDE9D" w14:textId="48873666" w:rsidR="006175FD" w:rsidRDefault="006175FD" w:rsidP="00C32037">
      <w:pPr>
        <w:spacing w:after="0" w:line="240" w:lineRule="auto"/>
      </w:pPr>
    </w:p>
    <w:p w14:paraId="063ED461" w14:textId="0D459B6C" w:rsidR="008B6AC3" w:rsidRDefault="008B6AC3" w:rsidP="00C32037">
      <w:pPr>
        <w:spacing w:after="0" w:line="240" w:lineRule="auto"/>
      </w:pPr>
      <w:r w:rsidRPr="008B6AC3">
        <w:rPr>
          <w:b/>
        </w:rPr>
        <w:t>Opslag PEAK:</w:t>
      </w:r>
      <w:r>
        <w:t xml:space="preserve"> de (eventuele negatieve) vergoeding aan Leverancier voor het leveren van elektriciteit voor de OFFPEAK periode, exclusief </w:t>
      </w:r>
      <w:r w:rsidR="00B44A61">
        <w:t>de commodityprijs.</w:t>
      </w:r>
    </w:p>
    <w:p w14:paraId="0E692D9D" w14:textId="29077683" w:rsidR="008B6AC3" w:rsidRDefault="008B6AC3" w:rsidP="00C32037">
      <w:pPr>
        <w:spacing w:after="0" w:line="240" w:lineRule="auto"/>
      </w:pPr>
    </w:p>
    <w:p w14:paraId="1E5A3B63" w14:textId="6B9B0F53" w:rsidR="008B6AC3" w:rsidRDefault="008B6AC3" w:rsidP="00C32037">
      <w:pPr>
        <w:spacing w:after="0" w:line="240" w:lineRule="auto"/>
      </w:pPr>
      <w:r w:rsidRPr="008B6AC3">
        <w:rPr>
          <w:b/>
        </w:rPr>
        <w:t>OTC (over the counter) quote:</w:t>
      </w:r>
      <w:r>
        <w:t xml:space="preserve"> Een prijsquote van de Leverancier, ook wel een </w:t>
      </w:r>
      <w:r w:rsidRPr="008B6AC3">
        <w:rPr>
          <w:i/>
        </w:rPr>
        <w:t>trader quote of seller</w:t>
      </w:r>
      <w:r>
        <w:t xml:space="preserve"> quote genoemd.</w:t>
      </w:r>
    </w:p>
    <w:p w14:paraId="574993A7" w14:textId="77777777" w:rsidR="008B6AC3" w:rsidRDefault="008B6AC3" w:rsidP="00C32037">
      <w:pPr>
        <w:spacing w:after="0" w:line="240" w:lineRule="auto"/>
      </w:pPr>
    </w:p>
    <w:p w14:paraId="0834E7C8" w14:textId="16E60483" w:rsidR="006175FD" w:rsidRDefault="006175FD" w:rsidP="00C32037">
      <w:pPr>
        <w:spacing w:after="0" w:line="240" w:lineRule="auto"/>
      </w:pPr>
      <w:r w:rsidRPr="006175FD">
        <w:rPr>
          <w:b/>
        </w:rPr>
        <w:t>Prijzenblad:</w:t>
      </w:r>
      <w:r w:rsidRPr="006175FD">
        <w:t xml:space="preserve"> Het formulier waarop Inschrijver de tarieven inclusief alle kosten (all-in tarief) voor alle gevraagde onderdelen invult.</w:t>
      </w:r>
    </w:p>
    <w:p w14:paraId="1147DF06" w14:textId="05D49413" w:rsidR="003062DE" w:rsidRDefault="003062DE" w:rsidP="00C32037">
      <w:pPr>
        <w:spacing w:after="0" w:line="240" w:lineRule="auto"/>
      </w:pPr>
    </w:p>
    <w:p w14:paraId="474154B9" w14:textId="5687535C" w:rsidR="003062DE" w:rsidRDefault="003062DE" w:rsidP="00C32037">
      <w:pPr>
        <w:spacing w:after="0" w:line="240" w:lineRule="auto"/>
      </w:pPr>
      <w:r w:rsidRPr="003062DE">
        <w:rPr>
          <w:b/>
        </w:rPr>
        <w:t>Profielgas aansluiting:</w:t>
      </w:r>
      <w:r>
        <w:t xml:space="preserve"> Aansluitingen met een jaarverbruik &lt; 170.000 m</w:t>
      </w:r>
      <w:r>
        <w:rPr>
          <w:rFonts w:cstheme="minorHAnsi"/>
        </w:rPr>
        <w:t>³</w:t>
      </w:r>
      <w:r>
        <w:t xml:space="preserve"> per jaar.</w:t>
      </w:r>
    </w:p>
    <w:p w14:paraId="2095DA73" w14:textId="3F8CA67C" w:rsidR="008E4DD1" w:rsidRDefault="008E4DD1" w:rsidP="00C32037">
      <w:pPr>
        <w:spacing w:after="0" w:line="240" w:lineRule="auto"/>
      </w:pPr>
    </w:p>
    <w:p w14:paraId="11DBADE7" w14:textId="6FE2F4F3" w:rsidR="008E4DD1" w:rsidRDefault="008E4DD1" w:rsidP="00C32037">
      <w:pPr>
        <w:spacing w:after="0" w:line="240" w:lineRule="auto"/>
      </w:pPr>
      <w:r w:rsidRPr="008E4DD1">
        <w:rPr>
          <w:b/>
        </w:rPr>
        <w:t>Programmaverantwoordelijkheid:</w:t>
      </w:r>
      <w:r>
        <w:t xml:space="preserve"> De verantwoordelijkheid van de Opdrachtgever, niet zijnde afnemers zoals bedoeld in artikel 95a, eerste lid van de E-wet, en vergunningshouders om programma’s met betrekking tot de productie, het transport en het verbruik van elektriciteit op te stellen of te doen opstellen ten behoeve van de netbeheerders en zich met inachtneming van de voorwaarden, bedoeld in artikel 31 van de E-wet, te gedragen overeenkomst die programma’s.</w:t>
      </w:r>
    </w:p>
    <w:p w14:paraId="70ACA6B7" w14:textId="77777777" w:rsidR="00A606BB" w:rsidRDefault="00A606BB" w:rsidP="00C32037">
      <w:pPr>
        <w:spacing w:after="0" w:line="240" w:lineRule="auto"/>
      </w:pPr>
    </w:p>
    <w:p w14:paraId="2A84AA20" w14:textId="2F01CD3E" w:rsidR="006175FD" w:rsidRDefault="006175FD" w:rsidP="00C32037">
      <w:pPr>
        <w:spacing w:after="0" w:line="240" w:lineRule="auto"/>
      </w:pPr>
      <w:r w:rsidRPr="006175FD">
        <w:rPr>
          <w:b/>
        </w:rPr>
        <w:t>Raamovereenkomst:</w:t>
      </w:r>
      <w:r w:rsidRPr="006175FD">
        <w:t xml:space="preserve"> Een schriftelijke overeenkomst tussen een of meer </w:t>
      </w:r>
      <w:r w:rsidR="002953A4">
        <w:t>Aanbestedende dienst</w:t>
      </w:r>
      <w:r w:rsidRPr="006175FD">
        <w:t>en en een of meer ondernemers met het doel gedurende een bepaalde periode de voorwaarden inzake te plaatsen overheidsopdrachten of speciale-sectoropdrachten vast te leggen.</w:t>
      </w:r>
    </w:p>
    <w:p w14:paraId="732B7DD1" w14:textId="2683794B" w:rsidR="008E4DD1" w:rsidRDefault="008E4DD1" w:rsidP="00C32037">
      <w:pPr>
        <w:spacing w:after="0" w:line="240" w:lineRule="auto"/>
      </w:pPr>
    </w:p>
    <w:p w14:paraId="1CD0E7AC" w14:textId="37652330" w:rsidR="008E4DD1" w:rsidRDefault="008E4DD1" w:rsidP="00C32037">
      <w:pPr>
        <w:spacing w:after="0" w:line="240" w:lineRule="auto"/>
      </w:pPr>
      <w:r w:rsidRPr="008E4DD1">
        <w:rPr>
          <w:b/>
        </w:rPr>
        <w:t>RNB:</w:t>
      </w:r>
      <w:r>
        <w:t xml:space="preserve"> Een relevante regionale netbeheerders als bedoeld in artikel 10, negende lid van de E-wet, die verantwoordelijk is voor een ander net dan het landelijke hoogspanningsnet.</w:t>
      </w:r>
    </w:p>
    <w:p w14:paraId="3E03BE4E" w14:textId="27125DA6" w:rsidR="006A07D4" w:rsidRDefault="006A07D4" w:rsidP="00C32037">
      <w:pPr>
        <w:spacing w:after="0" w:line="240" w:lineRule="auto"/>
      </w:pPr>
    </w:p>
    <w:p w14:paraId="069F5E6F" w14:textId="2F31AF34" w:rsidR="006A07D4" w:rsidRDefault="006A07D4" w:rsidP="00C32037">
      <w:pPr>
        <w:spacing w:after="0" w:line="240" w:lineRule="auto"/>
      </w:pPr>
      <w:r w:rsidRPr="006A07D4">
        <w:rPr>
          <w:b/>
        </w:rPr>
        <w:t>Switch:</w:t>
      </w:r>
      <w:r>
        <w:t xml:space="preserve"> De wisseling van een Leverancier naar Leverancier op een Aansluiting en alle daarbij behorende handelingen die noodzakelijk zijn om de wisseling door te voeren.</w:t>
      </w:r>
    </w:p>
    <w:p w14:paraId="201B34F6" w14:textId="6EF7391E" w:rsidR="006A07D4" w:rsidRDefault="006A07D4" w:rsidP="00C32037">
      <w:pPr>
        <w:spacing w:after="0" w:line="240" w:lineRule="auto"/>
      </w:pPr>
    </w:p>
    <w:p w14:paraId="1D572531" w14:textId="054FFFAC" w:rsidR="006A07D4" w:rsidRDefault="006A07D4" w:rsidP="00C32037">
      <w:pPr>
        <w:spacing w:after="0" w:line="240" w:lineRule="auto"/>
      </w:pPr>
      <w:r w:rsidRPr="006A07D4">
        <w:rPr>
          <w:b/>
        </w:rPr>
        <w:t>Teruglevering</w:t>
      </w:r>
      <w:r>
        <w:t>: De levering van elektriciteit (elektrische energie) door Opdrachtgever aan het openbare elektriciteitsnet via de Aansluiting of een allocatiepunt bedoeld voor teruglevering.</w:t>
      </w:r>
    </w:p>
    <w:p w14:paraId="69102221" w14:textId="62AD43DD" w:rsidR="006A07D4" w:rsidRDefault="006A07D4" w:rsidP="00C32037">
      <w:pPr>
        <w:spacing w:after="0" w:line="240" w:lineRule="auto"/>
      </w:pPr>
      <w:r w:rsidRPr="006A07D4">
        <w:rPr>
          <w:b/>
        </w:rPr>
        <w:t>Teruglever volume:</w:t>
      </w:r>
      <w:r>
        <w:t xml:space="preserve"> De (collectieve) hoeveelheid opgewekte elektriciteit die per kalenderjaar aan het elektriciteitsnet wordt terug geleverd.</w:t>
      </w:r>
    </w:p>
    <w:p w14:paraId="3E7F59FA" w14:textId="77777777" w:rsidR="006175FD" w:rsidRDefault="006175FD" w:rsidP="00C32037">
      <w:pPr>
        <w:spacing w:after="0" w:line="240" w:lineRule="auto"/>
      </w:pPr>
    </w:p>
    <w:p w14:paraId="36ABA92F" w14:textId="372FCE8B" w:rsidR="006175FD" w:rsidRDefault="006175FD" w:rsidP="00C32037">
      <w:pPr>
        <w:spacing w:after="0" w:line="240" w:lineRule="auto"/>
      </w:pPr>
      <w:r w:rsidRPr="006175FD">
        <w:rPr>
          <w:b/>
        </w:rPr>
        <w:t>Uniform Europees Aanbestedingsdocument (UEA):</w:t>
      </w:r>
      <w:r w:rsidRPr="006175FD">
        <w:t xml:space="preserve"> Het Uniform Europees Aanbestedingsdocument (UEA) is het Europees standaardformulier dat in Nederland wordt toegepast op Aanbestedingen zowel boven als onder de Europese Aanbestedingsdrempel.</w:t>
      </w:r>
    </w:p>
    <w:p w14:paraId="40136C6F" w14:textId="730211EE" w:rsidR="006A07D4" w:rsidRDefault="006A07D4" w:rsidP="00C32037">
      <w:pPr>
        <w:spacing w:after="0" w:line="240" w:lineRule="auto"/>
      </w:pPr>
    </w:p>
    <w:p w14:paraId="3176C442" w14:textId="4ED660CE" w:rsidR="006A07D4" w:rsidRDefault="006A07D4" w:rsidP="00C32037">
      <w:pPr>
        <w:spacing w:after="0" w:line="240" w:lineRule="auto"/>
      </w:pPr>
      <w:r w:rsidRPr="006A07D4">
        <w:rPr>
          <w:b/>
        </w:rPr>
        <w:t>Verbruik:</w:t>
      </w:r>
      <w:r>
        <w:t xml:space="preserve"> De totale door de meetinrichtingen met betrekking tot de Aansluitingen geregistreerde levering en/of de door de RNB vastgestelde meterstanden van elektriciteit aan Opdrachtgever in het desbetreffende jaar.</w:t>
      </w:r>
    </w:p>
    <w:p w14:paraId="114C99CD" w14:textId="5EA6CFB3" w:rsidR="006A07D4" w:rsidRDefault="006A07D4" w:rsidP="00C32037">
      <w:pPr>
        <w:spacing w:after="0" w:line="240" w:lineRule="auto"/>
      </w:pPr>
    </w:p>
    <w:p w14:paraId="3FFDACB0" w14:textId="79DBA7EB" w:rsidR="008E507F" w:rsidRDefault="006A07D4" w:rsidP="00C32037">
      <w:pPr>
        <w:spacing w:after="0" w:line="240" w:lineRule="auto"/>
      </w:pPr>
      <w:r w:rsidRPr="006A07D4">
        <w:rPr>
          <w:b/>
        </w:rPr>
        <w:t>Verduurzaamd gas:</w:t>
      </w:r>
      <w:r>
        <w:t xml:space="preserve"> Gas dat via </w:t>
      </w:r>
      <w:r w:rsidRPr="006A07D4">
        <w:rPr>
          <w:rFonts w:cs="Arial"/>
          <w:bCs/>
          <w:spacing w:val="-2"/>
          <w:lang w:eastAsia="nl-NL"/>
        </w:rPr>
        <w:t>CO</w:t>
      </w:r>
      <w:r w:rsidRPr="006A07D4">
        <w:rPr>
          <w:rFonts w:cs="Arial"/>
          <w:bCs/>
          <w:spacing w:val="-2"/>
          <w:vertAlign w:val="subscript"/>
          <w:lang w:eastAsia="nl-NL"/>
        </w:rPr>
        <w:t xml:space="preserve">2  </w:t>
      </w:r>
      <w:r w:rsidRPr="006A07D4">
        <w:t>compenserende</w:t>
      </w:r>
      <w:r>
        <w:t xml:space="preserve"> maatregelen of verduurzaamd of vergroend is.</w:t>
      </w:r>
    </w:p>
    <w:p w14:paraId="7AC5E245" w14:textId="747835F4" w:rsidR="006A07D4" w:rsidRDefault="006A07D4" w:rsidP="00C32037">
      <w:pPr>
        <w:spacing w:after="0" w:line="240" w:lineRule="auto"/>
      </w:pPr>
    </w:p>
    <w:p w14:paraId="42BAD849" w14:textId="2FB3F098" w:rsidR="006A07D4" w:rsidRDefault="006A07D4" w:rsidP="00C32037">
      <w:pPr>
        <w:spacing w:after="0" w:line="240" w:lineRule="auto"/>
      </w:pPr>
      <w:r w:rsidRPr="006A07D4">
        <w:rPr>
          <w:b/>
        </w:rPr>
        <w:lastRenderedPageBreak/>
        <w:t>VER:</w:t>
      </w:r>
      <w:r>
        <w:t xml:space="preserve"> Verified Emission Reduction of Vrijwillige Emissie Reductie</w:t>
      </w:r>
      <w:r w:rsidRPr="006A07D4">
        <w:t xml:space="preserve">. </w:t>
      </w:r>
      <w:r w:rsidRPr="006A07D4">
        <w:rPr>
          <w:rFonts w:cs="Arial"/>
          <w:bCs/>
          <w:spacing w:val="-2"/>
          <w:lang w:eastAsia="nl-NL"/>
        </w:rPr>
        <w:t>CO</w:t>
      </w:r>
      <w:r w:rsidRPr="006A07D4">
        <w:rPr>
          <w:rFonts w:cs="Arial"/>
          <w:bCs/>
          <w:spacing w:val="-2"/>
          <w:vertAlign w:val="subscript"/>
          <w:lang w:eastAsia="nl-NL"/>
        </w:rPr>
        <w:t xml:space="preserve">2 </w:t>
      </w:r>
      <w:r>
        <w:t>r</w:t>
      </w:r>
      <w:r w:rsidRPr="006A07D4">
        <w:t>echten</w:t>
      </w:r>
      <w:r>
        <w:t xml:space="preserve"> ter compensatie van </w:t>
      </w:r>
      <w:r w:rsidRPr="006A07D4">
        <w:rPr>
          <w:rFonts w:cs="Arial"/>
          <w:bCs/>
          <w:spacing w:val="-2"/>
          <w:lang w:eastAsia="nl-NL"/>
        </w:rPr>
        <w:t>CO</w:t>
      </w:r>
      <w:r w:rsidRPr="006A07D4">
        <w:rPr>
          <w:rFonts w:cs="Arial"/>
          <w:bCs/>
          <w:spacing w:val="-2"/>
          <w:vertAlign w:val="subscript"/>
          <w:lang w:eastAsia="nl-NL"/>
        </w:rPr>
        <w:t xml:space="preserve">2 </w:t>
      </w:r>
      <w:r>
        <w:rPr>
          <w:rFonts w:cs="Arial"/>
          <w:bCs/>
          <w:spacing w:val="-2"/>
          <w:vertAlign w:val="subscript"/>
          <w:lang w:eastAsia="nl-NL"/>
        </w:rPr>
        <w:t xml:space="preserve"> </w:t>
      </w:r>
      <w:r>
        <w:t>uitstoot.</w:t>
      </w:r>
    </w:p>
    <w:p w14:paraId="1828D02D" w14:textId="77777777" w:rsidR="006A07D4" w:rsidRDefault="006A07D4" w:rsidP="00C32037">
      <w:pPr>
        <w:spacing w:after="0" w:line="240" w:lineRule="auto"/>
      </w:pPr>
    </w:p>
    <w:p w14:paraId="288A855C" w14:textId="523E5CBC" w:rsidR="008E507F" w:rsidRDefault="008E507F" w:rsidP="00C32037">
      <w:pPr>
        <w:spacing w:after="0" w:line="240" w:lineRule="auto"/>
      </w:pPr>
      <w:r w:rsidRPr="008E507F">
        <w:rPr>
          <w:b/>
        </w:rPr>
        <w:t>Vergunninghouder:</w:t>
      </w:r>
      <w:r>
        <w:t xml:space="preserve"> Een Opdrachtnemer die houder is van een leveringsvergunning als bedoeld in artikel 43 van de Gaswet.</w:t>
      </w:r>
    </w:p>
    <w:p w14:paraId="72862FFC" w14:textId="77777777" w:rsidR="00D731A8" w:rsidRDefault="00D731A8" w:rsidP="00C32037">
      <w:pPr>
        <w:spacing w:after="0" w:line="240" w:lineRule="auto"/>
      </w:pPr>
    </w:p>
    <w:p w14:paraId="20EBD46E" w14:textId="727983CC" w:rsidR="00D731A8" w:rsidRDefault="00D731A8" w:rsidP="00C32037">
      <w:pPr>
        <w:spacing w:after="0" w:line="240" w:lineRule="auto"/>
      </w:pPr>
      <w:r w:rsidRPr="00D731A8">
        <w:rPr>
          <w:b/>
        </w:rPr>
        <w:t>Voornemen tot gunning:</w:t>
      </w:r>
      <w:r w:rsidRPr="00D731A8">
        <w:t xml:space="preserve"> Bericht aan de winnende Inschrijver aan wie de </w:t>
      </w:r>
      <w:r w:rsidR="002953A4">
        <w:t>Aanbestedende dienst</w:t>
      </w:r>
      <w:r w:rsidRPr="00D731A8">
        <w:t xml:space="preserve"> voornemens is de Opdracht te gunnen. Dit geeft de winnende Inschrijver nog geen aanspraak op definitieve gunning van de Opdracht, aangezien de mededeling geen aanvaarding van de Inschrijving inhoudt. Er is dan dus nog geen sprake van een Overeenkomst.</w:t>
      </w:r>
    </w:p>
    <w:p w14:paraId="25BABF57" w14:textId="77777777" w:rsidR="00B6123C" w:rsidRDefault="00B6123C" w:rsidP="00C32037">
      <w:pPr>
        <w:spacing w:after="0" w:line="240" w:lineRule="auto"/>
        <w:rPr>
          <w:rFonts w:asciiTheme="majorHAnsi" w:eastAsiaTheme="majorEastAsia" w:hAnsiTheme="majorHAnsi" w:cstheme="majorBidi"/>
          <w:color w:val="2E74B5" w:themeColor="accent1" w:themeShade="BF"/>
          <w:sz w:val="32"/>
          <w:szCs w:val="32"/>
        </w:rPr>
      </w:pPr>
      <w:r>
        <w:br w:type="page"/>
      </w:r>
    </w:p>
    <w:p w14:paraId="0A1E821E" w14:textId="6714D84C" w:rsidR="00FE6C94" w:rsidRDefault="00FE6C94" w:rsidP="00C32037">
      <w:pPr>
        <w:pStyle w:val="Kop1"/>
        <w:spacing w:before="0" w:line="240" w:lineRule="auto"/>
      </w:pPr>
      <w:bookmarkStart w:id="2" w:name="_Toc74563079"/>
      <w:r>
        <w:lastRenderedPageBreak/>
        <w:t>Aanbestedingsdocumenten</w:t>
      </w:r>
      <w:bookmarkEnd w:id="2"/>
    </w:p>
    <w:p w14:paraId="1178FB8D" w14:textId="7EE625EC" w:rsidR="00FE6C94" w:rsidRPr="00D40F1B" w:rsidRDefault="00FE6C94" w:rsidP="00C32037">
      <w:pPr>
        <w:spacing w:after="0" w:line="240" w:lineRule="auto"/>
      </w:pPr>
    </w:p>
    <w:p w14:paraId="08243D37" w14:textId="26914609" w:rsidR="00FE6C94" w:rsidRDefault="00FE6C94" w:rsidP="00C32037">
      <w:pPr>
        <w:pStyle w:val="Geenafstand"/>
        <w:rPr>
          <w:rFonts w:cstheme="minorHAnsi"/>
        </w:rPr>
      </w:pPr>
      <w:r w:rsidRPr="00D40F1B">
        <w:rPr>
          <w:rFonts w:cstheme="minorHAnsi"/>
        </w:rPr>
        <w:t xml:space="preserve">Bij dit aanbestedingsdocument worden de </w:t>
      </w:r>
      <w:r w:rsidR="00412F72">
        <w:rPr>
          <w:rFonts w:cstheme="minorHAnsi"/>
        </w:rPr>
        <w:t xml:space="preserve">onderstaande </w:t>
      </w:r>
      <w:r w:rsidRPr="00D40F1B">
        <w:rPr>
          <w:rFonts w:cstheme="minorHAnsi"/>
        </w:rPr>
        <w:t>bijlagen verstre</w:t>
      </w:r>
      <w:r w:rsidR="00412F72">
        <w:rPr>
          <w:rFonts w:cstheme="minorHAnsi"/>
        </w:rPr>
        <w:t>kt, te weten:</w:t>
      </w:r>
    </w:p>
    <w:p w14:paraId="73D274CC" w14:textId="77777777" w:rsidR="00D40F1B" w:rsidRPr="00D40F1B" w:rsidRDefault="00D40F1B" w:rsidP="00C32037">
      <w:pPr>
        <w:pStyle w:val="Geenafstand"/>
        <w:rPr>
          <w:rFonts w:cstheme="minorHAnsi"/>
        </w:rPr>
      </w:pPr>
    </w:p>
    <w:p w14:paraId="714D1402" w14:textId="4F49805A" w:rsidR="00FE6C94" w:rsidRPr="00D40F1B" w:rsidRDefault="00FE6C94" w:rsidP="00C32037">
      <w:pPr>
        <w:pStyle w:val="Geenafstand"/>
        <w:rPr>
          <w:rFonts w:cstheme="minorHAnsi"/>
        </w:rPr>
      </w:pPr>
      <w:r w:rsidRPr="00D40F1B">
        <w:rPr>
          <w:rFonts w:cstheme="minorHAnsi"/>
        </w:rPr>
        <w:t>Bijlage 1: Uniform Europees aanbestedingsdocument</w:t>
      </w:r>
      <w:r w:rsidR="00041A7A">
        <w:rPr>
          <w:rFonts w:cstheme="minorHAnsi"/>
        </w:rPr>
        <w:t xml:space="preserve"> (UEA)</w:t>
      </w:r>
    </w:p>
    <w:p w14:paraId="7B3411FE" w14:textId="3E48E5CF" w:rsidR="00FE6C94" w:rsidRDefault="00FD04C8" w:rsidP="00C32037">
      <w:pPr>
        <w:pStyle w:val="Geenafstand"/>
        <w:rPr>
          <w:rFonts w:cstheme="minorHAnsi"/>
        </w:rPr>
      </w:pPr>
      <w:r>
        <w:rPr>
          <w:rFonts w:cstheme="minorHAnsi"/>
        </w:rPr>
        <w:t>Bijlage 2</w:t>
      </w:r>
      <w:r w:rsidR="00FE6C94" w:rsidRPr="00D40F1B">
        <w:rPr>
          <w:rFonts w:cstheme="minorHAnsi"/>
        </w:rPr>
        <w:t xml:space="preserve">: Algemene voorwaarden </w:t>
      </w:r>
      <w:r w:rsidR="009C618F">
        <w:rPr>
          <w:rFonts w:cstheme="minorHAnsi"/>
        </w:rPr>
        <w:t>GR BAR-organisatie</w:t>
      </w:r>
    </w:p>
    <w:p w14:paraId="3CF95CDE" w14:textId="77777777" w:rsidR="00561224" w:rsidRDefault="00FE6C94" w:rsidP="00C32037">
      <w:pPr>
        <w:pStyle w:val="Geenafstand"/>
        <w:rPr>
          <w:rFonts w:cstheme="minorHAnsi"/>
        </w:rPr>
      </w:pPr>
      <w:r w:rsidRPr="00D63679">
        <w:rPr>
          <w:rFonts w:cstheme="minorHAnsi"/>
        </w:rPr>
        <w:t xml:space="preserve">Bijlage </w:t>
      </w:r>
      <w:r w:rsidR="00FD04C8" w:rsidRPr="00D63679">
        <w:rPr>
          <w:rFonts w:cstheme="minorHAnsi"/>
        </w:rPr>
        <w:t>3</w:t>
      </w:r>
      <w:r w:rsidRPr="00D63679">
        <w:rPr>
          <w:rFonts w:cstheme="minorHAnsi"/>
        </w:rPr>
        <w:t>:</w:t>
      </w:r>
      <w:r w:rsidR="00D63679" w:rsidRPr="00D63679">
        <w:rPr>
          <w:rFonts w:cstheme="minorHAnsi"/>
        </w:rPr>
        <w:t xml:space="preserve"> Programma van Eisen </w:t>
      </w:r>
      <w:r w:rsidR="009C618F" w:rsidRPr="00D63679">
        <w:rPr>
          <w:rFonts w:cstheme="minorHAnsi"/>
        </w:rPr>
        <w:t>Elektriciteit</w:t>
      </w:r>
      <w:r w:rsidR="00D63679" w:rsidRPr="00D63679">
        <w:rPr>
          <w:rFonts w:cstheme="minorHAnsi"/>
        </w:rPr>
        <w:t xml:space="preserve"> en Aardg</w:t>
      </w:r>
      <w:r w:rsidR="009C618F" w:rsidRPr="00D63679">
        <w:rPr>
          <w:rFonts w:cstheme="minorHAnsi"/>
        </w:rPr>
        <w:t>as</w:t>
      </w:r>
      <w:r w:rsidRPr="00D63679">
        <w:rPr>
          <w:rFonts w:cstheme="minorHAnsi"/>
        </w:rPr>
        <w:t xml:space="preserve"> </w:t>
      </w:r>
      <w:r w:rsidRPr="00D63679">
        <w:rPr>
          <w:rFonts w:cstheme="minorHAnsi"/>
        </w:rPr>
        <w:br/>
        <w:t xml:space="preserve">Bijlage </w:t>
      </w:r>
      <w:r w:rsidR="00D63679" w:rsidRPr="00D63679">
        <w:rPr>
          <w:rFonts w:cstheme="minorHAnsi"/>
        </w:rPr>
        <w:t>4</w:t>
      </w:r>
      <w:r w:rsidRPr="00D63679">
        <w:rPr>
          <w:rFonts w:cstheme="minorHAnsi"/>
        </w:rPr>
        <w:t>: Pri</w:t>
      </w:r>
      <w:r w:rsidR="00A379EE" w:rsidRPr="00D63679">
        <w:rPr>
          <w:rFonts w:cstheme="minorHAnsi"/>
        </w:rPr>
        <w:t>jzenblad</w:t>
      </w:r>
      <w:r w:rsidR="00D63679" w:rsidRPr="00D63679">
        <w:rPr>
          <w:rFonts w:cstheme="minorHAnsi"/>
        </w:rPr>
        <w:t xml:space="preserve"> </w:t>
      </w:r>
      <w:r w:rsidR="009C618F" w:rsidRPr="00D63679">
        <w:rPr>
          <w:rFonts w:cstheme="minorHAnsi"/>
        </w:rPr>
        <w:t>Elektriciteit</w:t>
      </w:r>
      <w:r w:rsidR="00D63679" w:rsidRPr="00D63679">
        <w:rPr>
          <w:rFonts w:cstheme="minorHAnsi"/>
        </w:rPr>
        <w:t xml:space="preserve"> en Aardg</w:t>
      </w:r>
      <w:r w:rsidR="009C618F" w:rsidRPr="00D63679">
        <w:rPr>
          <w:rFonts w:cstheme="minorHAnsi"/>
        </w:rPr>
        <w:t>as</w:t>
      </w:r>
    </w:p>
    <w:p w14:paraId="78263672" w14:textId="27D71C77" w:rsidR="00FE6C94" w:rsidRPr="00D63679" w:rsidRDefault="00561224" w:rsidP="00C32037">
      <w:pPr>
        <w:pStyle w:val="Geenafstand"/>
        <w:rPr>
          <w:rFonts w:cstheme="minorHAnsi"/>
        </w:rPr>
      </w:pPr>
      <w:r>
        <w:rPr>
          <w:rFonts w:cstheme="minorHAnsi"/>
        </w:rPr>
        <w:t>Bijlage 5: Overzicht aansluitingen</w:t>
      </w:r>
      <w:r w:rsidR="00EE4568">
        <w:rPr>
          <w:rFonts w:cstheme="minorHAnsi"/>
        </w:rPr>
        <w:t xml:space="preserve"> en verbruiken</w:t>
      </w:r>
      <w:r w:rsidR="00FE6C94" w:rsidRPr="00D63679">
        <w:rPr>
          <w:rFonts w:cstheme="minorHAnsi"/>
        </w:rPr>
        <w:br/>
        <w:t xml:space="preserve">Bijlage </w:t>
      </w:r>
      <w:r>
        <w:rPr>
          <w:rFonts w:cstheme="minorHAnsi"/>
        </w:rPr>
        <w:t>6</w:t>
      </w:r>
      <w:r w:rsidR="00D63679" w:rsidRPr="00D63679">
        <w:rPr>
          <w:rFonts w:cstheme="minorHAnsi"/>
        </w:rPr>
        <w:t xml:space="preserve">: Concept overeenkomst </w:t>
      </w:r>
      <w:r w:rsidR="00FD04C8" w:rsidRPr="00D63679">
        <w:rPr>
          <w:rFonts w:cstheme="minorHAnsi"/>
        </w:rPr>
        <w:br/>
        <w:t xml:space="preserve">Bijlage </w:t>
      </w:r>
      <w:r>
        <w:rPr>
          <w:rFonts w:cstheme="minorHAnsi"/>
        </w:rPr>
        <w:t>7</w:t>
      </w:r>
      <w:r w:rsidR="00FE6C94" w:rsidRPr="00D63679">
        <w:rPr>
          <w:rFonts w:cstheme="minorHAnsi"/>
        </w:rPr>
        <w:t>: Concept wachtkamerovereenkomst</w:t>
      </w:r>
    </w:p>
    <w:p w14:paraId="1D8D33EE" w14:textId="1A5B493A" w:rsidR="00E72FA9" w:rsidRDefault="00561224" w:rsidP="00C32037">
      <w:pPr>
        <w:pStyle w:val="Geenafstand"/>
        <w:rPr>
          <w:rFonts w:cstheme="minorHAnsi"/>
        </w:rPr>
      </w:pPr>
      <w:r>
        <w:rPr>
          <w:rFonts w:cstheme="minorHAnsi"/>
        </w:rPr>
        <w:t>Bijlage 8</w:t>
      </w:r>
      <w:r w:rsidR="00E72FA9" w:rsidRPr="00D63679">
        <w:rPr>
          <w:rFonts w:cstheme="minorHAnsi"/>
        </w:rPr>
        <w:t xml:space="preserve">: Standaardformulier </w:t>
      </w:r>
      <w:r w:rsidR="00E72FA9" w:rsidRPr="00E95A66">
        <w:rPr>
          <w:rFonts w:cstheme="minorHAnsi"/>
        </w:rPr>
        <w:t>Referentie</w:t>
      </w:r>
    </w:p>
    <w:p w14:paraId="50D9833E" w14:textId="3541099F" w:rsidR="00D63679" w:rsidRDefault="00D63679" w:rsidP="00D63679">
      <w:pPr>
        <w:pStyle w:val="Geenafstand"/>
        <w:rPr>
          <w:rFonts w:cstheme="minorHAnsi"/>
        </w:rPr>
      </w:pPr>
      <w:r>
        <w:rPr>
          <w:rFonts w:cstheme="minorHAnsi"/>
        </w:rPr>
        <w:t xml:space="preserve">Bijlage </w:t>
      </w:r>
      <w:r w:rsidR="00561224">
        <w:rPr>
          <w:rFonts w:cstheme="minorHAnsi"/>
        </w:rPr>
        <w:t>9</w:t>
      </w:r>
      <w:r w:rsidRPr="00D63679">
        <w:rPr>
          <w:rFonts w:cstheme="minorHAnsi"/>
        </w:rPr>
        <w:t xml:space="preserve">: </w:t>
      </w:r>
      <w:r>
        <w:rPr>
          <w:rFonts w:cstheme="minorHAnsi"/>
        </w:rPr>
        <w:t>SROI toelichting</w:t>
      </w:r>
    </w:p>
    <w:p w14:paraId="1B1ADEAC" w14:textId="28E82653" w:rsidR="00AD7D27" w:rsidRDefault="00AD7D27" w:rsidP="00D63679">
      <w:pPr>
        <w:pStyle w:val="Geenafstand"/>
        <w:rPr>
          <w:rFonts w:cstheme="minorHAnsi"/>
        </w:rPr>
      </w:pPr>
      <w:r>
        <w:rPr>
          <w:rFonts w:cstheme="minorHAnsi"/>
        </w:rPr>
        <w:t>Bijlage 10: Checklist inschrijving</w:t>
      </w:r>
    </w:p>
    <w:p w14:paraId="6D12F90B" w14:textId="4CA07D00" w:rsidR="00AD7D27" w:rsidRDefault="00AD7D27" w:rsidP="00D63679">
      <w:pPr>
        <w:pStyle w:val="Geenafstand"/>
        <w:rPr>
          <w:rFonts w:cstheme="minorHAnsi"/>
        </w:rPr>
      </w:pPr>
      <w:r>
        <w:rPr>
          <w:rFonts w:cstheme="minorHAnsi"/>
        </w:rPr>
        <w:t>Bijlage 11: Model volmacht</w:t>
      </w:r>
    </w:p>
    <w:p w14:paraId="43E8440A" w14:textId="1A78ABBB" w:rsidR="00785E8D" w:rsidRDefault="00785E8D" w:rsidP="00D63679">
      <w:pPr>
        <w:pStyle w:val="Geenafstand"/>
        <w:rPr>
          <w:rFonts w:cstheme="minorHAnsi"/>
        </w:rPr>
      </w:pPr>
      <w:r>
        <w:rPr>
          <w:rFonts w:cstheme="minorHAnsi"/>
        </w:rPr>
        <w:t>Bijlage 12: Milie</w:t>
      </w:r>
      <w:r w:rsidR="003A0D6A">
        <w:rPr>
          <w:rFonts w:cstheme="minorHAnsi"/>
        </w:rPr>
        <w:t>u</w:t>
      </w:r>
      <w:r>
        <w:rPr>
          <w:rFonts w:cstheme="minorHAnsi"/>
        </w:rPr>
        <w:t>tool Elektriciteit en Aardgas</w:t>
      </w:r>
    </w:p>
    <w:p w14:paraId="19C508E8" w14:textId="36F36BE5" w:rsidR="00FE6C94" w:rsidRDefault="00FE6C94" w:rsidP="00C32037">
      <w:pPr>
        <w:spacing w:after="0" w:line="240" w:lineRule="auto"/>
      </w:pPr>
    </w:p>
    <w:p w14:paraId="337F1233" w14:textId="2CE9F87C" w:rsidR="00FE6C94" w:rsidRDefault="00FE6C94" w:rsidP="00C32037">
      <w:pPr>
        <w:spacing w:after="0" w:line="240" w:lineRule="auto"/>
      </w:pPr>
    </w:p>
    <w:p w14:paraId="0B510591" w14:textId="3D8C7A7E" w:rsidR="00A6136B" w:rsidRDefault="00412F72" w:rsidP="00C32037">
      <w:pPr>
        <w:spacing w:after="0" w:line="240" w:lineRule="auto"/>
      </w:pPr>
      <w:r>
        <w:t>Inschrijvers dienen ten behoeve van de voorbereiding van hun Inschrijving grondig kennis te nemen van alle informatie die in deze aanbestedingsleidraad en bijlagen zijn opgenomen.</w:t>
      </w:r>
      <w:r w:rsidR="00041A7A">
        <w:t xml:space="preserve"> </w:t>
      </w:r>
      <w:r w:rsidR="00E479CE">
        <w:t>Inschrijvers dienen e</w:t>
      </w:r>
      <w:r w:rsidR="00A6136B">
        <w:t>veneens zorg te dragen voor het</w:t>
      </w:r>
      <w:r w:rsidR="00041A7A">
        <w:t xml:space="preserve"> op de juiste plaats,</w:t>
      </w:r>
      <w:r w:rsidR="00A6136B">
        <w:t xml:space="preserve"> </w:t>
      </w:r>
      <w:r w:rsidR="00041A7A">
        <w:t>plaatsen van documenten op</w:t>
      </w:r>
      <w:r w:rsidR="00A6136B">
        <w:t xml:space="preserve"> </w:t>
      </w:r>
      <w:r w:rsidR="00041A7A">
        <w:t>TenderNed. En</w:t>
      </w:r>
      <w:r w:rsidR="00A6136B">
        <w:t xml:space="preserve"> dat de digitale documenten, indien dit gevraagd en/of noodzakelijk is, </w:t>
      </w:r>
      <w:r w:rsidR="00A6136B" w:rsidRPr="00A6136B">
        <w:rPr>
          <w:u w:val="single"/>
        </w:rPr>
        <w:t xml:space="preserve">ondertekend </w:t>
      </w:r>
      <w:r w:rsidR="00041A7A">
        <w:rPr>
          <w:u w:val="single"/>
        </w:rPr>
        <w:t xml:space="preserve">is </w:t>
      </w:r>
      <w:r w:rsidR="00A6136B" w:rsidRPr="00A6136B">
        <w:rPr>
          <w:u w:val="single"/>
        </w:rPr>
        <w:t>door een daartoe bevoegd persoon</w:t>
      </w:r>
      <w:r w:rsidR="00A6136B">
        <w:t>. Op deze documenten dien</w:t>
      </w:r>
      <w:r w:rsidR="00AB1ADE">
        <w:t>t</w:t>
      </w:r>
      <w:r w:rsidR="00A6136B">
        <w:t xml:space="preserve"> de handtekening duidelijk zichtbaar te zijn. </w:t>
      </w:r>
    </w:p>
    <w:p w14:paraId="7E10BF48" w14:textId="77777777" w:rsidR="00041A7A" w:rsidRDefault="00041A7A" w:rsidP="00C32037">
      <w:pPr>
        <w:spacing w:after="0" w:line="240" w:lineRule="auto"/>
      </w:pPr>
    </w:p>
    <w:p w14:paraId="4CC8F670" w14:textId="59CF4B15" w:rsidR="00A6136B" w:rsidRDefault="00B04473" w:rsidP="00C32037">
      <w:pPr>
        <w:spacing w:after="0" w:line="240" w:lineRule="auto"/>
      </w:pPr>
      <w:r w:rsidRPr="00C95CF0">
        <w:rPr>
          <w:b/>
        </w:rPr>
        <w:t>Let o</w:t>
      </w:r>
      <w:r w:rsidR="00A6136B" w:rsidRPr="00C95CF0">
        <w:rPr>
          <w:b/>
        </w:rPr>
        <w:t>p!</w:t>
      </w:r>
      <w:r w:rsidR="00A6136B">
        <w:t xml:space="preserve"> Het rechtsgeldig ondertekenen</w:t>
      </w:r>
      <w:r>
        <w:t xml:space="preserve"> van het UEA geldt ook direct </w:t>
      </w:r>
      <w:r w:rsidR="00041A7A">
        <w:t>als ondertekening van het</w:t>
      </w:r>
      <w:r>
        <w:t xml:space="preserve"> Prijzenblad</w:t>
      </w:r>
      <w:r w:rsidR="00E37784">
        <w:t xml:space="preserve"> en Programma van Eisen.</w:t>
      </w:r>
    </w:p>
    <w:p w14:paraId="1F906A74" w14:textId="02509B38" w:rsidR="00FE6C94" w:rsidRDefault="00FE6C94" w:rsidP="00C32037">
      <w:pPr>
        <w:spacing w:after="0" w:line="240" w:lineRule="auto"/>
      </w:pPr>
    </w:p>
    <w:p w14:paraId="695F53DC" w14:textId="092118B0" w:rsidR="00FE6C94" w:rsidRDefault="00FE6C94" w:rsidP="00C32037">
      <w:pPr>
        <w:spacing w:after="0" w:line="240" w:lineRule="auto"/>
      </w:pPr>
    </w:p>
    <w:p w14:paraId="55BCC26C" w14:textId="457B82B3" w:rsidR="00FE6C94" w:rsidRDefault="00FE6C94" w:rsidP="00C32037">
      <w:pPr>
        <w:spacing w:after="0" w:line="240" w:lineRule="auto"/>
      </w:pPr>
    </w:p>
    <w:p w14:paraId="2E51E239" w14:textId="16606C57" w:rsidR="00FE6C94" w:rsidRDefault="00FE6C94" w:rsidP="00C32037">
      <w:pPr>
        <w:spacing w:after="0" w:line="240" w:lineRule="auto"/>
      </w:pPr>
    </w:p>
    <w:p w14:paraId="0C2911F6" w14:textId="1EA2C15E" w:rsidR="00FE6C94" w:rsidRDefault="00FE6C94" w:rsidP="00C32037">
      <w:pPr>
        <w:spacing w:after="0" w:line="240" w:lineRule="auto"/>
      </w:pPr>
    </w:p>
    <w:p w14:paraId="64E0F30F" w14:textId="24D98455" w:rsidR="00FE6C94" w:rsidRDefault="00FE6C94" w:rsidP="00C32037">
      <w:pPr>
        <w:spacing w:after="0" w:line="240" w:lineRule="auto"/>
      </w:pPr>
    </w:p>
    <w:p w14:paraId="47B66A59" w14:textId="3C1ABE63" w:rsidR="00FE6C94" w:rsidRDefault="00FE6C94" w:rsidP="00C32037">
      <w:pPr>
        <w:spacing w:after="0" w:line="240" w:lineRule="auto"/>
      </w:pPr>
    </w:p>
    <w:p w14:paraId="69069E93" w14:textId="3DFE5999" w:rsidR="00FE6C94" w:rsidRDefault="00FE6C94" w:rsidP="00C32037">
      <w:pPr>
        <w:spacing w:after="0" w:line="240" w:lineRule="auto"/>
      </w:pPr>
    </w:p>
    <w:p w14:paraId="61C02782" w14:textId="23B899C5" w:rsidR="00FE6C94" w:rsidRDefault="00FE6C94" w:rsidP="00C32037">
      <w:pPr>
        <w:spacing w:after="0" w:line="240" w:lineRule="auto"/>
      </w:pPr>
    </w:p>
    <w:p w14:paraId="7BEFD17C" w14:textId="77777777" w:rsidR="00FE6C94" w:rsidRDefault="00FE6C94" w:rsidP="00C32037">
      <w:pPr>
        <w:spacing w:after="0" w:line="240" w:lineRule="auto"/>
      </w:pPr>
    </w:p>
    <w:p w14:paraId="4883AF3A" w14:textId="77777777" w:rsidR="00FE6C94" w:rsidRDefault="00FE6C94" w:rsidP="00C32037">
      <w:pPr>
        <w:spacing w:after="0" w:line="240" w:lineRule="auto"/>
      </w:pPr>
    </w:p>
    <w:p w14:paraId="1241396F" w14:textId="77777777" w:rsidR="00D731A8" w:rsidRDefault="00D731A8" w:rsidP="00C32037">
      <w:pPr>
        <w:spacing w:after="0" w:line="240" w:lineRule="auto"/>
      </w:pPr>
    </w:p>
    <w:p w14:paraId="6B451703" w14:textId="77777777" w:rsidR="00D731A8" w:rsidRDefault="00D731A8" w:rsidP="00C32037">
      <w:pPr>
        <w:spacing w:after="0" w:line="240" w:lineRule="auto"/>
      </w:pPr>
    </w:p>
    <w:p w14:paraId="5490B710" w14:textId="77777777" w:rsidR="00D731A8" w:rsidRDefault="00D731A8" w:rsidP="00C32037">
      <w:pPr>
        <w:spacing w:after="0" w:line="240" w:lineRule="auto"/>
      </w:pPr>
    </w:p>
    <w:p w14:paraId="4ECBCD15" w14:textId="6010FA39" w:rsidR="00D731A8" w:rsidRDefault="00D731A8" w:rsidP="00C32037">
      <w:pPr>
        <w:spacing w:after="0" w:line="240" w:lineRule="auto"/>
      </w:pPr>
    </w:p>
    <w:p w14:paraId="065C3C2B" w14:textId="1EB4F2AD" w:rsidR="0015530A" w:rsidRDefault="0015530A" w:rsidP="00C32037">
      <w:pPr>
        <w:spacing w:after="0" w:line="240" w:lineRule="auto"/>
      </w:pPr>
    </w:p>
    <w:p w14:paraId="1ECE8D2C" w14:textId="1E3B8534" w:rsidR="0015530A" w:rsidRDefault="0015530A" w:rsidP="00C32037">
      <w:pPr>
        <w:spacing w:after="0" w:line="240" w:lineRule="auto"/>
      </w:pPr>
    </w:p>
    <w:p w14:paraId="6C71D3C9" w14:textId="1F5BCA61" w:rsidR="0015530A" w:rsidRDefault="0015530A" w:rsidP="00C32037">
      <w:pPr>
        <w:spacing w:after="0" w:line="240" w:lineRule="auto"/>
      </w:pPr>
    </w:p>
    <w:p w14:paraId="1F6FBAD0" w14:textId="38DCE5AD" w:rsidR="0015530A" w:rsidRDefault="0015530A" w:rsidP="00C32037">
      <w:pPr>
        <w:spacing w:after="0" w:line="240" w:lineRule="auto"/>
      </w:pPr>
    </w:p>
    <w:p w14:paraId="0D63FA03" w14:textId="6F05E9A7" w:rsidR="0015530A" w:rsidRDefault="0015530A" w:rsidP="00C32037">
      <w:pPr>
        <w:spacing w:after="0" w:line="240" w:lineRule="auto"/>
      </w:pPr>
    </w:p>
    <w:p w14:paraId="50E19D09" w14:textId="709AEE58" w:rsidR="0015530A" w:rsidRDefault="0015530A" w:rsidP="00C32037">
      <w:pPr>
        <w:spacing w:after="0" w:line="240" w:lineRule="auto"/>
      </w:pPr>
    </w:p>
    <w:p w14:paraId="02B6A55A" w14:textId="6D029389" w:rsidR="0015530A" w:rsidRDefault="0015530A" w:rsidP="00C32037">
      <w:pPr>
        <w:spacing w:after="0" w:line="240" w:lineRule="auto"/>
      </w:pPr>
    </w:p>
    <w:p w14:paraId="6DBA7B54" w14:textId="77777777" w:rsidR="0015530A" w:rsidRDefault="0015530A" w:rsidP="00C32037">
      <w:pPr>
        <w:spacing w:after="0" w:line="240" w:lineRule="auto"/>
      </w:pPr>
    </w:p>
    <w:p w14:paraId="19DA261A" w14:textId="29BBB971" w:rsidR="00D731A8" w:rsidRDefault="0015530A" w:rsidP="003A0D6A">
      <w:pPr>
        <w:pStyle w:val="Kop1"/>
      </w:pPr>
      <w:r>
        <w:br w:type="page"/>
      </w:r>
      <w:bookmarkStart w:id="3" w:name="_Toc74563080"/>
      <w:r w:rsidR="007A5039">
        <w:lastRenderedPageBreak/>
        <w:t>Algemene informatie</w:t>
      </w:r>
      <w:bookmarkEnd w:id="3"/>
      <w:r w:rsidR="00D731A8">
        <w:t xml:space="preserve"> </w:t>
      </w:r>
    </w:p>
    <w:p w14:paraId="6971088E" w14:textId="595FA60A" w:rsidR="005D7BB8" w:rsidRDefault="00D731A8" w:rsidP="00C32037">
      <w:pPr>
        <w:spacing w:after="0" w:line="240" w:lineRule="auto"/>
      </w:pPr>
      <w:r>
        <w:t xml:space="preserve">Voor </w:t>
      </w:r>
      <w:r w:rsidR="00064D38">
        <w:t xml:space="preserve">u ligt de </w:t>
      </w:r>
      <w:r w:rsidR="00AB1ADE">
        <w:t>A</w:t>
      </w:r>
      <w:r>
        <w:t>anbestedings</w:t>
      </w:r>
      <w:r w:rsidR="00AD73C7">
        <w:t xml:space="preserve">leidraad met betrekking tot de </w:t>
      </w:r>
      <w:r w:rsidR="00D11E70">
        <w:t xml:space="preserve">Europese </w:t>
      </w:r>
      <w:r w:rsidR="00AD73C7">
        <w:t>o</w:t>
      </w:r>
      <w:r>
        <w:t xml:space="preserve">penbare </w:t>
      </w:r>
      <w:r w:rsidR="00AD73C7">
        <w:t>a</w:t>
      </w:r>
      <w:r>
        <w:t>anbesteding</w:t>
      </w:r>
      <w:r w:rsidR="009008F7">
        <w:t xml:space="preserve"> -</w:t>
      </w:r>
      <w:r>
        <w:t xml:space="preserve"> </w:t>
      </w:r>
      <w:r w:rsidR="009008F7">
        <w:t xml:space="preserve">op basis van de gewijzigde Aanbestedingswet 2012 - voor </w:t>
      </w:r>
      <w:r w:rsidR="00064D38">
        <w:t xml:space="preserve">Levering </w:t>
      </w:r>
      <w:r w:rsidR="00C85461">
        <w:t>Elektriciteit en Gas</w:t>
      </w:r>
      <w:r w:rsidR="00B2043A">
        <w:t xml:space="preserve"> van de </w:t>
      </w:r>
      <w:r w:rsidR="005D7BB8">
        <w:t xml:space="preserve">GR </w:t>
      </w:r>
      <w:r w:rsidR="00B2043A">
        <w:t>BAR-organisatie</w:t>
      </w:r>
      <w:r w:rsidR="00D91024">
        <w:t xml:space="preserve"> ten behoeve van de Opdrachtgevers, te weten: het college van burgemeester en wethouders van gemee</w:t>
      </w:r>
      <w:r w:rsidR="00B56381">
        <w:t xml:space="preserve">nte Barendrecht, Albrandswaard en Ridderkerk. </w:t>
      </w:r>
      <w:r w:rsidR="00F41017" w:rsidRPr="00F41017">
        <w:t>Deze aanbestedingsleidraad verschaft u inzicht in de inhoud van de Opdracht, de geschiktheidseisen die worden gesteld aan u als ondernemer, de inhoudelijke criteria ter bepaling van de beste aanbieding alsmede de eisen die worden gesteld aan de uitvoering van de Opdracht en de van toepassing zijnde contractuele voorwaarden. Het bevat tevens een beschrijving van de aanbestedingsprocedure om tot een gunning te komen van de raamovereenkomst. Eveneens wordt er aangegeven wanneer en welke documenten u dient te overleggen voor deze aanbesteding</w:t>
      </w:r>
      <w:r w:rsidR="0071052F">
        <w:t xml:space="preserve"> (zie het voorgaande </w:t>
      </w:r>
      <w:r w:rsidR="0071052F" w:rsidRPr="0071052F">
        <w:rPr>
          <w:i/>
        </w:rPr>
        <w:t>Hoofdstuk Aanbestedingsdocumenten</w:t>
      </w:r>
      <w:r w:rsidR="0071052F">
        <w:t>)</w:t>
      </w:r>
      <w:r w:rsidR="00F41017" w:rsidRPr="00F41017">
        <w:t>.</w:t>
      </w:r>
      <w:r w:rsidR="00ED3A9B">
        <w:t xml:space="preserve"> </w:t>
      </w:r>
      <w:r w:rsidR="00742397" w:rsidRPr="00742397">
        <w:t xml:space="preserve">Bij deze aanbesteding wordt gebruik gemaakt van het volgende aanbestedingsplatform </w:t>
      </w:r>
      <w:hyperlink r:id="rId9" w:history="1">
        <w:r w:rsidR="00742397" w:rsidRPr="00865151">
          <w:rPr>
            <w:rStyle w:val="Hyperlink"/>
          </w:rPr>
          <w:t>www.tenderned.nl</w:t>
        </w:r>
      </w:hyperlink>
      <w:r w:rsidR="00742397" w:rsidRPr="00742397">
        <w:t>.</w:t>
      </w:r>
    </w:p>
    <w:p w14:paraId="4378AC16" w14:textId="77777777" w:rsidR="00742397" w:rsidRDefault="00742397" w:rsidP="00C32037">
      <w:pPr>
        <w:spacing w:after="0" w:line="240" w:lineRule="auto"/>
      </w:pPr>
    </w:p>
    <w:p w14:paraId="306224A0" w14:textId="43D4E077" w:rsidR="00DA2F8E" w:rsidRDefault="002953A4" w:rsidP="00C32037">
      <w:pPr>
        <w:pStyle w:val="Kop2"/>
        <w:numPr>
          <w:ilvl w:val="1"/>
          <w:numId w:val="3"/>
        </w:numPr>
        <w:spacing w:before="0" w:line="240" w:lineRule="auto"/>
      </w:pPr>
      <w:bookmarkStart w:id="4" w:name="_Toc74563081"/>
      <w:r>
        <w:t>Aanbestedende dienst</w:t>
      </w:r>
      <w:bookmarkEnd w:id="4"/>
    </w:p>
    <w:p w14:paraId="3BF0C73F" w14:textId="41A04EC9" w:rsidR="00742397" w:rsidRDefault="00F41017" w:rsidP="00C32037">
      <w:pPr>
        <w:pStyle w:val="Geenafstand"/>
      </w:pPr>
      <w:r>
        <w:t xml:space="preserve">GR BAR-organisatie (hierna te noemen als </w:t>
      </w:r>
      <w:r w:rsidR="002953A4">
        <w:t>Aanbestedende dienst</w:t>
      </w:r>
      <w:r>
        <w:t xml:space="preserve">) is een gemeenschappelijke regeling van de gemeente Barendrecht, Albrandswaard en Ridderkerk. </w:t>
      </w:r>
      <w:r w:rsidR="002953A4">
        <w:t>Aanbestedende dienst</w:t>
      </w:r>
      <w:r w:rsidR="00742397">
        <w:t xml:space="preserve"> treedt namens deze gemeenten. </w:t>
      </w:r>
    </w:p>
    <w:p w14:paraId="3DFB5CA5" w14:textId="77777777" w:rsidR="00EC112B" w:rsidRPr="00A9373D" w:rsidRDefault="00EC112B" w:rsidP="00C32037">
      <w:pPr>
        <w:pStyle w:val="Geenafstand"/>
        <w:rPr>
          <w:rFonts w:cstheme="minorHAnsi"/>
          <w:szCs w:val="20"/>
        </w:rPr>
      </w:pPr>
    </w:p>
    <w:p w14:paraId="5EBF4660" w14:textId="6636354E" w:rsidR="00704CB6" w:rsidRDefault="00704CB6" w:rsidP="00C32037">
      <w:pPr>
        <w:pStyle w:val="Kop3"/>
        <w:spacing w:before="0" w:line="240" w:lineRule="auto"/>
      </w:pPr>
      <w:bookmarkStart w:id="5" w:name="_Toc74563082"/>
      <w:r>
        <w:t xml:space="preserve">1.1.1 Gegevens </w:t>
      </w:r>
      <w:r w:rsidR="002953A4">
        <w:t>Aanbestedende dienst</w:t>
      </w:r>
      <w:r>
        <w:t xml:space="preserve"> t.b.v. aanbesteding</w:t>
      </w:r>
      <w:bookmarkEnd w:id="5"/>
    </w:p>
    <w:p w14:paraId="4023DD53" w14:textId="4B4C1A6D" w:rsidR="00DA2F8E" w:rsidRDefault="00DA2F8E" w:rsidP="00C32037">
      <w:pPr>
        <w:spacing w:after="0" w:line="240" w:lineRule="auto"/>
      </w:pPr>
      <w:r>
        <w:t xml:space="preserve">Hieronder </w:t>
      </w:r>
      <w:r w:rsidR="00704CB6">
        <w:t xml:space="preserve">ziet u </w:t>
      </w:r>
      <w:r>
        <w:t>de contactgegevens aangaande deze aanbesteding</w:t>
      </w:r>
      <w:r w:rsidR="00704CB6">
        <w:t>, te weten</w:t>
      </w:r>
      <w:r w:rsidR="008B6B9B">
        <w:t>:</w:t>
      </w:r>
    </w:p>
    <w:p w14:paraId="3AEE92C4" w14:textId="77777777" w:rsidR="00DA2F8E" w:rsidRPr="007F5585" w:rsidRDefault="00DA2F8E" w:rsidP="00C32037">
      <w:pPr>
        <w:spacing w:after="0" w:line="240" w:lineRule="auto"/>
        <w:rPr>
          <w:b/>
          <w:sz w:val="20"/>
          <w:szCs w:val="20"/>
        </w:rPr>
      </w:pPr>
      <w:r w:rsidRPr="007F5585">
        <w:rPr>
          <w:b/>
          <w:sz w:val="20"/>
          <w:szCs w:val="20"/>
        </w:rPr>
        <w:t>BAR-organisatie</w:t>
      </w:r>
    </w:p>
    <w:p w14:paraId="6D814C55" w14:textId="77777777" w:rsidR="00DA2F8E" w:rsidRPr="007F5585" w:rsidRDefault="00DA2F8E" w:rsidP="00C32037">
      <w:pPr>
        <w:spacing w:after="0" w:line="240" w:lineRule="auto"/>
        <w:rPr>
          <w:sz w:val="20"/>
          <w:szCs w:val="20"/>
        </w:rPr>
      </w:pPr>
      <w:r w:rsidRPr="007F5585">
        <w:rPr>
          <w:sz w:val="20"/>
          <w:szCs w:val="20"/>
        </w:rPr>
        <w:t>Adres</w:t>
      </w:r>
      <w:r w:rsidR="008B6B9B" w:rsidRPr="007F5585">
        <w:rPr>
          <w:sz w:val="20"/>
          <w:szCs w:val="20"/>
        </w:rPr>
        <w:tab/>
      </w:r>
      <w:r w:rsidR="008B6B9B" w:rsidRPr="007F5585">
        <w:rPr>
          <w:sz w:val="20"/>
          <w:szCs w:val="20"/>
        </w:rPr>
        <w:tab/>
      </w:r>
      <w:r w:rsidRPr="007F5585">
        <w:rPr>
          <w:sz w:val="20"/>
          <w:szCs w:val="20"/>
        </w:rPr>
        <w:t>: Koningsplein 1</w:t>
      </w:r>
    </w:p>
    <w:p w14:paraId="145A3EA2" w14:textId="7A5A5E49" w:rsidR="00DA2F8E" w:rsidRPr="007F5585" w:rsidRDefault="00DA2F8E" w:rsidP="00C32037">
      <w:pPr>
        <w:spacing w:after="0" w:line="240" w:lineRule="auto"/>
        <w:rPr>
          <w:sz w:val="20"/>
          <w:szCs w:val="20"/>
        </w:rPr>
      </w:pPr>
      <w:r w:rsidRPr="007F5585">
        <w:rPr>
          <w:sz w:val="20"/>
          <w:szCs w:val="20"/>
        </w:rPr>
        <w:t>Postcode/plaats</w:t>
      </w:r>
      <w:r w:rsidR="00B655D2">
        <w:rPr>
          <w:sz w:val="20"/>
          <w:szCs w:val="20"/>
        </w:rPr>
        <w:tab/>
      </w:r>
      <w:r w:rsidRPr="007F5585">
        <w:rPr>
          <w:sz w:val="20"/>
          <w:szCs w:val="20"/>
        </w:rPr>
        <w:t>: 2981 EA Ridderkerk</w:t>
      </w:r>
    </w:p>
    <w:p w14:paraId="65219A1A" w14:textId="77777777" w:rsidR="00DA2F8E" w:rsidRPr="007F5585" w:rsidRDefault="00DA2F8E" w:rsidP="00C32037">
      <w:pPr>
        <w:spacing w:after="0" w:line="240" w:lineRule="auto"/>
        <w:rPr>
          <w:sz w:val="20"/>
          <w:szCs w:val="20"/>
        </w:rPr>
      </w:pPr>
      <w:r w:rsidRPr="007F5585">
        <w:rPr>
          <w:sz w:val="20"/>
          <w:szCs w:val="20"/>
        </w:rPr>
        <w:t>Postadres</w:t>
      </w:r>
      <w:r w:rsidR="008B6B9B" w:rsidRPr="007F5585">
        <w:rPr>
          <w:sz w:val="20"/>
          <w:szCs w:val="20"/>
        </w:rPr>
        <w:tab/>
      </w:r>
      <w:r w:rsidRPr="007F5585">
        <w:rPr>
          <w:sz w:val="20"/>
          <w:szCs w:val="20"/>
        </w:rPr>
        <w:t>: Postbus 271</w:t>
      </w:r>
    </w:p>
    <w:p w14:paraId="5521BBB3" w14:textId="3F9FB1C5" w:rsidR="00DA2F8E" w:rsidRPr="007F5585" w:rsidRDefault="00DA2F8E" w:rsidP="00C32037">
      <w:pPr>
        <w:spacing w:after="0" w:line="240" w:lineRule="auto"/>
        <w:rPr>
          <w:sz w:val="20"/>
          <w:szCs w:val="20"/>
        </w:rPr>
      </w:pPr>
      <w:r w:rsidRPr="007F5585">
        <w:rPr>
          <w:sz w:val="20"/>
          <w:szCs w:val="20"/>
        </w:rPr>
        <w:t>Postcode/plaats</w:t>
      </w:r>
      <w:r w:rsidR="00B655D2">
        <w:rPr>
          <w:sz w:val="20"/>
          <w:szCs w:val="20"/>
        </w:rPr>
        <w:tab/>
      </w:r>
      <w:r w:rsidRPr="007F5585">
        <w:rPr>
          <w:sz w:val="20"/>
          <w:szCs w:val="20"/>
        </w:rPr>
        <w:t>: 2980 AG Ridderkerk</w:t>
      </w:r>
    </w:p>
    <w:p w14:paraId="0A2A9D38" w14:textId="221DD44C" w:rsidR="00DA2F8E" w:rsidRPr="007F5585" w:rsidRDefault="00DA2F8E" w:rsidP="00C32037">
      <w:pPr>
        <w:spacing w:after="0" w:line="240" w:lineRule="auto"/>
        <w:rPr>
          <w:sz w:val="20"/>
          <w:szCs w:val="20"/>
        </w:rPr>
      </w:pPr>
      <w:r w:rsidRPr="007F5585">
        <w:rPr>
          <w:sz w:val="20"/>
          <w:szCs w:val="20"/>
        </w:rPr>
        <w:t>Contactpersoon</w:t>
      </w:r>
      <w:r w:rsidR="00B655D2">
        <w:rPr>
          <w:sz w:val="20"/>
          <w:szCs w:val="20"/>
        </w:rPr>
        <w:tab/>
      </w:r>
      <w:r w:rsidRPr="007F5585">
        <w:rPr>
          <w:sz w:val="20"/>
          <w:szCs w:val="20"/>
        </w:rPr>
        <w:t>:</w:t>
      </w:r>
      <w:r w:rsidR="00275494">
        <w:rPr>
          <w:sz w:val="20"/>
          <w:szCs w:val="20"/>
        </w:rPr>
        <w:t xml:space="preserve"> Mevr. M. Groenheide</w:t>
      </w:r>
    </w:p>
    <w:p w14:paraId="1FDE22FF" w14:textId="6243C691" w:rsidR="00DA2F8E" w:rsidRPr="007F5585" w:rsidRDefault="00DA2F8E" w:rsidP="00C32037">
      <w:pPr>
        <w:spacing w:after="0" w:line="240" w:lineRule="auto"/>
        <w:rPr>
          <w:sz w:val="20"/>
          <w:szCs w:val="20"/>
        </w:rPr>
      </w:pPr>
      <w:r w:rsidRPr="007F5585">
        <w:rPr>
          <w:sz w:val="20"/>
          <w:szCs w:val="20"/>
        </w:rPr>
        <w:t>Telefoon</w:t>
      </w:r>
      <w:r w:rsidR="008B6B9B" w:rsidRPr="007F5585">
        <w:rPr>
          <w:sz w:val="20"/>
          <w:szCs w:val="20"/>
        </w:rPr>
        <w:tab/>
      </w:r>
      <w:r w:rsidRPr="007F5585">
        <w:rPr>
          <w:sz w:val="20"/>
          <w:szCs w:val="20"/>
        </w:rPr>
        <w:t>: (+31) 180451</w:t>
      </w:r>
      <w:r w:rsidR="00275494">
        <w:rPr>
          <w:sz w:val="20"/>
          <w:szCs w:val="20"/>
        </w:rPr>
        <w:t xml:space="preserve">479 </w:t>
      </w:r>
    </w:p>
    <w:p w14:paraId="27F14636" w14:textId="5675ED8B" w:rsidR="00DA2F8E" w:rsidRDefault="00DA2F8E" w:rsidP="00C32037">
      <w:pPr>
        <w:spacing w:after="0" w:line="240" w:lineRule="auto"/>
        <w:rPr>
          <w:color w:val="0070C0"/>
          <w:sz w:val="20"/>
          <w:szCs w:val="20"/>
          <w:u w:val="single"/>
        </w:rPr>
      </w:pPr>
      <w:r w:rsidRPr="007F5585">
        <w:rPr>
          <w:sz w:val="20"/>
          <w:szCs w:val="20"/>
        </w:rPr>
        <w:t>E-mail</w:t>
      </w:r>
      <w:r w:rsidR="008B6B9B" w:rsidRPr="007F5585">
        <w:rPr>
          <w:sz w:val="20"/>
          <w:szCs w:val="20"/>
        </w:rPr>
        <w:tab/>
      </w:r>
      <w:r w:rsidR="008B6B9B" w:rsidRPr="007F5585">
        <w:rPr>
          <w:sz w:val="20"/>
          <w:szCs w:val="20"/>
        </w:rPr>
        <w:tab/>
      </w:r>
      <w:r w:rsidRPr="007F5585">
        <w:rPr>
          <w:sz w:val="20"/>
          <w:szCs w:val="20"/>
        </w:rPr>
        <w:t>:</w:t>
      </w:r>
      <w:r w:rsidR="008B6B9B" w:rsidRPr="007F5585">
        <w:rPr>
          <w:sz w:val="20"/>
          <w:szCs w:val="20"/>
        </w:rPr>
        <w:t xml:space="preserve"> </w:t>
      </w:r>
      <w:hyperlink r:id="rId10" w:history="1">
        <w:r w:rsidR="00EC112B" w:rsidRPr="00E80463">
          <w:rPr>
            <w:rStyle w:val="Hyperlink"/>
            <w:sz w:val="20"/>
            <w:szCs w:val="20"/>
          </w:rPr>
          <w:t>aanbestedingen@bar-organisatie.nl</w:t>
        </w:r>
      </w:hyperlink>
    </w:p>
    <w:p w14:paraId="1C12174B" w14:textId="77777777" w:rsidR="00EC112B" w:rsidRPr="007F5585" w:rsidRDefault="00EC112B" w:rsidP="00C32037">
      <w:pPr>
        <w:spacing w:after="0" w:line="240" w:lineRule="auto"/>
        <w:rPr>
          <w:sz w:val="20"/>
          <w:szCs w:val="20"/>
        </w:rPr>
      </w:pPr>
    </w:p>
    <w:p w14:paraId="64DCE86D" w14:textId="2E68DE95" w:rsidR="00647BB0" w:rsidRDefault="00E72FA9" w:rsidP="00C32037">
      <w:pPr>
        <w:pStyle w:val="Kop3"/>
        <w:spacing w:before="0" w:line="240" w:lineRule="auto"/>
      </w:pPr>
      <w:bookmarkStart w:id="6" w:name="_Toc74563083"/>
      <w:r>
        <w:t>1.1.2</w:t>
      </w:r>
      <w:r w:rsidR="00647BB0">
        <w:t xml:space="preserve"> </w:t>
      </w:r>
      <w:r w:rsidR="00E15B62">
        <w:t xml:space="preserve">Gegevens </w:t>
      </w:r>
      <w:r w:rsidR="00647BB0">
        <w:t>Opdrachtgevers</w:t>
      </w:r>
      <w:bookmarkEnd w:id="6"/>
      <w:r w:rsidR="00AD73C7">
        <w:t xml:space="preserve"> </w:t>
      </w:r>
    </w:p>
    <w:p w14:paraId="62A6602B" w14:textId="595D3C01" w:rsidR="00647BB0" w:rsidRDefault="00647BB0" w:rsidP="00C32037">
      <w:pPr>
        <w:spacing w:after="0" w:line="240" w:lineRule="auto"/>
      </w:pPr>
      <w:r>
        <w:t>Het college van bur</w:t>
      </w:r>
      <w:r w:rsidR="006B4570">
        <w:t>gemeester en wethouders van de onderstaande</w:t>
      </w:r>
      <w:r>
        <w:t xml:space="preserve"> gemeenten zijn </w:t>
      </w:r>
      <w:r w:rsidR="006B4570">
        <w:t>de</w:t>
      </w:r>
      <w:r>
        <w:t xml:space="preserve"> </w:t>
      </w:r>
      <w:r w:rsidR="006B4570">
        <w:t>O</w:t>
      </w:r>
      <w:r>
        <w:t>pdrachtgevers. De onderstaande gegevens dienen zodanig op de facturen te worden omschreven.</w:t>
      </w:r>
    </w:p>
    <w:tbl>
      <w:tblPr>
        <w:tblStyle w:val="Tabelraster"/>
        <w:tblW w:w="0" w:type="auto"/>
        <w:tblLook w:val="04A0" w:firstRow="1" w:lastRow="0" w:firstColumn="1" w:lastColumn="0" w:noHBand="0" w:noVBand="1"/>
      </w:tblPr>
      <w:tblGrid>
        <w:gridCol w:w="3681"/>
        <w:gridCol w:w="3969"/>
      </w:tblGrid>
      <w:tr w:rsidR="002828F1" w:rsidRPr="002828F1" w14:paraId="14224395" w14:textId="77777777" w:rsidTr="002C5C3B">
        <w:tc>
          <w:tcPr>
            <w:tcW w:w="3681" w:type="dxa"/>
            <w:shd w:val="clear" w:color="auto" w:fill="F4B083" w:themeFill="accent2" w:themeFillTint="99"/>
          </w:tcPr>
          <w:p w14:paraId="5D1B03F3" w14:textId="76543503" w:rsidR="002828F1" w:rsidRPr="002828F1" w:rsidRDefault="002828F1" w:rsidP="00C32037">
            <w:pPr>
              <w:rPr>
                <w:b/>
                <w:sz w:val="20"/>
                <w:szCs w:val="20"/>
              </w:rPr>
            </w:pPr>
            <w:r w:rsidRPr="002828F1">
              <w:rPr>
                <w:b/>
                <w:sz w:val="20"/>
                <w:szCs w:val="20"/>
              </w:rPr>
              <w:t>Gemeente</w:t>
            </w:r>
          </w:p>
        </w:tc>
        <w:tc>
          <w:tcPr>
            <w:tcW w:w="3969" w:type="dxa"/>
            <w:shd w:val="clear" w:color="auto" w:fill="F4B083" w:themeFill="accent2" w:themeFillTint="99"/>
          </w:tcPr>
          <w:p w14:paraId="707358CA" w14:textId="011C971D" w:rsidR="002828F1" w:rsidRPr="002828F1" w:rsidRDefault="002828F1" w:rsidP="00C32037">
            <w:pPr>
              <w:rPr>
                <w:b/>
                <w:sz w:val="20"/>
                <w:szCs w:val="20"/>
              </w:rPr>
            </w:pPr>
            <w:r w:rsidRPr="002828F1">
              <w:rPr>
                <w:b/>
                <w:sz w:val="20"/>
                <w:szCs w:val="20"/>
              </w:rPr>
              <w:t>Adres</w:t>
            </w:r>
          </w:p>
        </w:tc>
      </w:tr>
      <w:tr w:rsidR="002828F1" w:rsidRPr="002828F1" w14:paraId="3BB719A5" w14:textId="77777777" w:rsidTr="002828F1">
        <w:tc>
          <w:tcPr>
            <w:tcW w:w="3681" w:type="dxa"/>
          </w:tcPr>
          <w:p w14:paraId="01876AE6" w14:textId="4B18683E" w:rsidR="002828F1" w:rsidRPr="002828F1" w:rsidRDefault="002828F1" w:rsidP="00C32037">
            <w:pPr>
              <w:rPr>
                <w:sz w:val="20"/>
                <w:szCs w:val="20"/>
              </w:rPr>
            </w:pPr>
            <w:r w:rsidRPr="002828F1">
              <w:rPr>
                <w:sz w:val="20"/>
                <w:szCs w:val="20"/>
              </w:rPr>
              <w:t>Gemeente Barendrecht</w:t>
            </w:r>
          </w:p>
        </w:tc>
        <w:tc>
          <w:tcPr>
            <w:tcW w:w="3969" w:type="dxa"/>
          </w:tcPr>
          <w:p w14:paraId="5555592C" w14:textId="77777777" w:rsidR="002828F1" w:rsidRPr="002828F1" w:rsidRDefault="002828F1" w:rsidP="00C32037">
            <w:pPr>
              <w:rPr>
                <w:sz w:val="20"/>
                <w:szCs w:val="20"/>
              </w:rPr>
            </w:pPr>
            <w:r w:rsidRPr="002828F1">
              <w:rPr>
                <w:sz w:val="20"/>
                <w:szCs w:val="20"/>
              </w:rPr>
              <w:t>Binnenhof 1 (gemeentehuis)</w:t>
            </w:r>
          </w:p>
          <w:p w14:paraId="431C9CC5" w14:textId="635D763A" w:rsidR="002828F1" w:rsidRPr="002828F1" w:rsidRDefault="002828F1" w:rsidP="00C32037">
            <w:pPr>
              <w:rPr>
                <w:sz w:val="20"/>
                <w:szCs w:val="20"/>
              </w:rPr>
            </w:pPr>
            <w:r w:rsidRPr="002828F1">
              <w:rPr>
                <w:sz w:val="20"/>
                <w:szCs w:val="20"/>
              </w:rPr>
              <w:t>2991 AA Barendrecht</w:t>
            </w:r>
          </w:p>
        </w:tc>
      </w:tr>
      <w:tr w:rsidR="002828F1" w:rsidRPr="002828F1" w14:paraId="231A846E" w14:textId="77777777" w:rsidTr="002828F1">
        <w:tc>
          <w:tcPr>
            <w:tcW w:w="3681" w:type="dxa"/>
          </w:tcPr>
          <w:p w14:paraId="7A5F9958" w14:textId="6728D3BD" w:rsidR="002828F1" w:rsidRPr="002828F1" w:rsidRDefault="002828F1" w:rsidP="00C32037">
            <w:pPr>
              <w:rPr>
                <w:sz w:val="20"/>
                <w:szCs w:val="20"/>
              </w:rPr>
            </w:pPr>
            <w:r w:rsidRPr="002828F1">
              <w:rPr>
                <w:sz w:val="20"/>
                <w:szCs w:val="20"/>
              </w:rPr>
              <w:t>Gemeente Ridderkerk</w:t>
            </w:r>
          </w:p>
        </w:tc>
        <w:tc>
          <w:tcPr>
            <w:tcW w:w="3969" w:type="dxa"/>
          </w:tcPr>
          <w:p w14:paraId="3C88BC35" w14:textId="77777777" w:rsidR="002828F1" w:rsidRPr="002828F1" w:rsidRDefault="002828F1" w:rsidP="00C32037">
            <w:pPr>
              <w:rPr>
                <w:sz w:val="20"/>
                <w:szCs w:val="20"/>
              </w:rPr>
            </w:pPr>
            <w:r w:rsidRPr="002828F1">
              <w:rPr>
                <w:sz w:val="20"/>
                <w:szCs w:val="20"/>
              </w:rPr>
              <w:t>Koningsplein 1 (gemeentehuis)</w:t>
            </w:r>
          </w:p>
          <w:p w14:paraId="408AACF8" w14:textId="5641C56A" w:rsidR="002828F1" w:rsidRPr="002828F1" w:rsidRDefault="002828F1" w:rsidP="00C32037">
            <w:pPr>
              <w:rPr>
                <w:sz w:val="20"/>
                <w:szCs w:val="20"/>
              </w:rPr>
            </w:pPr>
            <w:r w:rsidRPr="002828F1">
              <w:rPr>
                <w:sz w:val="20"/>
                <w:szCs w:val="20"/>
              </w:rPr>
              <w:t>2981 EA Ridderkerk</w:t>
            </w:r>
          </w:p>
        </w:tc>
      </w:tr>
      <w:tr w:rsidR="002828F1" w:rsidRPr="002828F1" w14:paraId="25843F70" w14:textId="77777777" w:rsidTr="002828F1">
        <w:tc>
          <w:tcPr>
            <w:tcW w:w="3681" w:type="dxa"/>
          </w:tcPr>
          <w:p w14:paraId="4B573DBC" w14:textId="254E3EC9" w:rsidR="002828F1" w:rsidRPr="002828F1" w:rsidRDefault="002828F1" w:rsidP="00C32037">
            <w:pPr>
              <w:rPr>
                <w:sz w:val="20"/>
                <w:szCs w:val="20"/>
              </w:rPr>
            </w:pPr>
            <w:r w:rsidRPr="002828F1">
              <w:rPr>
                <w:sz w:val="20"/>
                <w:szCs w:val="20"/>
              </w:rPr>
              <w:t>Gemeente Albrandswaard</w:t>
            </w:r>
          </w:p>
        </w:tc>
        <w:tc>
          <w:tcPr>
            <w:tcW w:w="3969" w:type="dxa"/>
          </w:tcPr>
          <w:p w14:paraId="5C539BE2" w14:textId="4E5696D8" w:rsidR="002828F1" w:rsidRPr="002828F1" w:rsidRDefault="000F36D5" w:rsidP="00C32037">
            <w:pPr>
              <w:rPr>
                <w:sz w:val="20"/>
                <w:szCs w:val="20"/>
              </w:rPr>
            </w:pPr>
            <w:r>
              <w:rPr>
                <w:sz w:val="20"/>
                <w:szCs w:val="20"/>
              </w:rPr>
              <w:t xml:space="preserve">Stationsstraat 4 </w:t>
            </w:r>
            <w:r w:rsidR="002828F1" w:rsidRPr="002828F1">
              <w:rPr>
                <w:sz w:val="20"/>
                <w:szCs w:val="20"/>
              </w:rPr>
              <w:t>(gemeentehuis)</w:t>
            </w:r>
          </w:p>
          <w:p w14:paraId="6CE843F7" w14:textId="3998BC1E" w:rsidR="002828F1" w:rsidRPr="002828F1" w:rsidRDefault="002828F1" w:rsidP="00C32037">
            <w:pPr>
              <w:rPr>
                <w:sz w:val="20"/>
                <w:szCs w:val="20"/>
              </w:rPr>
            </w:pPr>
            <w:r w:rsidRPr="002828F1">
              <w:rPr>
                <w:sz w:val="20"/>
                <w:szCs w:val="20"/>
              </w:rPr>
              <w:t>31</w:t>
            </w:r>
            <w:r w:rsidR="000F36D5">
              <w:rPr>
                <w:sz w:val="20"/>
                <w:szCs w:val="20"/>
              </w:rPr>
              <w:t>61 KP Rhoon</w:t>
            </w:r>
          </w:p>
        </w:tc>
      </w:tr>
    </w:tbl>
    <w:p w14:paraId="7459D0C4" w14:textId="6D50C42C" w:rsidR="00647BB0" w:rsidRDefault="00647BB0" w:rsidP="00C32037">
      <w:pPr>
        <w:spacing w:after="0" w:line="240" w:lineRule="auto"/>
      </w:pPr>
    </w:p>
    <w:p w14:paraId="4334EE08" w14:textId="29BFC10D" w:rsidR="00A833D6" w:rsidRDefault="00886B86" w:rsidP="00C32037">
      <w:pPr>
        <w:pStyle w:val="Kop2"/>
        <w:spacing w:before="0" w:line="240" w:lineRule="auto"/>
      </w:pPr>
      <w:bookmarkStart w:id="7" w:name="_Toc74563084"/>
      <w:r>
        <w:t xml:space="preserve">1.2 </w:t>
      </w:r>
      <w:r w:rsidR="00A833D6">
        <w:t>Leeswijzer</w:t>
      </w:r>
      <w:bookmarkEnd w:id="7"/>
    </w:p>
    <w:tbl>
      <w:tblPr>
        <w:tblStyle w:val="Tabelraster"/>
        <w:tblW w:w="0" w:type="auto"/>
        <w:tblLook w:val="04A0" w:firstRow="1" w:lastRow="0" w:firstColumn="1" w:lastColumn="0" w:noHBand="0" w:noVBand="1"/>
      </w:tblPr>
      <w:tblGrid>
        <w:gridCol w:w="9062"/>
      </w:tblGrid>
      <w:tr w:rsidR="00A833D6" w:rsidRPr="00A833D6" w14:paraId="04FD720E" w14:textId="77777777" w:rsidTr="00A833D6">
        <w:tc>
          <w:tcPr>
            <w:tcW w:w="9062" w:type="dxa"/>
          </w:tcPr>
          <w:p w14:paraId="050ABAED" w14:textId="3D1D094D" w:rsidR="00A833D6" w:rsidRPr="00A833D6" w:rsidRDefault="00A833D6" w:rsidP="00C32037">
            <w:pPr>
              <w:rPr>
                <w:sz w:val="20"/>
                <w:szCs w:val="20"/>
              </w:rPr>
            </w:pPr>
            <w:r w:rsidRPr="00A833D6">
              <w:rPr>
                <w:sz w:val="20"/>
                <w:szCs w:val="20"/>
              </w:rPr>
              <w:t xml:space="preserve">De Aanbestedingsleidraad bestaat uit </w:t>
            </w:r>
            <w:r w:rsidR="00CD68F3">
              <w:rPr>
                <w:b/>
                <w:sz w:val="20"/>
                <w:szCs w:val="20"/>
              </w:rPr>
              <w:t xml:space="preserve">zeven </w:t>
            </w:r>
            <w:r w:rsidRPr="00A833D6">
              <w:rPr>
                <w:sz w:val="20"/>
                <w:szCs w:val="20"/>
              </w:rPr>
              <w:t>delen, te weten:</w:t>
            </w:r>
          </w:p>
          <w:p w14:paraId="2BEB2D12" w14:textId="4D350FCB" w:rsidR="00A833D6" w:rsidRPr="00A833D6" w:rsidRDefault="00A833D6" w:rsidP="00C32037">
            <w:pPr>
              <w:pStyle w:val="Lijstalinea"/>
              <w:numPr>
                <w:ilvl w:val="0"/>
                <w:numId w:val="11"/>
              </w:numPr>
              <w:rPr>
                <w:sz w:val="20"/>
                <w:szCs w:val="20"/>
              </w:rPr>
            </w:pPr>
            <w:r w:rsidRPr="00A833D6">
              <w:rPr>
                <w:sz w:val="20"/>
                <w:szCs w:val="20"/>
              </w:rPr>
              <w:t xml:space="preserve">Hoofdstuk 1 bevat de contactgegevens van de Opdrachtgevers en </w:t>
            </w:r>
            <w:r w:rsidR="00886B86">
              <w:rPr>
                <w:sz w:val="20"/>
                <w:szCs w:val="20"/>
              </w:rPr>
              <w:t xml:space="preserve">de </w:t>
            </w:r>
            <w:r w:rsidRPr="00A833D6">
              <w:rPr>
                <w:sz w:val="20"/>
                <w:szCs w:val="20"/>
              </w:rPr>
              <w:t>aanbestedende dienst</w:t>
            </w:r>
            <w:r w:rsidR="00886B86">
              <w:rPr>
                <w:sz w:val="20"/>
                <w:szCs w:val="20"/>
              </w:rPr>
              <w:t>.</w:t>
            </w:r>
          </w:p>
          <w:p w14:paraId="040F4F3A" w14:textId="3BD7A222" w:rsidR="00A833D6" w:rsidRDefault="00A833D6" w:rsidP="00C32037">
            <w:pPr>
              <w:pStyle w:val="Lijstalinea"/>
              <w:numPr>
                <w:ilvl w:val="0"/>
                <w:numId w:val="11"/>
              </w:numPr>
              <w:rPr>
                <w:sz w:val="20"/>
                <w:szCs w:val="20"/>
              </w:rPr>
            </w:pPr>
            <w:r w:rsidRPr="00A833D6">
              <w:rPr>
                <w:sz w:val="20"/>
                <w:szCs w:val="20"/>
              </w:rPr>
              <w:t>Hoofdstuk 2</w:t>
            </w:r>
            <w:r>
              <w:rPr>
                <w:sz w:val="20"/>
                <w:szCs w:val="20"/>
              </w:rPr>
              <w:t xml:space="preserve"> bevat informatie over de Opdracht</w:t>
            </w:r>
            <w:r w:rsidR="00886B86">
              <w:rPr>
                <w:sz w:val="20"/>
                <w:szCs w:val="20"/>
              </w:rPr>
              <w:t>.</w:t>
            </w:r>
          </w:p>
          <w:p w14:paraId="1237C85C" w14:textId="6B26EBBC" w:rsidR="00A833D6" w:rsidRDefault="00A833D6" w:rsidP="00C32037">
            <w:pPr>
              <w:pStyle w:val="Lijstalinea"/>
              <w:numPr>
                <w:ilvl w:val="0"/>
                <w:numId w:val="11"/>
              </w:numPr>
              <w:rPr>
                <w:sz w:val="20"/>
                <w:szCs w:val="20"/>
              </w:rPr>
            </w:pPr>
            <w:r>
              <w:rPr>
                <w:sz w:val="20"/>
                <w:szCs w:val="20"/>
              </w:rPr>
              <w:t>Hoofdstuk 3 bevat informatie over de Aanbestedingsprocedure en Planning</w:t>
            </w:r>
            <w:r w:rsidR="00886B86">
              <w:rPr>
                <w:sz w:val="20"/>
                <w:szCs w:val="20"/>
              </w:rPr>
              <w:t>.</w:t>
            </w:r>
          </w:p>
          <w:p w14:paraId="7A27E9BF" w14:textId="601F1526" w:rsidR="00886B86" w:rsidRDefault="00A833D6" w:rsidP="00C32037">
            <w:pPr>
              <w:pStyle w:val="Lijstalinea"/>
              <w:numPr>
                <w:ilvl w:val="0"/>
                <w:numId w:val="11"/>
              </w:numPr>
              <w:rPr>
                <w:sz w:val="20"/>
                <w:szCs w:val="20"/>
              </w:rPr>
            </w:pPr>
            <w:r>
              <w:rPr>
                <w:sz w:val="20"/>
                <w:szCs w:val="20"/>
              </w:rPr>
              <w:t xml:space="preserve">Hoofdstuk 4 bevat </w:t>
            </w:r>
            <w:r w:rsidR="00886B86">
              <w:rPr>
                <w:sz w:val="20"/>
                <w:szCs w:val="20"/>
              </w:rPr>
              <w:t>onder meer het beoordelingsproces en de eisen van Inschrijving.</w:t>
            </w:r>
          </w:p>
          <w:p w14:paraId="2B815FED" w14:textId="70B0790E" w:rsidR="00886B86" w:rsidRDefault="00886B86" w:rsidP="00C32037">
            <w:pPr>
              <w:pStyle w:val="Lijstalinea"/>
              <w:numPr>
                <w:ilvl w:val="0"/>
                <w:numId w:val="11"/>
              </w:numPr>
              <w:rPr>
                <w:sz w:val="20"/>
                <w:szCs w:val="20"/>
              </w:rPr>
            </w:pPr>
            <w:r>
              <w:rPr>
                <w:sz w:val="20"/>
                <w:szCs w:val="20"/>
              </w:rPr>
              <w:t xml:space="preserve">Hoofdstuk </w:t>
            </w:r>
            <w:r w:rsidR="00D16E25">
              <w:rPr>
                <w:sz w:val="20"/>
                <w:szCs w:val="20"/>
              </w:rPr>
              <w:t>5</w:t>
            </w:r>
            <w:r>
              <w:rPr>
                <w:sz w:val="20"/>
                <w:szCs w:val="20"/>
              </w:rPr>
              <w:t xml:space="preserve"> bevat de Gunningscriteria en de wijze waarop deze beoordeeld worden.</w:t>
            </w:r>
          </w:p>
          <w:p w14:paraId="3D211362" w14:textId="67B0A9F5" w:rsidR="00CD68F3" w:rsidRDefault="00CD68F3" w:rsidP="00C32037">
            <w:pPr>
              <w:pStyle w:val="Lijstalinea"/>
              <w:numPr>
                <w:ilvl w:val="0"/>
                <w:numId w:val="11"/>
              </w:numPr>
              <w:rPr>
                <w:sz w:val="20"/>
                <w:szCs w:val="20"/>
              </w:rPr>
            </w:pPr>
            <w:r>
              <w:rPr>
                <w:sz w:val="20"/>
                <w:szCs w:val="20"/>
              </w:rPr>
              <w:t>Hoofdstuk 6 bevat Overige bepalingen aangaande deze aanbesteding</w:t>
            </w:r>
          </w:p>
          <w:p w14:paraId="6DDAFBDE" w14:textId="3C478388" w:rsidR="00886B86" w:rsidRPr="00A833D6" w:rsidRDefault="00886B86" w:rsidP="00C32037">
            <w:pPr>
              <w:pStyle w:val="Lijstalinea"/>
              <w:numPr>
                <w:ilvl w:val="0"/>
                <w:numId w:val="11"/>
              </w:numPr>
              <w:rPr>
                <w:sz w:val="20"/>
                <w:szCs w:val="20"/>
              </w:rPr>
            </w:pPr>
            <w:r>
              <w:rPr>
                <w:sz w:val="20"/>
                <w:szCs w:val="20"/>
              </w:rPr>
              <w:t>Bijlagen.</w:t>
            </w:r>
          </w:p>
        </w:tc>
      </w:tr>
    </w:tbl>
    <w:p w14:paraId="16D3397E" w14:textId="331B5993" w:rsidR="00D74B13" w:rsidRDefault="007B4CFF" w:rsidP="00C32037">
      <w:pPr>
        <w:pStyle w:val="Kop1"/>
        <w:numPr>
          <w:ilvl w:val="0"/>
          <w:numId w:val="3"/>
        </w:numPr>
        <w:spacing w:before="0" w:line="240" w:lineRule="auto"/>
      </w:pPr>
      <w:bookmarkStart w:id="8" w:name="_Toc74563085"/>
      <w:r>
        <w:lastRenderedPageBreak/>
        <w:t>D</w:t>
      </w:r>
      <w:r w:rsidR="00584243">
        <w:t>e</w:t>
      </w:r>
      <w:r w:rsidR="00D74B13">
        <w:t xml:space="preserve"> </w:t>
      </w:r>
      <w:r w:rsidR="00DA2F8E">
        <w:t>Opdracht</w:t>
      </w:r>
      <w:bookmarkEnd w:id="8"/>
    </w:p>
    <w:p w14:paraId="33C8AC2D" w14:textId="14761917" w:rsidR="00EE1A52" w:rsidRDefault="00EE1A52" w:rsidP="00C32037">
      <w:pPr>
        <w:spacing w:after="0" w:line="240" w:lineRule="auto"/>
      </w:pPr>
      <w:r>
        <w:t xml:space="preserve">Deze aanbesteding is erop gericht om te komen tot een juiste leverancierskeuze door het zo objectief en transparant mogelijk de Inschrijvers te benaderen waarbij optimaal gebruik wordt gemaakt van de marktwerking. </w:t>
      </w:r>
    </w:p>
    <w:p w14:paraId="11AD34B1" w14:textId="77777777" w:rsidR="007C1109" w:rsidRDefault="007C1109" w:rsidP="00C32037">
      <w:pPr>
        <w:spacing w:after="0" w:line="240" w:lineRule="auto"/>
      </w:pPr>
    </w:p>
    <w:p w14:paraId="62D2C82C" w14:textId="02C882FA" w:rsidR="00A67140" w:rsidRDefault="00A67140" w:rsidP="00C32037">
      <w:pPr>
        <w:pStyle w:val="Kop2"/>
        <w:spacing w:before="0" w:line="240" w:lineRule="auto"/>
      </w:pPr>
      <w:bookmarkStart w:id="9" w:name="_Toc74563086"/>
      <w:r>
        <w:t>2.1 Algemene Omschrijving Opdracht</w:t>
      </w:r>
      <w:bookmarkEnd w:id="9"/>
    </w:p>
    <w:p w14:paraId="1D27269C" w14:textId="52D95E71" w:rsidR="000C6BC3" w:rsidRDefault="0040051E" w:rsidP="00C32037">
      <w:pPr>
        <w:spacing w:after="0" w:line="240" w:lineRule="auto"/>
      </w:pPr>
      <w:r>
        <w:t xml:space="preserve">Sinds een jaar en dag is het inkopen van energie, bestaande uit elektriciteit en gas gezamenlijk ingekocht. </w:t>
      </w:r>
      <w:r w:rsidR="00B2043A">
        <w:t>D</w:t>
      </w:r>
      <w:r>
        <w:t>e huidige overeenkomst</w:t>
      </w:r>
      <w:r w:rsidR="00200617">
        <w:t xml:space="preserve"> </w:t>
      </w:r>
      <w:r>
        <w:t xml:space="preserve">loopt eind december 2021 vanwege rechtswege af. </w:t>
      </w:r>
      <w:r w:rsidR="00997F63">
        <w:t xml:space="preserve">De </w:t>
      </w:r>
      <w:r w:rsidR="002953A4">
        <w:t>Aanbestedende dienst</w:t>
      </w:r>
      <w:r w:rsidR="00997F63">
        <w:t xml:space="preserve"> is voornemens om p</w:t>
      </w:r>
      <w:r>
        <w:t xml:space="preserve">er januari 2022 een </w:t>
      </w:r>
      <w:r w:rsidR="00200617">
        <w:t>nieuw</w:t>
      </w:r>
      <w:r>
        <w:t xml:space="preserve">e overeenkomst </w:t>
      </w:r>
      <w:r w:rsidR="00997F63">
        <w:t xml:space="preserve">aan te gaan met één partij voortkomend uit deze aanbesteding. </w:t>
      </w:r>
      <w:r w:rsidR="006E4DFA">
        <w:t>De Opdracht</w:t>
      </w:r>
      <w:r w:rsidR="009C3F5B">
        <w:t xml:space="preserve"> betreft </w:t>
      </w:r>
      <w:r w:rsidR="006D6BD2">
        <w:t>levering van duurzame</w:t>
      </w:r>
      <w:r w:rsidR="000C6BC3">
        <w:t xml:space="preserve"> Elektriciteit en </w:t>
      </w:r>
      <w:r w:rsidR="009C3F5B">
        <w:t>Aardg</w:t>
      </w:r>
      <w:r w:rsidR="00FD04C8">
        <w:t>as</w:t>
      </w:r>
      <w:r w:rsidR="006D6BD2">
        <w:t>,</w:t>
      </w:r>
      <w:r w:rsidR="00FD04C8">
        <w:t xml:space="preserve"> </w:t>
      </w:r>
      <w:r w:rsidR="009C3F5B">
        <w:t xml:space="preserve">Garanties van Oorsprong </w:t>
      </w:r>
      <w:r w:rsidR="00997F63">
        <w:t>é</w:t>
      </w:r>
      <w:r w:rsidR="00D73D5E">
        <w:t>n verdere diensten die te maken hebben met de</w:t>
      </w:r>
      <w:r w:rsidR="009C3F5B">
        <w:t xml:space="preserve"> levering van beide producten</w:t>
      </w:r>
      <w:r w:rsidR="00D73D5E">
        <w:t>. Hierbij valt onder meer te denken aan het contact ond</w:t>
      </w:r>
      <w:r w:rsidR="005B2905">
        <w:t xml:space="preserve">erhouden met de netbeheerder, </w:t>
      </w:r>
      <w:r w:rsidR="00D73D5E">
        <w:t>het meetbedrijf namens de Op</w:t>
      </w:r>
      <w:r w:rsidR="005B2905">
        <w:t>drachtgevers en</w:t>
      </w:r>
      <w:r w:rsidR="00FD04C8">
        <w:t xml:space="preserve"> het verzorgen van een </w:t>
      </w:r>
      <w:r w:rsidR="00D73D5E">
        <w:t>overzichtelijke facturering</w:t>
      </w:r>
      <w:r w:rsidR="006D6BD2">
        <w:t xml:space="preserve"> conform </w:t>
      </w:r>
      <w:r w:rsidR="006D6BD2" w:rsidRPr="006D6BD2">
        <w:rPr>
          <w:i/>
        </w:rPr>
        <w:t>P</w:t>
      </w:r>
      <w:r w:rsidR="005B2905" w:rsidRPr="006D6BD2">
        <w:rPr>
          <w:i/>
        </w:rPr>
        <w:t xml:space="preserve">rogramma van </w:t>
      </w:r>
      <w:r w:rsidR="006D6BD2" w:rsidRPr="006D6BD2">
        <w:rPr>
          <w:i/>
        </w:rPr>
        <w:t>E</w:t>
      </w:r>
      <w:r w:rsidR="005B2905" w:rsidRPr="006D6BD2">
        <w:rPr>
          <w:i/>
        </w:rPr>
        <w:t>isen</w:t>
      </w:r>
      <w:r w:rsidR="006D6BD2">
        <w:t xml:space="preserve"> voor de drie gemeentelijke organisaties</w:t>
      </w:r>
      <w:r w:rsidR="00D73D5E">
        <w:t>.</w:t>
      </w:r>
      <w:r w:rsidR="00FD04C8">
        <w:t xml:space="preserve"> </w:t>
      </w:r>
      <w:r w:rsidR="000C6BC3">
        <w:t>De Opdracht is dusdanig op te delen in twee percelen:</w:t>
      </w:r>
    </w:p>
    <w:p w14:paraId="0C556AD0" w14:textId="77777777" w:rsidR="00A035D8" w:rsidRDefault="00A035D8" w:rsidP="00C32037">
      <w:pPr>
        <w:spacing w:after="0" w:line="240" w:lineRule="auto"/>
      </w:pPr>
    </w:p>
    <w:p w14:paraId="5047E134" w14:textId="04358B2D" w:rsidR="000C6BC3" w:rsidRPr="000C6BC3" w:rsidRDefault="000C6BC3" w:rsidP="00C32037">
      <w:pPr>
        <w:spacing w:after="0" w:line="240" w:lineRule="auto"/>
        <w:rPr>
          <w:b/>
          <w:u w:val="single"/>
        </w:rPr>
      </w:pPr>
      <w:r w:rsidRPr="000C6BC3">
        <w:rPr>
          <w:b/>
          <w:u w:val="single"/>
        </w:rPr>
        <w:t>Perceel 1 – Elektriciteit</w:t>
      </w:r>
      <w:r w:rsidR="00EA16AE">
        <w:rPr>
          <w:b/>
          <w:u w:val="single"/>
        </w:rPr>
        <w:t xml:space="preserve"> (CPV-code </w:t>
      </w:r>
      <w:r w:rsidR="00EA16AE" w:rsidRPr="00EA16AE">
        <w:rPr>
          <w:b/>
          <w:u w:val="single"/>
        </w:rPr>
        <w:t>09310000</w:t>
      </w:r>
      <w:r w:rsidR="00EA16AE">
        <w:rPr>
          <w:b/>
          <w:u w:val="single"/>
        </w:rPr>
        <w:t>)</w:t>
      </w:r>
    </w:p>
    <w:p w14:paraId="237DB4A5" w14:textId="13C76012" w:rsidR="00A035D8" w:rsidRDefault="000C6BC3" w:rsidP="00C32037">
      <w:pPr>
        <w:spacing w:after="0" w:line="240" w:lineRule="auto"/>
      </w:pPr>
      <w:r>
        <w:t>Dit betreft de levering van elektriciteit en Garanties van Oorsprong (GvO’s). Voor dit perceel wordt gevraagd</w:t>
      </w:r>
      <w:r w:rsidR="00A035D8">
        <w:t xml:space="preserve"> om binnen de contractperiode</w:t>
      </w:r>
      <w:r>
        <w:t xml:space="preserve"> tenminste 100% duurzame elektriciteit opgewekt</w:t>
      </w:r>
      <w:r w:rsidR="00CF74CA">
        <w:t xml:space="preserve"> middels Nederlandse, duurzame </w:t>
      </w:r>
      <w:r>
        <w:t>energiebronnen.</w:t>
      </w:r>
      <w:r w:rsidR="00A035D8">
        <w:t xml:space="preserve"> </w:t>
      </w:r>
    </w:p>
    <w:p w14:paraId="10219436" w14:textId="77777777" w:rsidR="000C6BC3" w:rsidRDefault="000C6BC3" w:rsidP="00C32037">
      <w:pPr>
        <w:spacing w:after="0" w:line="240" w:lineRule="auto"/>
      </w:pPr>
    </w:p>
    <w:p w14:paraId="64BECEDE" w14:textId="6FAB599B" w:rsidR="000C6BC3" w:rsidRPr="000C6BC3" w:rsidRDefault="000C6BC3" w:rsidP="00C32037">
      <w:pPr>
        <w:spacing w:after="0" w:line="240" w:lineRule="auto"/>
        <w:rPr>
          <w:b/>
          <w:u w:val="single"/>
        </w:rPr>
      </w:pPr>
      <w:r w:rsidRPr="000C6BC3">
        <w:rPr>
          <w:b/>
          <w:u w:val="single"/>
        </w:rPr>
        <w:t>Perceel 2 – Aardgas</w:t>
      </w:r>
      <w:r w:rsidR="00EA16AE">
        <w:rPr>
          <w:b/>
          <w:u w:val="single"/>
        </w:rPr>
        <w:t xml:space="preserve"> (CPV-code </w:t>
      </w:r>
      <w:r w:rsidR="00EA16AE" w:rsidRPr="00EA16AE">
        <w:rPr>
          <w:b/>
          <w:u w:val="single"/>
        </w:rPr>
        <w:t>09123000</w:t>
      </w:r>
      <w:r w:rsidR="00EA16AE">
        <w:rPr>
          <w:b/>
          <w:u w:val="single"/>
        </w:rPr>
        <w:t>)</w:t>
      </w:r>
    </w:p>
    <w:p w14:paraId="3FEB1BFA" w14:textId="60F5A8EB" w:rsidR="000C6BC3" w:rsidRDefault="00EE1A52" w:rsidP="00C32037">
      <w:pPr>
        <w:spacing w:after="0" w:line="240" w:lineRule="auto"/>
      </w:pPr>
      <w:r>
        <w:t xml:space="preserve">Dit perceel betreft de levering van aardgas en VER’s. Hierbij wordt gevraagd 100% van de aardgasbehoefte te compenseren </w:t>
      </w:r>
      <w:r w:rsidR="000B0088">
        <w:t>door</w:t>
      </w:r>
      <w:r>
        <w:t xml:space="preserve"> levering van </w:t>
      </w:r>
      <w:r w:rsidRPr="000471EB">
        <w:t>CO₂ gecompenseerd gas middels VER’s Gold Standard</w:t>
      </w:r>
      <w:r w:rsidR="00867FBF">
        <w:t xml:space="preserve"> en/of vergelijkbare certificering.</w:t>
      </w:r>
    </w:p>
    <w:p w14:paraId="3E1B2A3F" w14:textId="7A660912" w:rsidR="007C1109" w:rsidRDefault="007C1109" w:rsidP="00C32037">
      <w:pPr>
        <w:spacing w:after="0" w:line="240" w:lineRule="auto"/>
      </w:pPr>
    </w:p>
    <w:p w14:paraId="3776E1A3" w14:textId="7D660217" w:rsidR="007C1109" w:rsidRDefault="007C1109" w:rsidP="00C32037">
      <w:pPr>
        <w:spacing w:after="0" w:line="240" w:lineRule="auto"/>
      </w:pPr>
      <w:r>
        <w:t xml:space="preserve">In het </w:t>
      </w:r>
      <w:r w:rsidRPr="007C1109">
        <w:rPr>
          <w:b/>
        </w:rPr>
        <w:t>Programma van Eisen</w:t>
      </w:r>
      <w:r>
        <w:t xml:space="preserve"> worden voorts de eisen ten aan zien van de </w:t>
      </w:r>
      <w:r w:rsidRPr="007C1109">
        <w:rPr>
          <w:u w:val="single"/>
        </w:rPr>
        <w:t>Opdracht als geheel</w:t>
      </w:r>
      <w:r>
        <w:t xml:space="preserve"> nader uiteen gezet. Zo passeert onder meer de eisen ten aanzien van facturatie afhandeling en factuursstromen de revue.</w:t>
      </w:r>
    </w:p>
    <w:p w14:paraId="4D6B298F" w14:textId="77777777" w:rsidR="00EC112B" w:rsidRDefault="00EC112B" w:rsidP="00C32037">
      <w:pPr>
        <w:spacing w:after="0" w:line="240" w:lineRule="auto"/>
      </w:pPr>
    </w:p>
    <w:p w14:paraId="60E241E3" w14:textId="3F0280D2" w:rsidR="00A67140" w:rsidRDefault="00A67140" w:rsidP="00C32037">
      <w:pPr>
        <w:pStyle w:val="Kop3"/>
        <w:spacing w:before="0" w:line="240" w:lineRule="auto"/>
      </w:pPr>
      <w:bookmarkStart w:id="10" w:name="_Toc74563087"/>
      <w:r>
        <w:t xml:space="preserve">2.1.1 </w:t>
      </w:r>
      <w:r w:rsidR="000C6BC3">
        <w:t>Geen Percelenregeling</w:t>
      </w:r>
      <w:bookmarkEnd w:id="10"/>
    </w:p>
    <w:p w14:paraId="20B3374E" w14:textId="115AD07C" w:rsidR="00170FB7" w:rsidRDefault="00EE1A52" w:rsidP="00C32037">
      <w:pPr>
        <w:autoSpaceDE w:val="0"/>
        <w:autoSpaceDN w:val="0"/>
        <w:adjustRightInd w:val="0"/>
        <w:spacing w:after="0" w:line="240" w:lineRule="auto"/>
        <w:rPr>
          <w:rFonts w:cstheme="minorHAnsi"/>
          <w:szCs w:val="20"/>
        </w:rPr>
      </w:pPr>
      <w:r>
        <w:rPr>
          <w:rFonts w:cstheme="minorHAnsi"/>
          <w:szCs w:val="20"/>
        </w:rPr>
        <w:t>De in deze gestelde eisen aan Inschrijvers zijn niet van dien aard dat partijen/leveranciers benadeeld worden of dat de concurrentie tussen marktpartijen beperkt zou worden door het samenvoegen van de percelen. De samenvoeging zorgt voor het terugdringen van de lasten en kosten</w:t>
      </w:r>
      <w:r w:rsidR="002C07BD">
        <w:rPr>
          <w:rFonts w:cstheme="minorHAnsi"/>
          <w:szCs w:val="20"/>
        </w:rPr>
        <w:t xml:space="preserve"> en vereenvoudigen</w:t>
      </w:r>
      <w:r>
        <w:rPr>
          <w:rFonts w:cstheme="minorHAnsi"/>
          <w:szCs w:val="20"/>
        </w:rPr>
        <w:t xml:space="preserve"> </w:t>
      </w:r>
      <w:r w:rsidR="002C07BD">
        <w:rPr>
          <w:rFonts w:cstheme="minorHAnsi"/>
          <w:szCs w:val="20"/>
        </w:rPr>
        <w:t xml:space="preserve">- </w:t>
      </w:r>
      <w:r>
        <w:rPr>
          <w:rFonts w:cstheme="minorHAnsi"/>
          <w:szCs w:val="20"/>
        </w:rPr>
        <w:t xml:space="preserve">voor zowel </w:t>
      </w:r>
      <w:r w:rsidR="002C07BD">
        <w:rPr>
          <w:rFonts w:cstheme="minorHAnsi"/>
          <w:szCs w:val="20"/>
        </w:rPr>
        <w:t xml:space="preserve">de </w:t>
      </w:r>
      <w:r>
        <w:rPr>
          <w:rFonts w:cstheme="minorHAnsi"/>
          <w:szCs w:val="20"/>
        </w:rPr>
        <w:t xml:space="preserve">Aanbestedende dienst als </w:t>
      </w:r>
      <w:r w:rsidR="00142AB8">
        <w:rPr>
          <w:rFonts w:cstheme="minorHAnsi"/>
          <w:szCs w:val="20"/>
        </w:rPr>
        <w:t xml:space="preserve">potentiele marktpartijen - </w:t>
      </w:r>
      <w:r w:rsidR="002C07BD">
        <w:rPr>
          <w:rFonts w:cstheme="minorHAnsi"/>
          <w:szCs w:val="20"/>
        </w:rPr>
        <w:t xml:space="preserve">van het </w:t>
      </w:r>
      <w:r w:rsidR="00142AB8">
        <w:rPr>
          <w:rFonts w:cstheme="minorHAnsi"/>
          <w:szCs w:val="20"/>
        </w:rPr>
        <w:t>Contractbeheer</w:t>
      </w:r>
      <w:r w:rsidR="002C07BD">
        <w:rPr>
          <w:rFonts w:cstheme="minorHAnsi"/>
          <w:szCs w:val="20"/>
        </w:rPr>
        <w:t xml:space="preserve"> en de </w:t>
      </w:r>
      <w:r w:rsidR="002C5C3B">
        <w:rPr>
          <w:rFonts w:cstheme="minorHAnsi"/>
          <w:szCs w:val="20"/>
        </w:rPr>
        <w:t>administratie</w:t>
      </w:r>
      <w:r w:rsidR="002C07BD">
        <w:rPr>
          <w:rFonts w:cstheme="minorHAnsi"/>
          <w:szCs w:val="20"/>
        </w:rPr>
        <w:t>ve handelingen. Daarnaast heeft d</w:t>
      </w:r>
      <w:r w:rsidR="002C5C3B">
        <w:rPr>
          <w:rFonts w:cstheme="minorHAnsi"/>
          <w:szCs w:val="20"/>
        </w:rPr>
        <w:t xml:space="preserve">e markt zich zodanig bewezen dat er ruim voldoende marktpartijen zijn die in staat zijn om – al dan niet in een (tijdelijk) samenwerkingsverband -  de </w:t>
      </w:r>
      <w:r w:rsidR="008C5EB1">
        <w:rPr>
          <w:rFonts w:cstheme="minorHAnsi"/>
          <w:szCs w:val="20"/>
        </w:rPr>
        <w:t xml:space="preserve">omschreven Opdracht </w:t>
      </w:r>
      <w:r w:rsidR="002C5C3B">
        <w:rPr>
          <w:rFonts w:cstheme="minorHAnsi"/>
          <w:szCs w:val="20"/>
        </w:rPr>
        <w:t xml:space="preserve">in zijn geheel aan te beiden en te leveren. </w:t>
      </w:r>
    </w:p>
    <w:p w14:paraId="63FCDBD1" w14:textId="77777777" w:rsidR="00EC112B" w:rsidRDefault="00EC112B" w:rsidP="00C32037">
      <w:pPr>
        <w:autoSpaceDE w:val="0"/>
        <w:autoSpaceDN w:val="0"/>
        <w:adjustRightInd w:val="0"/>
        <w:spacing w:after="0" w:line="240" w:lineRule="auto"/>
        <w:rPr>
          <w:rFonts w:cstheme="minorHAnsi"/>
          <w:szCs w:val="20"/>
        </w:rPr>
      </w:pPr>
    </w:p>
    <w:p w14:paraId="4D37D98E" w14:textId="2C58B18B" w:rsidR="00A67140" w:rsidRDefault="00A67140" w:rsidP="00C32037">
      <w:pPr>
        <w:pStyle w:val="Kop3"/>
        <w:spacing w:before="0" w:line="240" w:lineRule="auto"/>
        <w:rPr>
          <w:rFonts w:asciiTheme="minorHAnsi" w:hAnsiTheme="minorHAnsi"/>
          <w:color w:val="auto"/>
        </w:rPr>
      </w:pPr>
      <w:bookmarkStart w:id="11" w:name="_Toc74563088"/>
      <w:r>
        <w:t>2.1.2 Rol Aanbestedende dienst t.a.v. Opdracht</w:t>
      </w:r>
      <w:bookmarkEnd w:id="11"/>
    </w:p>
    <w:p w14:paraId="66423196" w14:textId="579EA2EA" w:rsidR="00782461" w:rsidRDefault="00782461" w:rsidP="00C32037">
      <w:pPr>
        <w:spacing w:after="0" w:line="240" w:lineRule="auto"/>
      </w:pPr>
      <w:r>
        <w:t xml:space="preserve">De Aanbestedende dienst treedt namens </w:t>
      </w:r>
      <w:r w:rsidR="00E8634B">
        <w:t>de Opdrachtgevers</w:t>
      </w:r>
      <w:r>
        <w:t xml:space="preserve"> op als penvoerder en is hiermee gemachtigd de Aanbestedingsprocedure uit te voeren, inclusief de gunning. Tevens is de Aanbestedende dienst gemachtigd voor onder andere het ondertekenen van het contract en/of verlengen van het contract, eventueel corrigeren van de gemaakte afspraken met de gecontracteerde marktpartij en/of energieleverancier, het monitoren en het vastklikken van de</w:t>
      </w:r>
      <w:r w:rsidR="002314A3">
        <w:t xml:space="preserve"> elektriciteit- en gasprijzen e.d.</w:t>
      </w:r>
    </w:p>
    <w:p w14:paraId="4E43E08A" w14:textId="77777777" w:rsidR="00725B68" w:rsidRPr="00B2043A" w:rsidRDefault="00725B68" w:rsidP="00C32037">
      <w:pPr>
        <w:spacing w:after="0" w:line="240" w:lineRule="auto"/>
      </w:pPr>
    </w:p>
    <w:p w14:paraId="125C939C" w14:textId="467BC8BA" w:rsidR="00B2043A" w:rsidRPr="00DA2F8E" w:rsidRDefault="00B65B81" w:rsidP="00C32037">
      <w:pPr>
        <w:pStyle w:val="Kop2"/>
        <w:spacing w:before="0" w:line="240" w:lineRule="auto"/>
      </w:pPr>
      <w:bookmarkStart w:id="12" w:name="_Toc74563089"/>
      <w:r>
        <w:lastRenderedPageBreak/>
        <w:t>2</w:t>
      </w:r>
      <w:r w:rsidR="00DA2F8E">
        <w:t>.</w:t>
      </w:r>
      <w:r w:rsidR="00A67140">
        <w:t>2</w:t>
      </w:r>
      <w:r w:rsidR="00DA2F8E">
        <w:t xml:space="preserve"> </w:t>
      </w:r>
      <w:r w:rsidR="006E4DFA" w:rsidRPr="00142AB8">
        <w:t>Visie Opdrachtgever</w:t>
      </w:r>
      <w:r w:rsidR="003A63CE">
        <w:t xml:space="preserve"> t.a.v. Aanbesteding/Inkopen</w:t>
      </w:r>
      <w:bookmarkEnd w:id="12"/>
    </w:p>
    <w:p w14:paraId="5CD3A18C" w14:textId="4C5D9C81" w:rsidR="00955F72" w:rsidRDefault="006E4DFA" w:rsidP="00C32037">
      <w:pPr>
        <w:spacing w:after="0" w:line="240" w:lineRule="auto"/>
      </w:pPr>
      <w:r>
        <w:t>In het beleid van de gemeenten spelen maatschappelijke thema’s als betrouwbaarheid en duurzaamheid een belangrijke rol. De gemeenten hebben binnen haar energie dienstverlening oog voor haar maatschappelijke verantwoordelijkheid</w:t>
      </w:r>
      <w:r w:rsidR="00A7079F">
        <w:t xml:space="preserve"> en wensen aandacht te b</w:t>
      </w:r>
      <w:r w:rsidR="00DB3B9C">
        <w:t>esteden aan duurzaam ondernemen</w:t>
      </w:r>
      <w:r w:rsidR="00955F72" w:rsidRPr="003A63CE">
        <w:t>.</w:t>
      </w:r>
    </w:p>
    <w:p w14:paraId="24B04F23" w14:textId="77777777" w:rsidR="00EC112B" w:rsidRDefault="00EC112B" w:rsidP="00C32037">
      <w:pPr>
        <w:spacing w:after="0" w:line="240" w:lineRule="auto"/>
      </w:pPr>
    </w:p>
    <w:p w14:paraId="75E5ECDF" w14:textId="62EA7619" w:rsidR="00C94E30" w:rsidRDefault="00631A0E" w:rsidP="00C32037">
      <w:pPr>
        <w:pStyle w:val="Kop3"/>
        <w:spacing w:before="0" w:line="240" w:lineRule="auto"/>
      </w:pPr>
      <w:bookmarkStart w:id="13" w:name="_Toc74563090"/>
      <w:r>
        <w:t>2.</w:t>
      </w:r>
      <w:r w:rsidR="00A67140">
        <w:t>2</w:t>
      </w:r>
      <w:r>
        <w:t xml:space="preserve">.1 Duurzaamheid </w:t>
      </w:r>
      <w:r w:rsidR="00C94E30">
        <w:t>en Maatschappelijk verantwoord inkopen</w:t>
      </w:r>
      <w:bookmarkEnd w:id="13"/>
    </w:p>
    <w:p w14:paraId="10D52618" w14:textId="39A8E443" w:rsidR="00D11E70" w:rsidRDefault="00C94E30" w:rsidP="00C32037">
      <w:pPr>
        <w:spacing w:after="0" w:line="240" w:lineRule="auto"/>
      </w:pPr>
      <w:r w:rsidRPr="002A1C92">
        <w:t xml:space="preserve">De </w:t>
      </w:r>
      <w:r w:rsidR="002953A4">
        <w:t>Aanbestedende dienst</w:t>
      </w:r>
      <w:r w:rsidRPr="002A1C92">
        <w:t xml:space="preserve"> heeft duurzaamheid hoog in het vaandel staan. Ten aanzien van duurzaamheid heeft de </w:t>
      </w:r>
      <w:r w:rsidR="002953A4">
        <w:t>Aanbestedende dienst</w:t>
      </w:r>
      <w:r w:rsidRPr="002A1C92">
        <w:t xml:space="preserve"> de ambitie om 100% duurzaam in te kopen. Daar waar mogelijk, worden de door het Rijk geformuleerde eisen voor milieuvriendelijker en rechtvaardige inkopen</w:t>
      </w:r>
      <w:r w:rsidR="003C68D4">
        <w:t xml:space="preserve"> (MVI-criteria)</w:t>
      </w:r>
      <w:r w:rsidRPr="002A1C92">
        <w:t xml:space="preserve"> in </w:t>
      </w:r>
      <w:r w:rsidR="003C68D4">
        <w:t xml:space="preserve">deze Aanbesteding meegenomen. Deze eisen zijn verwerkt in </w:t>
      </w:r>
      <w:r w:rsidR="003C68D4" w:rsidRPr="00CB7A73">
        <w:rPr>
          <w:i/>
        </w:rPr>
        <w:t xml:space="preserve">Programma van </w:t>
      </w:r>
      <w:r w:rsidR="003C68D4" w:rsidRPr="00142AB8">
        <w:rPr>
          <w:i/>
        </w:rPr>
        <w:t>Eisen</w:t>
      </w:r>
      <w:r w:rsidR="00CB7A73" w:rsidRPr="00142AB8">
        <w:rPr>
          <w:i/>
        </w:rPr>
        <w:t xml:space="preserve"> </w:t>
      </w:r>
      <w:r w:rsidR="00CB7A73" w:rsidRPr="00142AB8">
        <w:t>(</w:t>
      </w:r>
      <w:r w:rsidR="00AB2FB0" w:rsidRPr="00142AB8">
        <w:t xml:space="preserve">Bijlage </w:t>
      </w:r>
      <w:r w:rsidR="00561224" w:rsidRPr="00142AB8">
        <w:t>3</w:t>
      </w:r>
      <w:r w:rsidR="00CB7A73" w:rsidRPr="00142AB8">
        <w:t xml:space="preserve">) </w:t>
      </w:r>
      <w:r w:rsidR="00142AB8">
        <w:t xml:space="preserve">, Milieutool (Bijlage 12) en </w:t>
      </w:r>
      <w:r w:rsidR="00142AB8" w:rsidRPr="00142AB8">
        <w:rPr>
          <w:i/>
        </w:rPr>
        <w:t>Concept</w:t>
      </w:r>
      <w:r w:rsidR="003C68D4" w:rsidRPr="00142AB8">
        <w:rPr>
          <w:i/>
        </w:rPr>
        <w:t xml:space="preserve"> </w:t>
      </w:r>
      <w:r w:rsidR="00761235" w:rsidRPr="00142AB8">
        <w:rPr>
          <w:i/>
        </w:rPr>
        <w:t>Raam</w:t>
      </w:r>
      <w:r w:rsidR="00142AB8">
        <w:rPr>
          <w:i/>
        </w:rPr>
        <w:t>overeenkomst (</w:t>
      </w:r>
      <w:r w:rsidR="00142AB8" w:rsidRPr="00142AB8">
        <w:t>Bijlage 6</w:t>
      </w:r>
      <w:r w:rsidR="00142AB8">
        <w:rPr>
          <w:i/>
        </w:rPr>
        <w:t>)</w:t>
      </w:r>
      <w:r w:rsidR="003C68D4">
        <w:t xml:space="preserve">. </w:t>
      </w:r>
    </w:p>
    <w:p w14:paraId="4867BBEE" w14:textId="77777777" w:rsidR="00EC112B" w:rsidRDefault="00EC112B" w:rsidP="00C32037">
      <w:pPr>
        <w:spacing w:after="0" w:line="240" w:lineRule="auto"/>
      </w:pPr>
    </w:p>
    <w:p w14:paraId="7E0BC20E" w14:textId="234E457B" w:rsidR="00584243" w:rsidRDefault="00584243" w:rsidP="00C32037">
      <w:pPr>
        <w:pStyle w:val="Kop3"/>
        <w:spacing w:before="0" w:line="240" w:lineRule="auto"/>
      </w:pPr>
      <w:bookmarkStart w:id="14" w:name="_Toc74563091"/>
      <w:r>
        <w:t>2.</w:t>
      </w:r>
      <w:r w:rsidR="00A67140">
        <w:t>2</w:t>
      </w:r>
      <w:r>
        <w:t>.</w:t>
      </w:r>
      <w:r w:rsidR="00EE1A52">
        <w:t>2</w:t>
      </w:r>
      <w:r w:rsidRPr="007E5D63">
        <w:t xml:space="preserve"> </w:t>
      </w:r>
      <w:r w:rsidR="00CC7D73" w:rsidRPr="00D030F5">
        <w:t>Ambities Opdrachtgever</w:t>
      </w:r>
      <w:bookmarkEnd w:id="14"/>
      <w:r w:rsidRPr="00D030F5">
        <w:t xml:space="preserve"> </w:t>
      </w:r>
    </w:p>
    <w:p w14:paraId="28D6EB80" w14:textId="522C4C2D" w:rsidR="00584243" w:rsidRDefault="00725B68" w:rsidP="00C32037">
      <w:pPr>
        <w:spacing w:after="0" w:line="240" w:lineRule="auto"/>
      </w:pPr>
      <w:r>
        <w:t xml:space="preserve">De ambities </w:t>
      </w:r>
      <w:r w:rsidR="00B1365D">
        <w:t xml:space="preserve">van de Opdrachtgevers </w:t>
      </w:r>
      <w:r w:rsidR="00584243">
        <w:t>die hierbij horen zijn:</w:t>
      </w:r>
    </w:p>
    <w:p w14:paraId="107F3BD7" w14:textId="68AADFBE" w:rsidR="00043E65" w:rsidRDefault="00B1365D" w:rsidP="00C32037">
      <w:pPr>
        <w:pStyle w:val="Lijstalinea"/>
        <w:numPr>
          <w:ilvl w:val="0"/>
          <w:numId w:val="6"/>
        </w:numPr>
        <w:spacing w:after="0" w:line="240" w:lineRule="auto"/>
      </w:pPr>
      <w:r>
        <w:t xml:space="preserve">Het streven naar elektriciteit dat op een “echte” duurzame wijze wordt opgewekt en geproduceerd. Een ‘groene stroom’ die uit natuurlijke </w:t>
      </w:r>
      <w:r w:rsidR="00043E65">
        <w:t>energiebronnen</w:t>
      </w:r>
      <w:r>
        <w:t xml:space="preserve"> zijn opgewekt zoals wind- water-, zonne-energie </w:t>
      </w:r>
      <w:r w:rsidR="00ED3A9B">
        <w:t>en/</w:t>
      </w:r>
      <w:r>
        <w:t>of biomassa die als duurzaam kan worden aangemerkt. Een duurzame energie die weinig tot geen beslag legt op de eindige voorraden fossiele energie of brandstof voor nucleaire installaties (kernenergie).</w:t>
      </w:r>
    </w:p>
    <w:p w14:paraId="06510E27" w14:textId="62487349" w:rsidR="00ED3A9B" w:rsidRDefault="00B1365D" w:rsidP="00C32037">
      <w:pPr>
        <w:pStyle w:val="Lijstalinea"/>
        <w:numPr>
          <w:ilvl w:val="0"/>
          <w:numId w:val="6"/>
        </w:numPr>
        <w:spacing w:after="0" w:line="240" w:lineRule="auto"/>
      </w:pPr>
      <w:r>
        <w:t>De geleverde elektriciteit dient voorzien te zijn van Garanties van Oorsprong (GvO</w:t>
      </w:r>
      <w:r w:rsidR="00D317A3">
        <w:t>’</w:t>
      </w:r>
      <w:r>
        <w:t xml:space="preserve">s) </w:t>
      </w:r>
      <w:r w:rsidR="00ED3A9B">
        <w:t>Nederlandse wind en/of zon. Als alternatief Groene stroom met Milieukeur.</w:t>
      </w:r>
    </w:p>
    <w:p w14:paraId="492FD1F3" w14:textId="77777777" w:rsidR="00AA1A0C" w:rsidRDefault="009A4795" w:rsidP="00C32037">
      <w:pPr>
        <w:pStyle w:val="Lijstalinea"/>
        <w:numPr>
          <w:ilvl w:val="0"/>
          <w:numId w:val="6"/>
        </w:numPr>
        <w:spacing w:after="0" w:line="240" w:lineRule="auto"/>
      </w:pPr>
      <w:r>
        <w:t>Certificatie C02 gecompenseerd gas.</w:t>
      </w:r>
    </w:p>
    <w:p w14:paraId="26F2AA9B" w14:textId="77777777" w:rsidR="00135461" w:rsidRDefault="00135461" w:rsidP="00C32037">
      <w:pPr>
        <w:spacing w:after="0" w:line="240" w:lineRule="auto"/>
      </w:pPr>
    </w:p>
    <w:p w14:paraId="6287E0B6" w14:textId="0EFF41EA" w:rsidR="00E11A54" w:rsidRDefault="00E11A54" w:rsidP="00C32037">
      <w:pPr>
        <w:pStyle w:val="Kop2"/>
        <w:spacing w:before="0" w:line="240" w:lineRule="auto"/>
      </w:pPr>
      <w:bookmarkStart w:id="15" w:name="_Toc74563092"/>
      <w:r>
        <w:t>2.</w:t>
      </w:r>
      <w:r w:rsidR="00A67140">
        <w:t>3</w:t>
      </w:r>
      <w:r>
        <w:t xml:space="preserve"> </w:t>
      </w:r>
      <w:r w:rsidR="005D5222">
        <w:t xml:space="preserve">Huidige aantal </w:t>
      </w:r>
      <w:r w:rsidR="007B4CFF">
        <w:t>Aansluitingen en Volume</w:t>
      </w:r>
      <w:bookmarkEnd w:id="15"/>
      <w:r w:rsidR="00725B68">
        <w:t xml:space="preserve">  </w:t>
      </w:r>
    </w:p>
    <w:p w14:paraId="69850F22" w14:textId="3BE2D0AA" w:rsidR="00091953" w:rsidRDefault="00725B68" w:rsidP="00C32037">
      <w:pPr>
        <w:spacing w:after="0" w:line="240" w:lineRule="auto"/>
      </w:pPr>
      <w:r>
        <w:t xml:space="preserve">Momenteel levert </w:t>
      </w:r>
      <w:r w:rsidR="00CC7D73">
        <w:t>Greenchoice aan de drie gemeenten de elektriciteit en het gas.</w:t>
      </w:r>
      <w:r>
        <w:t xml:space="preserve"> </w:t>
      </w:r>
      <w:r w:rsidR="001A40AA">
        <w:t>Stedin is</w:t>
      </w:r>
      <w:r w:rsidR="00CC7D73">
        <w:t xml:space="preserve"> de netbeheerder en </w:t>
      </w:r>
      <w:r w:rsidR="001A40AA">
        <w:t xml:space="preserve">vooralsnog </w:t>
      </w:r>
      <w:r w:rsidR="00CC7D73" w:rsidRPr="00ED3A9B">
        <w:t>Joulz Meetbedrijf</w:t>
      </w:r>
      <w:r w:rsidR="00CC7D73">
        <w:t xml:space="preserve"> is meetverantwoordelijke voor de grootverbruik aansluitingen. </w:t>
      </w:r>
      <w:r w:rsidR="00091953">
        <w:t xml:space="preserve">In de onderstaande paragrafen leest u de huidige stand van zaken ten aanzien van de bestaande aansluitingen en afgenomen volume. </w:t>
      </w:r>
      <w:r w:rsidR="00091953" w:rsidRPr="00091953">
        <w:t>Aan de</w:t>
      </w:r>
      <w:r w:rsidR="00091953">
        <w:t xml:space="preserve">ze </w:t>
      </w:r>
      <w:r w:rsidR="00091953" w:rsidRPr="00091953">
        <w:t>data, volumes en inschattingen kunnen op geen enkele manier rechten worden ontleend.</w:t>
      </w:r>
      <w:r w:rsidR="00091953">
        <w:t xml:space="preserve"> </w:t>
      </w:r>
    </w:p>
    <w:p w14:paraId="076BE6E6" w14:textId="77777777" w:rsidR="00EC112B" w:rsidRDefault="00EC112B" w:rsidP="00C32037">
      <w:pPr>
        <w:spacing w:after="0" w:line="240" w:lineRule="auto"/>
      </w:pPr>
    </w:p>
    <w:p w14:paraId="40D4594D" w14:textId="72A87C3D" w:rsidR="008D384C" w:rsidRDefault="008D384C" w:rsidP="00C32037">
      <w:pPr>
        <w:pStyle w:val="Kop3"/>
        <w:spacing w:before="0" w:line="240" w:lineRule="auto"/>
      </w:pPr>
      <w:bookmarkStart w:id="16" w:name="_Toc74563093"/>
      <w:r>
        <w:t>2.</w:t>
      </w:r>
      <w:r w:rsidR="00A67140">
        <w:t>3</w:t>
      </w:r>
      <w:r>
        <w:t xml:space="preserve">.1 </w:t>
      </w:r>
      <w:r w:rsidR="007B4CFF">
        <w:t>Aantal aansluitingen</w:t>
      </w:r>
      <w:bookmarkEnd w:id="16"/>
      <w:r>
        <w:t xml:space="preserve"> </w:t>
      </w:r>
    </w:p>
    <w:p w14:paraId="65E7FB5B" w14:textId="26874A44" w:rsidR="00091953" w:rsidRDefault="007B4CFF" w:rsidP="00C32037">
      <w:pPr>
        <w:spacing w:after="0" w:line="240" w:lineRule="auto"/>
      </w:pPr>
      <w:r>
        <w:t>Binnen het huidige raamovereenkomst worden</w:t>
      </w:r>
      <w:r w:rsidR="00D317A3">
        <w:t xml:space="preserve"> circa</w:t>
      </w:r>
      <w:r>
        <w:t xml:space="preserve"> </w:t>
      </w:r>
      <w:r w:rsidR="00FD611C">
        <w:t>480</w:t>
      </w:r>
      <w:r>
        <w:t xml:space="preserve"> Elektriciteit </w:t>
      </w:r>
      <w:r w:rsidR="00FD611C">
        <w:t xml:space="preserve">en </w:t>
      </w:r>
      <w:r w:rsidR="00703B34">
        <w:t>50</w:t>
      </w:r>
      <w:r w:rsidR="002E4173">
        <w:t xml:space="preserve"> </w:t>
      </w:r>
      <w:r w:rsidR="00FD611C">
        <w:t xml:space="preserve">gas </w:t>
      </w:r>
      <w:r>
        <w:t xml:space="preserve">aansluitingen </w:t>
      </w:r>
      <w:r w:rsidR="00091953">
        <w:t>aangesloten:</w:t>
      </w:r>
    </w:p>
    <w:p w14:paraId="124D6C9C" w14:textId="7D81BDDE" w:rsidR="00091953" w:rsidRDefault="00091953" w:rsidP="00C32037">
      <w:pPr>
        <w:pStyle w:val="Lijstalinea"/>
        <w:numPr>
          <w:ilvl w:val="0"/>
          <w:numId w:val="7"/>
        </w:numPr>
        <w:spacing w:after="0" w:line="240" w:lineRule="auto"/>
      </w:pPr>
      <w:r>
        <w:t xml:space="preserve">Gemeente Barendrecht telt </w:t>
      </w:r>
      <w:r w:rsidR="00FD611C">
        <w:t>220</w:t>
      </w:r>
      <w:r>
        <w:t xml:space="preserve"> </w:t>
      </w:r>
      <w:r w:rsidR="00FD611C">
        <w:t xml:space="preserve">elektra en 30 gas </w:t>
      </w:r>
      <w:r>
        <w:t>aansluitingen.</w:t>
      </w:r>
    </w:p>
    <w:p w14:paraId="0E6909A0" w14:textId="36FB236D" w:rsidR="00091953" w:rsidRDefault="00091953" w:rsidP="00C32037">
      <w:pPr>
        <w:pStyle w:val="Lijstalinea"/>
        <w:numPr>
          <w:ilvl w:val="0"/>
          <w:numId w:val="7"/>
        </w:numPr>
        <w:spacing w:after="0" w:line="240" w:lineRule="auto"/>
      </w:pPr>
      <w:r>
        <w:t xml:space="preserve">Gemeente Albrandswaard telt </w:t>
      </w:r>
      <w:r w:rsidR="00FD611C">
        <w:t xml:space="preserve">130 elektra en 10 gas </w:t>
      </w:r>
      <w:r>
        <w:t>aansluitingen.</w:t>
      </w:r>
    </w:p>
    <w:p w14:paraId="4E577288" w14:textId="2F51BE4D" w:rsidR="00091953" w:rsidRDefault="00091953" w:rsidP="00C32037">
      <w:pPr>
        <w:pStyle w:val="Lijstalinea"/>
        <w:numPr>
          <w:ilvl w:val="0"/>
          <w:numId w:val="7"/>
        </w:numPr>
        <w:spacing w:after="0" w:line="240" w:lineRule="auto"/>
      </w:pPr>
      <w:r>
        <w:t xml:space="preserve">Gemeente Ridderkerk telt </w:t>
      </w:r>
      <w:r w:rsidR="00FD611C">
        <w:t>130 elektra en 10 gas</w:t>
      </w:r>
      <w:r>
        <w:t xml:space="preserve"> aansluitingen.</w:t>
      </w:r>
    </w:p>
    <w:p w14:paraId="0A0414E0" w14:textId="0903C1F7" w:rsidR="007B4CFF" w:rsidRDefault="00CC7D73" w:rsidP="00C32037">
      <w:pPr>
        <w:spacing w:after="0" w:line="240" w:lineRule="auto"/>
        <w:rPr>
          <w:rFonts w:cstheme="minorHAnsi"/>
        </w:rPr>
      </w:pPr>
      <w:r>
        <w:t xml:space="preserve">Van alle aansluitingen van deze aanbesteding </w:t>
      </w:r>
      <w:r w:rsidRPr="002E4173">
        <w:t xml:space="preserve">heeft </w:t>
      </w:r>
      <w:r w:rsidR="002E4173" w:rsidRPr="002E4173">
        <w:t>85</w:t>
      </w:r>
      <w:r w:rsidRPr="002E4173">
        <w:t>% een</w:t>
      </w:r>
      <w:r>
        <w:t xml:space="preserve"> slimme meter</w:t>
      </w:r>
      <w:r w:rsidR="007B4CFF">
        <w:t xml:space="preserve">. Zie tevens </w:t>
      </w:r>
      <w:r w:rsidR="00AB2FB0" w:rsidRPr="00561224">
        <w:rPr>
          <w:i/>
        </w:rPr>
        <w:t xml:space="preserve">Bijlage </w:t>
      </w:r>
      <w:r w:rsidR="00561224" w:rsidRPr="00561224">
        <w:rPr>
          <w:i/>
        </w:rPr>
        <w:t>5</w:t>
      </w:r>
      <w:r w:rsidR="00AB2FB0">
        <w:rPr>
          <w:i/>
        </w:rPr>
        <w:t xml:space="preserve">: </w:t>
      </w:r>
      <w:r w:rsidRPr="00E309C2">
        <w:rPr>
          <w:i/>
        </w:rPr>
        <w:t>Overzicht Aansluitingen</w:t>
      </w:r>
      <w:r w:rsidR="00EA2D72">
        <w:rPr>
          <w:i/>
        </w:rPr>
        <w:t xml:space="preserve"> en verbruiken</w:t>
      </w:r>
      <w:r>
        <w:t>.</w:t>
      </w:r>
      <w:r>
        <w:rPr>
          <w:rFonts w:cstheme="minorHAnsi"/>
        </w:rPr>
        <w:t xml:space="preserve"> </w:t>
      </w:r>
      <w:r w:rsidR="00091953">
        <w:rPr>
          <w:rFonts w:cstheme="minorHAnsi"/>
        </w:rPr>
        <w:t xml:space="preserve"> </w:t>
      </w:r>
      <w:r w:rsidR="00E874E5">
        <w:rPr>
          <w:rFonts w:cstheme="minorHAnsi"/>
        </w:rPr>
        <w:t xml:space="preserve">Aan de opgegeven gegevens kunnen geen rechten aan worden verleend. </w:t>
      </w:r>
    </w:p>
    <w:p w14:paraId="68FE1039" w14:textId="77777777" w:rsidR="00091953" w:rsidRDefault="00091953" w:rsidP="00C32037">
      <w:pPr>
        <w:spacing w:after="0" w:line="240" w:lineRule="auto"/>
        <w:rPr>
          <w:rFonts w:cstheme="minorHAnsi"/>
        </w:rPr>
      </w:pPr>
    </w:p>
    <w:p w14:paraId="142FB8BF" w14:textId="0D0FF36B" w:rsidR="007B4CFF" w:rsidRDefault="007B4CFF" w:rsidP="00C32037">
      <w:pPr>
        <w:pStyle w:val="Kop3"/>
        <w:spacing w:before="0" w:line="240" w:lineRule="auto"/>
      </w:pPr>
      <w:bookmarkStart w:id="17" w:name="_Toc74563094"/>
      <w:r>
        <w:t>2.</w:t>
      </w:r>
      <w:r w:rsidR="00A67140">
        <w:t>3</w:t>
      </w:r>
      <w:r>
        <w:t xml:space="preserve">.2 </w:t>
      </w:r>
      <w:r w:rsidR="005D5222">
        <w:t xml:space="preserve">Huidige </w:t>
      </w:r>
      <w:r>
        <w:t>Volume</w:t>
      </w:r>
      <w:bookmarkEnd w:id="17"/>
    </w:p>
    <w:p w14:paraId="50D6ADB3" w14:textId="5A386DED" w:rsidR="00654747" w:rsidRDefault="007B4CFF" w:rsidP="00C32037">
      <w:pPr>
        <w:spacing w:after="0" w:line="240" w:lineRule="auto"/>
        <w:rPr>
          <w:rFonts w:cstheme="minorHAnsi"/>
        </w:rPr>
      </w:pPr>
      <w:r>
        <w:t xml:space="preserve">De drie gemeenten verbruiken jaarlijks samen circa </w:t>
      </w:r>
      <w:r w:rsidR="002E4173">
        <w:t>12.000</w:t>
      </w:r>
      <w:r>
        <w:t xml:space="preserve"> MWh elektriciteit en </w:t>
      </w:r>
      <w:r w:rsidR="002E4173">
        <w:t>750.000</w:t>
      </w:r>
      <w:r>
        <w:t xml:space="preserve"> m</w:t>
      </w:r>
      <w:r>
        <w:rPr>
          <w:rFonts w:cstheme="minorHAnsi"/>
        </w:rPr>
        <w:t xml:space="preserve">³ gas. </w:t>
      </w:r>
      <w:r w:rsidR="00654747">
        <w:rPr>
          <w:rFonts w:cstheme="minorHAnsi"/>
        </w:rPr>
        <w:t>De schatting van het totale volume voor de leveringsjaren 2021 t/m 2024 op:</w:t>
      </w:r>
    </w:p>
    <w:p w14:paraId="7A30F41F" w14:textId="16043FDB" w:rsidR="00654747" w:rsidRDefault="00654747" w:rsidP="00C32037">
      <w:pPr>
        <w:pStyle w:val="Lijstalinea"/>
        <w:numPr>
          <w:ilvl w:val="0"/>
          <w:numId w:val="8"/>
        </w:numPr>
        <w:spacing w:after="0" w:line="240" w:lineRule="auto"/>
        <w:rPr>
          <w:rFonts w:cstheme="minorHAnsi"/>
        </w:rPr>
      </w:pPr>
      <w:r>
        <w:rPr>
          <w:rFonts w:cstheme="minorHAnsi"/>
        </w:rPr>
        <w:t xml:space="preserve">Grootverbruik volume komt neer op circa </w:t>
      </w:r>
      <w:r w:rsidR="002E4173">
        <w:rPr>
          <w:rFonts w:cstheme="minorHAnsi"/>
        </w:rPr>
        <w:t>9.700</w:t>
      </w:r>
      <w:r>
        <w:rPr>
          <w:rFonts w:cstheme="minorHAnsi"/>
        </w:rPr>
        <w:t xml:space="preserve"> MWh</w:t>
      </w:r>
      <w:r w:rsidR="002E4173">
        <w:rPr>
          <w:rFonts w:cstheme="minorHAnsi"/>
        </w:rPr>
        <w:t xml:space="preserve"> en 320.000 m3</w:t>
      </w:r>
      <w:r>
        <w:rPr>
          <w:rFonts w:cstheme="minorHAnsi"/>
        </w:rPr>
        <w:t>.</w:t>
      </w:r>
    </w:p>
    <w:p w14:paraId="7ADB466C" w14:textId="1D95C28B" w:rsidR="00654747" w:rsidRPr="00654747" w:rsidRDefault="00654747" w:rsidP="00C32037">
      <w:pPr>
        <w:pStyle w:val="Lijstalinea"/>
        <w:numPr>
          <w:ilvl w:val="0"/>
          <w:numId w:val="8"/>
        </w:numPr>
        <w:spacing w:after="0" w:line="240" w:lineRule="auto"/>
        <w:rPr>
          <w:rFonts w:cstheme="minorHAnsi"/>
        </w:rPr>
      </w:pPr>
      <w:r>
        <w:rPr>
          <w:rFonts w:cstheme="minorHAnsi"/>
        </w:rPr>
        <w:t xml:space="preserve">Kleinverbruik volume komt neer op circa </w:t>
      </w:r>
      <w:r w:rsidR="002E4173">
        <w:rPr>
          <w:rFonts w:cstheme="minorHAnsi"/>
        </w:rPr>
        <w:t xml:space="preserve">2.400 </w:t>
      </w:r>
      <w:r>
        <w:rPr>
          <w:rFonts w:cstheme="minorHAnsi"/>
        </w:rPr>
        <w:t>MWh</w:t>
      </w:r>
      <w:r w:rsidR="002E4173">
        <w:rPr>
          <w:rFonts w:cstheme="minorHAnsi"/>
        </w:rPr>
        <w:t xml:space="preserve"> en 435.000 m3</w:t>
      </w:r>
      <w:r>
        <w:rPr>
          <w:rFonts w:cstheme="minorHAnsi"/>
        </w:rPr>
        <w:t>.</w:t>
      </w:r>
    </w:p>
    <w:p w14:paraId="141EAB2A" w14:textId="7C1142AF" w:rsidR="007B4CFF" w:rsidRDefault="007B4CFF" w:rsidP="00C32037">
      <w:pPr>
        <w:spacing w:after="0" w:line="240" w:lineRule="auto"/>
      </w:pPr>
      <w:r>
        <w:rPr>
          <w:rFonts w:cstheme="minorHAnsi"/>
        </w:rPr>
        <w:t xml:space="preserve">Een overzicht van de afgenomen hoeveelheden is </w:t>
      </w:r>
      <w:r w:rsidR="00654747">
        <w:rPr>
          <w:rFonts w:cstheme="minorHAnsi"/>
        </w:rPr>
        <w:t xml:space="preserve">tevens </w:t>
      </w:r>
      <w:r>
        <w:rPr>
          <w:rFonts w:cstheme="minorHAnsi"/>
        </w:rPr>
        <w:t xml:space="preserve">te lezen in </w:t>
      </w:r>
      <w:r w:rsidR="00AB2FB0">
        <w:rPr>
          <w:rFonts w:cstheme="minorHAnsi"/>
          <w:i/>
        </w:rPr>
        <w:t>B</w:t>
      </w:r>
      <w:r w:rsidR="00725B68" w:rsidRPr="00AB2FB0">
        <w:rPr>
          <w:i/>
        </w:rPr>
        <w:t xml:space="preserve">ijlage </w:t>
      </w:r>
      <w:r w:rsidR="00EA2D72">
        <w:rPr>
          <w:i/>
        </w:rPr>
        <w:t>5: Overzicht Aansluitingen en v</w:t>
      </w:r>
      <w:r w:rsidR="00725B68" w:rsidRPr="00AA1A0C">
        <w:rPr>
          <w:i/>
        </w:rPr>
        <w:t>erbruiken</w:t>
      </w:r>
      <w:r w:rsidR="00725B68">
        <w:t xml:space="preserve">. </w:t>
      </w:r>
    </w:p>
    <w:p w14:paraId="002FB3A4" w14:textId="77777777" w:rsidR="00091953" w:rsidRDefault="00091953" w:rsidP="00C32037">
      <w:pPr>
        <w:spacing w:after="0" w:line="240" w:lineRule="auto"/>
      </w:pPr>
    </w:p>
    <w:p w14:paraId="722455C2" w14:textId="1D8AD5C6" w:rsidR="00725B68" w:rsidRDefault="00654747" w:rsidP="00C32037">
      <w:pPr>
        <w:spacing w:after="0" w:line="240" w:lineRule="auto"/>
      </w:pPr>
      <w:r>
        <w:lastRenderedPageBreak/>
        <w:t xml:space="preserve">De </w:t>
      </w:r>
      <w:r w:rsidR="002953A4">
        <w:t>Aanbestedende dienst</w:t>
      </w:r>
      <w:r>
        <w:t xml:space="preserve"> verwacht door besparende maatregelen en realisatie van de </w:t>
      </w:r>
      <w:r w:rsidR="00091953">
        <w:t>bovenstaande omschreven</w:t>
      </w:r>
      <w:r w:rsidR="00725B68">
        <w:t xml:space="preserve"> </w:t>
      </w:r>
      <w:r w:rsidR="00141140">
        <w:t>visie</w:t>
      </w:r>
      <w:r w:rsidR="00725B68">
        <w:t xml:space="preserve"> </w:t>
      </w:r>
      <w:r w:rsidR="00091953">
        <w:t>en ambities</w:t>
      </w:r>
      <w:r>
        <w:t xml:space="preserve"> het totale volume de komende jaren te verlagen. Met andere woorden de afgenomen hoeveelheden kunnen tijdens de contractperiode afnemen. </w:t>
      </w:r>
    </w:p>
    <w:p w14:paraId="76FAF579" w14:textId="76935E4D" w:rsidR="00725B68" w:rsidRDefault="00725B68" w:rsidP="00C32037">
      <w:pPr>
        <w:spacing w:after="0" w:line="240" w:lineRule="auto"/>
      </w:pPr>
    </w:p>
    <w:p w14:paraId="03EAE0DE" w14:textId="49E95A95" w:rsidR="007B4CFF" w:rsidRDefault="008D3DE8" w:rsidP="00C32037">
      <w:pPr>
        <w:pStyle w:val="Kop3"/>
        <w:spacing w:before="0" w:line="240" w:lineRule="auto"/>
      </w:pPr>
      <w:bookmarkStart w:id="18" w:name="_Toc74563095"/>
      <w:r>
        <w:t>2.</w:t>
      </w:r>
      <w:r w:rsidR="00A67140">
        <w:t>3</w:t>
      </w:r>
      <w:r>
        <w:t>.3 Maximale afname en/of toename hoeveelheden</w:t>
      </w:r>
      <w:bookmarkEnd w:id="18"/>
    </w:p>
    <w:p w14:paraId="473BA8C4" w14:textId="21DF078D" w:rsidR="00CF3D04" w:rsidRDefault="00C15C0E" w:rsidP="00CF3D04">
      <w:pPr>
        <w:spacing w:after="0" w:line="240" w:lineRule="auto"/>
      </w:pPr>
      <w:r>
        <w:t>Door mogelijke beleidswijzigingen kunnen gevolgen hebben in het huidig aantal aansluitingen. De gestelde mutatiebandbreedte hierin mag variëren tussen 80%-120%. Dit geldt tevens voor het meer- of minderverbruik op het contractvolume.</w:t>
      </w:r>
      <w:r w:rsidR="00CF3D04">
        <w:t xml:space="preserve"> Deze mogelijke minder en/of meer afname op zowel volumebandbreedte contractvolume als op mutatiebandbreedte in aantal aansluitingen (voor zowel elektriciteit en aardgas), is meegenomen in de waardering (of: waardebepaling) van de Opdracht en valt binnen de maximale hoeveelheid van de raamovereenkom</w:t>
      </w:r>
      <w:r w:rsidR="00CF3D04" w:rsidRPr="00F70907">
        <w:t>st. Binnen deze bandbreedte kan er geen verandering zijn betreffende de prijsstelling. Partijen treden met elkaar in overleg als de bandbreedte dreigt te worden overschreden.</w:t>
      </w:r>
    </w:p>
    <w:p w14:paraId="4EC94C2D" w14:textId="77777777" w:rsidR="00CF3D04" w:rsidRDefault="00CF3D04" w:rsidP="00C15C0E">
      <w:pPr>
        <w:spacing w:after="0" w:line="240" w:lineRule="auto"/>
      </w:pPr>
    </w:p>
    <w:p w14:paraId="69E039FB" w14:textId="0A33DC81" w:rsidR="00412F72" w:rsidRDefault="008F5108" w:rsidP="00C32037">
      <w:pPr>
        <w:pStyle w:val="Kop2"/>
        <w:spacing w:before="0" w:line="240" w:lineRule="auto"/>
      </w:pPr>
      <w:bookmarkStart w:id="19" w:name="_Toc74563096"/>
      <w:r>
        <w:t>2.</w:t>
      </w:r>
      <w:r w:rsidR="00A67140">
        <w:t>4</w:t>
      </w:r>
      <w:r w:rsidR="00412F72">
        <w:t xml:space="preserve"> Looptijd Overeenkomst</w:t>
      </w:r>
      <w:r w:rsidR="00A67140">
        <w:t xml:space="preserve"> Opdracht</w:t>
      </w:r>
      <w:bookmarkEnd w:id="19"/>
    </w:p>
    <w:p w14:paraId="0E4A8A86" w14:textId="1EA3EBE6" w:rsidR="00412F72" w:rsidRDefault="00D759BD" w:rsidP="00C32037">
      <w:pPr>
        <w:spacing w:after="0" w:line="240" w:lineRule="auto"/>
      </w:pPr>
      <w:r>
        <w:t xml:space="preserve">De Overeenkomst wordt aangegaan </w:t>
      </w:r>
      <w:r w:rsidRPr="001422C4">
        <w:t xml:space="preserve">voor </w:t>
      </w:r>
      <w:r w:rsidRPr="00F8675A">
        <w:t>4</w:t>
      </w:r>
      <w:r w:rsidR="009914AD" w:rsidRPr="00F8675A">
        <w:t>8</w:t>
      </w:r>
      <w:r w:rsidRPr="001422C4">
        <w:t xml:space="preserve"> maanden</w:t>
      </w:r>
      <w:r>
        <w:t xml:space="preserve"> </w:t>
      </w:r>
      <w:r w:rsidR="009914AD">
        <w:t xml:space="preserve">zonder een </w:t>
      </w:r>
      <w:r>
        <w:t>optie tot</w:t>
      </w:r>
      <w:r w:rsidR="00C12A34">
        <w:t xml:space="preserve"> verlenging. </w:t>
      </w:r>
      <w:r w:rsidR="00D11E70">
        <w:t xml:space="preserve">De </w:t>
      </w:r>
      <w:r w:rsidR="002953A4">
        <w:t>Aanbestedende dienst</w:t>
      </w:r>
      <w:r w:rsidR="00D11E70">
        <w:t xml:space="preserve"> is voornemens om de</w:t>
      </w:r>
      <w:r>
        <w:t xml:space="preserve"> overeenkomst per </w:t>
      </w:r>
      <w:r w:rsidR="00CF5CDE">
        <w:t>01-01-2022</w:t>
      </w:r>
      <w:r w:rsidR="00167644">
        <w:t xml:space="preserve"> in te laten gaan voor de levering van duurzame energie voor de drie gemeentelijke organisaties.</w:t>
      </w:r>
    </w:p>
    <w:p w14:paraId="798FE7D3" w14:textId="6D5A78A9" w:rsidR="0040594A" w:rsidRDefault="0040594A" w:rsidP="00C32037">
      <w:pPr>
        <w:spacing w:after="0" w:line="240" w:lineRule="auto"/>
      </w:pPr>
    </w:p>
    <w:p w14:paraId="42D3EC6C" w14:textId="670D92F8" w:rsidR="00A24D26" w:rsidRDefault="009665B3" w:rsidP="00C32037">
      <w:pPr>
        <w:pStyle w:val="Kop2"/>
        <w:spacing w:before="0" w:line="240" w:lineRule="auto"/>
      </w:pPr>
      <w:bookmarkStart w:id="20" w:name="_Toc74563097"/>
      <w:r>
        <w:t>2.</w:t>
      </w:r>
      <w:r w:rsidR="00A67140">
        <w:t>5</w:t>
      </w:r>
      <w:r>
        <w:t xml:space="preserve"> Contractuele</w:t>
      </w:r>
      <w:r w:rsidR="006B4720">
        <w:t xml:space="preserve"> </w:t>
      </w:r>
      <w:r>
        <w:t>voorwaarden</w:t>
      </w:r>
      <w:r w:rsidR="00A67140">
        <w:t xml:space="preserve"> Opdracht</w:t>
      </w:r>
      <w:bookmarkEnd w:id="20"/>
    </w:p>
    <w:p w14:paraId="55694CC5" w14:textId="5590E9BF" w:rsidR="00A24D26" w:rsidRDefault="008A4209" w:rsidP="00C32037">
      <w:pPr>
        <w:spacing w:after="0" w:line="240" w:lineRule="auto"/>
      </w:pPr>
      <w:r w:rsidRPr="008A4209">
        <w:t>De Opdracht zal wor</w:t>
      </w:r>
      <w:r>
        <w:t>den uitgevoerd op basis van de raam</w:t>
      </w:r>
      <w:r w:rsidRPr="008A4209">
        <w:t>overeenkomst (</w:t>
      </w:r>
      <w:r w:rsidR="00AB2FB0" w:rsidRPr="00003F1D">
        <w:rPr>
          <w:i/>
        </w:rPr>
        <w:t xml:space="preserve">Bijlage </w:t>
      </w:r>
      <w:r w:rsidR="00003F1D" w:rsidRPr="00003F1D">
        <w:rPr>
          <w:i/>
        </w:rPr>
        <w:t>6</w:t>
      </w:r>
      <w:r w:rsidR="00003F1D">
        <w:rPr>
          <w:i/>
        </w:rPr>
        <w:t>: concept raamovereenkomst</w:t>
      </w:r>
      <w:r w:rsidRPr="00003F1D">
        <w:t>).</w:t>
      </w:r>
      <w:r>
        <w:t xml:space="preserve"> </w:t>
      </w:r>
      <w:r w:rsidRPr="008A4209">
        <w:t>Eveneens zijn de Algemene inkoopvoorwaarden van de</w:t>
      </w:r>
      <w:r w:rsidR="006E4DFA">
        <w:t xml:space="preserve"> GR</w:t>
      </w:r>
      <w:r w:rsidRPr="008A4209">
        <w:t xml:space="preserve"> BAR-organisatie van toepassing (</w:t>
      </w:r>
      <w:r w:rsidR="00AB2FB0" w:rsidRPr="00003F1D">
        <w:rPr>
          <w:i/>
        </w:rPr>
        <w:t xml:space="preserve">Bijlage </w:t>
      </w:r>
      <w:r w:rsidR="00003F1D" w:rsidRPr="00003F1D">
        <w:rPr>
          <w:i/>
        </w:rPr>
        <w:t>2</w:t>
      </w:r>
      <w:r>
        <w:t xml:space="preserve">). </w:t>
      </w:r>
      <w:r w:rsidRPr="008A4209">
        <w:t xml:space="preserve">Met het inschrijven op deze aanbesteding verklaart u akkoord te gaan met de bepalingen en inhoud van </w:t>
      </w:r>
      <w:r>
        <w:t>de raam</w:t>
      </w:r>
      <w:r w:rsidRPr="008A4209">
        <w:t>overeenkomst en deze aanbestedingsleidraad alsmede de Algemene inkoopvoorwaarden</w:t>
      </w:r>
      <w:r w:rsidR="006E4DFA">
        <w:t xml:space="preserve"> GR</w:t>
      </w:r>
      <w:r w:rsidRPr="008A4209">
        <w:t xml:space="preserve"> BAR-organisatie</w:t>
      </w:r>
      <w:r w:rsidR="0035022E">
        <w:t xml:space="preserve"> (zie tevens </w:t>
      </w:r>
      <w:r w:rsidR="0035022E" w:rsidRPr="0035022E">
        <w:rPr>
          <w:i/>
        </w:rPr>
        <w:t>paragraaf 3.4</w:t>
      </w:r>
      <w:r w:rsidR="0035022E">
        <w:t>)</w:t>
      </w:r>
      <w:r w:rsidRPr="008A4209">
        <w:t xml:space="preserve"> en gestanddoening (</w:t>
      </w:r>
      <w:r w:rsidR="006B4720">
        <w:t xml:space="preserve">zie tevens </w:t>
      </w:r>
      <w:r w:rsidRPr="0035022E">
        <w:rPr>
          <w:i/>
        </w:rPr>
        <w:t>paragraaf 4.4</w:t>
      </w:r>
      <w:r w:rsidRPr="0035022E">
        <w:t>).</w:t>
      </w:r>
    </w:p>
    <w:p w14:paraId="5332AB4F" w14:textId="7182D593" w:rsidR="006B4720" w:rsidRDefault="006B4720" w:rsidP="00C32037">
      <w:pPr>
        <w:spacing w:after="0" w:line="240" w:lineRule="auto"/>
      </w:pPr>
    </w:p>
    <w:p w14:paraId="16D72B53" w14:textId="3DBED63D" w:rsidR="00FF7E1D" w:rsidRDefault="006B4720" w:rsidP="00C32037">
      <w:pPr>
        <w:spacing w:after="0" w:line="240" w:lineRule="auto"/>
      </w:pPr>
      <w:r w:rsidRPr="006B4720">
        <w:t xml:space="preserve">Deze </w:t>
      </w:r>
      <w:r>
        <w:t>raam</w:t>
      </w:r>
      <w:r w:rsidRPr="006B4720">
        <w:t>overeenkomst treedt in werking zodra Partijen de Leveringsovereenkomst rechtsgeldig getekend hebben. Leve</w:t>
      </w:r>
      <w:r>
        <w:t xml:space="preserve">ring vangt aan op </w:t>
      </w:r>
      <w:r w:rsidRPr="00CE46CA">
        <w:rPr>
          <w:b/>
        </w:rPr>
        <w:t>1 januari 2022</w:t>
      </w:r>
      <w:r w:rsidR="00E46D7C">
        <w:t xml:space="preserve"> om 00:00 uur CET, </w:t>
      </w:r>
      <w:r w:rsidR="00CE46CA" w:rsidRPr="00CE46CA">
        <w:t xml:space="preserve">mits Partijen vooraf </w:t>
      </w:r>
      <w:r w:rsidR="00CE46CA" w:rsidRPr="00D030F5">
        <w:t>schriftelijk</w:t>
      </w:r>
      <w:r w:rsidR="00482013">
        <w:t xml:space="preserve"> overeenstemming hebben bereikt omtrent de Opdracht.</w:t>
      </w:r>
    </w:p>
    <w:p w14:paraId="16464C06" w14:textId="77777777" w:rsidR="00FF7E1D" w:rsidRDefault="00FF7E1D" w:rsidP="00C32037">
      <w:pPr>
        <w:spacing w:after="0" w:line="240" w:lineRule="auto"/>
      </w:pPr>
    </w:p>
    <w:p w14:paraId="43485EB7" w14:textId="55E84CFB" w:rsidR="006B4720" w:rsidRDefault="00E46D7C" w:rsidP="00C32037">
      <w:pPr>
        <w:spacing w:after="0" w:line="240" w:lineRule="auto"/>
      </w:pPr>
      <w:r>
        <w:t>D</w:t>
      </w:r>
      <w:r w:rsidR="006B4720" w:rsidRPr="006B4720">
        <w:t xml:space="preserve">e </w:t>
      </w:r>
      <w:r w:rsidR="006B4720">
        <w:t>raam</w:t>
      </w:r>
      <w:r w:rsidR="006B4720" w:rsidRPr="006B4720">
        <w:t xml:space="preserve">overeenkomst </w:t>
      </w:r>
      <w:r>
        <w:t xml:space="preserve">eindigt </w:t>
      </w:r>
      <w:r w:rsidR="006B4720" w:rsidRPr="006B4720">
        <w:t xml:space="preserve">van rechtswege </w:t>
      </w:r>
      <w:r w:rsidR="00CE46CA">
        <w:t xml:space="preserve">op </w:t>
      </w:r>
      <w:r w:rsidR="00CE46CA" w:rsidRPr="00CE46CA">
        <w:rPr>
          <w:b/>
        </w:rPr>
        <w:t>31 december 2025</w:t>
      </w:r>
      <w:r w:rsidR="00CE46CA">
        <w:t xml:space="preserve"> om 24.00 uur CET </w:t>
      </w:r>
      <w:r w:rsidR="006B4720" w:rsidRPr="006B4720">
        <w:t>zonder dat op</w:t>
      </w:r>
      <w:r w:rsidR="006B4720">
        <w:t>zegging vereist is. De</w:t>
      </w:r>
      <w:r w:rsidR="00CE46CA">
        <w:t>ze</w:t>
      </w:r>
      <w:r w:rsidR="006B4720">
        <w:t xml:space="preserve"> raam</w:t>
      </w:r>
      <w:r w:rsidR="006B4720" w:rsidRPr="006B4720">
        <w:t>overeenkomst wordt gesloten door onderteke</w:t>
      </w:r>
      <w:r w:rsidR="006B4720">
        <w:t>ning van de definitieve raam</w:t>
      </w:r>
      <w:r w:rsidR="006B4720" w:rsidRPr="006B4720">
        <w:t>overeenko</w:t>
      </w:r>
      <w:r w:rsidR="006B4720">
        <w:t>mst door Partijen. De (concept) raam</w:t>
      </w:r>
      <w:r w:rsidR="006B4720" w:rsidRPr="006B4720">
        <w:t xml:space="preserve">overeenkomst is opgenomen in </w:t>
      </w:r>
      <w:r w:rsidR="00AB2FB0" w:rsidRPr="00003F1D">
        <w:rPr>
          <w:i/>
        </w:rPr>
        <w:t>Bijlage</w:t>
      </w:r>
      <w:r w:rsidR="00003F1D" w:rsidRPr="00003F1D">
        <w:rPr>
          <w:i/>
        </w:rPr>
        <w:t xml:space="preserve"> 6</w:t>
      </w:r>
      <w:r w:rsidR="00AB2FB0" w:rsidRPr="00003F1D">
        <w:rPr>
          <w:i/>
        </w:rPr>
        <w:t>.</w:t>
      </w:r>
    </w:p>
    <w:p w14:paraId="32CC4918" w14:textId="4507587B" w:rsidR="001422C4" w:rsidRDefault="001422C4" w:rsidP="00C32037">
      <w:pPr>
        <w:spacing w:after="0" w:line="240" w:lineRule="auto"/>
      </w:pPr>
    </w:p>
    <w:p w14:paraId="737B2C31" w14:textId="26282E8A" w:rsidR="00167644" w:rsidRDefault="00167644" w:rsidP="00C32037">
      <w:pPr>
        <w:pStyle w:val="Kop2"/>
        <w:spacing w:before="0" w:line="240" w:lineRule="auto"/>
      </w:pPr>
      <w:bookmarkStart w:id="21" w:name="_Toc74563098"/>
      <w:r>
        <w:t>2.</w:t>
      </w:r>
      <w:r w:rsidR="00A67140">
        <w:t>6</w:t>
      </w:r>
      <w:r>
        <w:t xml:space="preserve"> Social Return on Investment (SROI)</w:t>
      </w:r>
      <w:bookmarkEnd w:id="21"/>
    </w:p>
    <w:p w14:paraId="5502F5E0" w14:textId="6EF6AD2F" w:rsidR="00422879" w:rsidRDefault="00167644" w:rsidP="00C32037">
      <w:pPr>
        <w:autoSpaceDE w:val="0"/>
        <w:autoSpaceDN w:val="0"/>
        <w:adjustRightInd w:val="0"/>
        <w:spacing w:after="0" w:line="240" w:lineRule="auto"/>
        <w:rPr>
          <w:color w:val="000000"/>
        </w:rPr>
      </w:pPr>
      <w:r w:rsidRPr="001E3DC2">
        <w:rPr>
          <w:rFonts w:ascii="Calibri" w:hAnsi="Calibri" w:cs="Calibri"/>
          <w:szCs w:val="20"/>
        </w:rPr>
        <w:t xml:space="preserve">De </w:t>
      </w:r>
      <w:r>
        <w:rPr>
          <w:rFonts w:ascii="Calibri" w:hAnsi="Calibri" w:cs="Calibri"/>
          <w:szCs w:val="20"/>
        </w:rPr>
        <w:t>O</w:t>
      </w:r>
      <w:r w:rsidRPr="001E3DC2">
        <w:rPr>
          <w:rFonts w:ascii="Calibri" w:hAnsi="Calibri" w:cs="Calibri"/>
          <w:szCs w:val="20"/>
        </w:rPr>
        <w:t xml:space="preserve">pdrachtgever hecht grote waarde aan maatschappelijk verantwoord ondernemen. In dit kader is </w:t>
      </w:r>
      <w:r>
        <w:rPr>
          <w:rFonts w:ascii="Calibri" w:hAnsi="Calibri" w:cs="Calibri"/>
          <w:szCs w:val="20"/>
        </w:rPr>
        <w:t>Social R</w:t>
      </w:r>
      <w:r w:rsidRPr="001E3DC2">
        <w:rPr>
          <w:rFonts w:ascii="Calibri" w:hAnsi="Calibri" w:cs="Calibri"/>
          <w:szCs w:val="20"/>
        </w:rPr>
        <w:t>eturn onderdeel van het duurzame inkoopbeleid en wordt door</w:t>
      </w:r>
      <w:r>
        <w:rPr>
          <w:rFonts w:ascii="Calibri" w:hAnsi="Calibri" w:cs="Calibri"/>
          <w:szCs w:val="20"/>
        </w:rPr>
        <w:t>gaans door</w:t>
      </w:r>
      <w:r w:rsidRPr="001E3DC2">
        <w:rPr>
          <w:rFonts w:ascii="Calibri" w:hAnsi="Calibri" w:cs="Calibri"/>
          <w:szCs w:val="20"/>
        </w:rPr>
        <w:t xml:space="preserve"> de </w:t>
      </w:r>
      <w:r>
        <w:rPr>
          <w:rFonts w:ascii="Calibri" w:hAnsi="Calibri" w:cs="Calibri"/>
          <w:szCs w:val="20"/>
        </w:rPr>
        <w:t>O</w:t>
      </w:r>
      <w:r w:rsidRPr="001E3DC2">
        <w:rPr>
          <w:rFonts w:ascii="Calibri" w:hAnsi="Calibri" w:cs="Calibri"/>
          <w:szCs w:val="20"/>
        </w:rPr>
        <w:t xml:space="preserve">pdrachtgever een </w:t>
      </w:r>
      <w:r>
        <w:rPr>
          <w:rFonts w:ascii="Calibri" w:hAnsi="Calibri" w:cs="Calibri"/>
          <w:szCs w:val="20"/>
        </w:rPr>
        <w:t>Social R</w:t>
      </w:r>
      <w:r w:rsidRPr="001E3DC2">
        <w:rPr>
          <w:rFonts w:ascii="Calibri" w:hAnsi="Calibri" w:cs="Calibri"/>
          <w:szCs w:val="20"/>
        </w:rPr>
        <w:t xml:space="preserve">eturn verplichting aan de </w:t>
      </w:r>
      <w:r>
        <w:rPr>
          <w:rFonts w:ascii="Calibri" w:hAnsi="Calibri" w:cs="Calibri"/>
          <w:szCs w:val="20"/>
        </w:rPr>
        <w:t xml:space="preserve">Opdrachtnemer opgelegd </w:t>
      </w:r>
      <w:r w:rsidRPr="001E3DC2">
        <w:rPr>
          <w:rFonts w:ascii="Calibri" w:hAnsi="Calibri" w:cs="Calibri"/>
          <w:szCs w:val="20"/>
        </w:rPr>
        <w:t>met als doel een economisch en soci</w:t>
      </w:r>
      <w:r>
        <w:rPr>
          <w:rFonts w:ascii="Calibri" w:hAnsi="Calibri" w:cs="Calibri"/>
          <w:szCs w:val="20"/>
        </w:rPr>
        <w:t xml:space="preserve">aal gezondere regio te krijgen. </w:t>
      </w:r>
      <w:r w:rsidR="00811C8B">
        <w:rPr>
          <w:rFonts w:ascii="Calibri" w:hAnsi="Calibri" w:cs="Calibri"/>
          <w:szCs w:val="20"/>
        </w:rPr>
        <w:t xml:space="preserve">Op deze aanbesteding is een percentage van 2% van de Opdrachtwaarde SROI van toepassing. </w:t>
      </w:r>
      <w:r w:rsidR="00C37E39">
        <w:rPr>
          <w:rFonts w:ascii="Calibri" w:hAnsi="Calibri" w:cs="Calibri"/>
          <w:szCs w:val="20"/>
        </w:rPr>
        <w:t xml:space="preserve">Zie nadere details hierover </w:t>
      </w:r>
      <w:r w:rsidR="00C37E39" w:rsidRPr="00C37E39">
        <w:rPr>
          <w:rFonts w:ascii="Calibri" w:hAnsi="Calibri" w:cs="Calibri"/>
          <w:i/>
          <w:szCs w:val="20"/>
        </w:rPr>
        <w:t>Bijlage 9</w:t>
      </w:r>
      <w:r w:rsidR="00C37E39">
        <w:rPr>
          <w:rFonts w:ascii="Calibri" w:hAnsi="Calibri" w:cs="Calibri"/>
          <w:szCs w:val="20"/>
        </w:rPr>
        <w:t xml:space="preserve">. </w:t>
      </w:r>
      <w:r w:rsidR="00811C8B">
        <w:rPr>
          <w:rFonts w:ascii="Calibri" w:hAnsi="Calibri" w:cs="Calibri"/>
          <w:szCs w:val="20"/>
        </w:rPr>
        <w:t xml:space="preserve">Mocht u </w:t>
      </w:r>
      <w:r w:rsidR="00422879">
        <w:rPr>
          <w:rFonts w:ascii="Calibri" w:hAnsi="Calibri" w:cs="Calibri"/>
          <w:szCs w:val="20"/>
        </w:rPr>
        <w:t>op voorhand vragen hebben omtrent de invulling van SROI, dan kunt u contact op</w:t>
      </w:r>
      <w:r w:rsidR="00F7656E">
        <w:rPr>
          <w:rFonts w:ascii="Calibri" w:hAnsi="Calibri" w:cs="Calibri"/>
          <w:szCs w:val="20"/>
        </w:rPr>
        <w:t>nem</w:t>
      </w:r>
      <w:r w:rsidR="00DB3B9C">
        <w:rPr>
          <w:rFonts w:ascii="Calibri" w:hAnsi="Calibri" w:cs="Calibri"/>
          <w:szCs w:val="20"/>
        </w:rPr>
        <w:t>en met SROI coördinator</w:t>
      </w:r>
      <w:r w:rsidR="00422879">
        <w:rPr>
          <w:rFonts w:ascii="Calibri" w:hAnsi="Calibri" w:cs="Calibri"/>
          <w:szCs w:val="20"/>
        </w:rPr>
        <w:t xml:space="preserve"> </w:t>
      </w:r>
      <w:r w:rsidR="00DF4937">
        <w:rPr>
          <w:rFonts w:ascii="Calibri" w:hAnsi="Calibri" w:cs="Calibri"/>
          <w:szCs w:val="20"/>
        </w:rPr>
        <w:t xml:space="preserve">welke bereikbaar is via e-mailadres: </w:t>
      </w:r>
      <w:hyperlink r:id="rId11" w:history="1">
        <w:r w:rsidR="00422879" w:rsidRPr="00422879">
          <w:rPr>
            <w:rStyle w:val="Hyperlink"/>
          </w:rPr>
          <w:t>SRoI@bar-organisatie.nl</w:t>
        </w:r>
      </w:hyperlink>
      <w:r w:rsidR="00422879" w:rsidRPr="00422879">
        <w:rPr>
          <w:color w:val="000000"/>
        </w:rPr>
        <w:t>.</w:t>
      </w:r>
    </w:p>
    <w:p w14:paraId="1B5A7C04" w14:textId="4D5D017E" w:rsidR="00D030F5" w:rsidRDefault="00D030F5">
      <w:pPr>
        <w:rPr>
          <w:color w:val="000000"/>
        </w:rPr>
      </w:pPr>
      <w:r>
        <w:rPr>
          <w:color w:val="000000"/>
        </w:rPr>
        <w:br w:type="page"/>
      </w:r>
    </w:p>
    <w:p w14:paraId="040F28BA" w14:textId="77777777" w:rsidR="00D030F5" w:rsidRPr="00422879" w:rsidRDefault="00D030F5" w:rsidP="00C32037">
      <w:pPr>
        <w:autoSpaceDE w:val="0"/>
        <w:autoSpaceDN w:val="0"/>
        <w:adjustRightInd w:val="0"/>
        <w:spacing w:after="0" w:line="240" w:lineRule="auto"/>
        <w:rPr>
          <w:rFonts w:ascii="Calibri" w:hAnsi="Calibri" w:cs="Calibri"/>
        </w:rPr>
      </w:pPr>
    </w:p>
    <w:p w14:paraId="3A58F7FD" w14:textId="02CF2426" w:rsidR="00A24D26" w:rsidRDefault="00A24D26" w:rsidP="00C32037">
      <w:pPr>
        <w:pStyle w:val="Kop1"/>
        <w:numPr>
          <w:ilvl w:val="0"/>
          <w:numId w:val="3"/>
        </w:numPr>
        <w:spacing w:before="0" w:line="240" w:lineRule="auto"/>
      </w:pPr>
      <w:bookmarkStart w:id="22" w:name="_Toc74563099"/>
      <w:r>
        <w:t>Procedure</w:t>
      </w:r>
      <w:bookmarkEnd w:id="22"/>
      <w:r>
        <w:t xml:space="preserve"> </w:t>
      </w:r>
    </w:p>
    <w:p w14:paraId="6F909E50" w14:textId="3A16A529" w:rsidR="00A24D26" w:rsidRDefault="0040176F" w:rsidP="00C32037">
      <w:pPr>
        <w:spacing w:after="0" w:line="240" w:lineRule="auto"/>
        <w:rPr>
          <w:rFonts w:cstheme="minorHAnsi"/>
        </w:rPr>
      </w:pPr>
      <w:r>
        <w:rPr>
          <w:rFonts w:cstheme="minorHAnsi"/>
        </w:rPr>
        <w:t>In dit hoofdstuk wordt de gehanteerde procedure en planning omschreven. Het betreft een Europese Openbare procedure op basis van de economisch meest voordelige inschrijv</w:t>
      </w:r>
      <w:r w:rsidR="00DB3B9C">
        <w:rPr>
          <w:rFonts w:cstheme="minorHAnsi"/>
        </w:rPr>
        <w:t>ing (EMVI) op basis van de Laagste Prijs</w:t>
      </w:r>
      <w:r>
        <w:rPr>
          <w:rFonts w:cstheme="minorHAnsi"/>
        </w:rPr>
        <w:t>.</w:t>
      </w:r>
    </w:p>
    <w:p w14:paraId="43BA189D" w14:textId="77777777" w:rsidR="00D030F5" w:rsidRDefault="00D030F5" w:rsidP="00C32037">
      <w:pPr>
        <w:spacing w:after="0" w:line="240" w:lineRule="auto"/>
      </w:pPr>
    </w:p>
    <w:p w14:paraId="7A7F3053" w14:textId="54A47207" w:rsidR="00A24D26" w:rsidRDefault="00B65B81" w:rsidP="00C32037">
      <w:pPr>
        <w:pStyle w:val="Kop2"/>
        <w:spacing w:before="0" w:line="240" w:lineRule="auto"/>
      </w:pPr>
      <w:bookmarkStart w:id="23" w:name="_Toc74563100"/>
      <w:r>
        <w:t>3</w:t>
      </w:r>
      <w:r w:rsidR="00A24D26">
        <w:t>.1 Planning</w:t>
      </w:r>
      <w:r w:rsidR="008C7AAA">
        <w:t xml:space="preserve"> aanbesteding</w:t>
      </w:r>
      <w:bookmarkEnd w:id="23"/>
    </w:p>
    <w:p w14:paraId="5CA41D2E" w14:textId="5BC4773B" w:rsidR="0078772A" w:rsidRDefault="0078772A" w:rsidP="00C32037">
      <w:pPr>
        <w:spacing w:after="0" w:line="240" w:lineRule="auto"/>
        <w:rPr>
          <w:rFonts w:eastAsia="Times New Roman" w:cstheme="minorHAnsi"/>
          <w:lang w:eastAsia="bg-BG"/>
        </w:rPr>
      </w:pPr>
      <w:r>
        <w:rPr>
          <w:rFonts w:ascii="Calibri" w:hAnsi="Calibri" w:cs="Arial"/>
        </w:rPr>
        <w:t>De a</w:t>
      </w:r>
      <w:r w:rsidRPr="00325AD7">
        <w:rPr>
          <w:rFonts w:ascii="Calibri" w:hAnsi="Calibri" w:cs="Arial"/>
        </w:rPr>
        <w:t xml:space="preserve">anbesteding verloopt in beginsel volgens onderstaande planning. </w:t>
      </w:r>
      <w:r w:rsidRPr="00325AD7">
        <w:t xml:space="preserve">Deze planning is slechts indicatief, er kunnen door </w:t>
      </w:r>
      <w:r>
        <w:t>Inschrijver</w:t>
      </w:r>
      <w:r w:rsidRPr="00325AD7">
        <w:t>s geen r</w:t>
      </w:r>
      <w:r>
        <w:t xml:space="preserve">echten aan worden ontleend. De </w:t>
      </w:r>
      <w:r w:rsidR="002953A4">
        <w:t>Aanbestedende dienst</w:t>
      </w:r>
      <w:r w:rsidRPr="00325AD7">
        <w:t xml:space="preserve"> kan de planning eenzijdig wijzigen. De</w:t>
      </w:r>
      <w:r w:rsidR="008C7AAA">
        <w:t xml:space="preserve"> Inschrijvers zullen door de </w:t>
      </w:r>
      <w:r w:rsidR="002953A4">
        <w:t>Aanbestedende dienst</w:t>
      </w:r>
      <w:r w:rsidRPr="00325AD7">
        <w:t xml:space="preserve"> zo spoedig mogelijk </w:t>
      </w:r>
      <w:r>
        <w:t xml:space="preserve">via TenderNed </w:t>
      </w:r>
      <w:r w:rsidRPr="00325AD7">
        <w:t>op de hoogte worden gesteld van eventuele wijzigingen.</w:t>
      </w:r>
      <w:r>
        <w:t xml:space="preserve"> </w:t>
      </w:r>
      <w:r w:rsidRPr="00E45082">
        <w:rPr>
          <w:rFonts w:eastAsia="Times New Roman" w:cstheme="minorHAnsi"/>
          <w:lang w:eastAsia="bg-BG"/>
        </w:rPr>
        <w:t>In geval van tegenstrijdigheid of inconsistentie tussen de vermelde data op TenderNed of de data beschreven in deze leidraad, prevaleert het vermelde op TenderNed.</w:t>
      </w:r>
    </w:p>
    <w:p w14:paraId="1B1F07A0" w14:textId="77777777" w:rsidR="003A516D" w:rsidRPr="00325AD7" w:rsidRDefault="003A516D" w:rsidP="00C32037">
      <w:pPr>
        <w:spacing w:after="0" w:line="240" w:lineRule="auto"/>
        <w:rPr>
          <w:rFonts w:ascii="Calibri" w:hAnsi="Calibri" w:cs="Arial"/>
        </w:rPr>
      </w:pPr>
    </w:p>
    <w:tbl>
      <w:tblPr>
        <w:tblStyle w:val="Gemiddeldearcering1-accent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CB51B2" w:rsidRPr="00A24D26" w14:paraId="585DADED" w14:textId="4291F5D2" w:rsidTr="00CB5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auto"/>
            </w:tcBorders>
          </w:tcPr>
          <w:p w14:paraId="26EF8C1C" w14:textId="77777777" w:rsidR="00CB51B2" w:rsidRPr="00A24D26" w:rsidRDefault="00CB51B2" w:rsidP="00C32037">
            <w:pPr>
              <w:pStyle w:val="BTStandaardTabel"/>
              <w:spacing w:before="0" w:after="0"/>
              <w:jc w:val="both"/>
              <w:rPr>
                <w:rFonts w:ascii="Calibri" w:hAnsi="Calibri" w:cs="Arial"/>
                <w:b w:val="0"/>
                <w:bCs w:val="0"/>
                <w:sz w:val="20"/>
                <w:szCs w:val="20"/>
              </w:rPr>
            </w:pPr>
            <w:r w:rsidRPr="00A24D26">
              <w:rPr>
                <w:rFonts w:ascii="Calibri" w:hAnsi="Calibri" w:cs="Arial"/>
                <w:sz w:val="20"/>
                <w:szCs w:val="20"/>
              </w:rPr>
              <w:t>Procedure onderdeel</w:t>
            </w:r>
          </w:p>
        </w:tc>
        <w:tc>
          <w:tcPr>
            <w:tcW w:w="3119" w:type="dxa"/>
            <w:tcBorders>
              <w:left w:val="single" w:sz="4" w:space="0" w:color="auto"/>
              <w:right w:val="single" w:sz="4" w:space="0" w:color="auto"/>
            </w:tcBorders>
          </w:tcPr>
          <w:p w14:paraId="4EDEE756" w14:textId="664AE99A" w:rsidR="00CB51B2" w:rsidRPr="00A24D26" w:rsidRDefault="00CB51B2" w:rsidP="00C32037">
            <w:pPr>
              <w:pStyle w:val="BTStandaardTabel"/>
              <w:spacing w:before="0" w:after="0"/>
              <w:jc w:val="both"/>
              <w:cnfStyle w:val="100000000000" w:firstRow="1" w:lastRow="0" w:firstColumn="0" w:lastColumn="0" w:oddVBand="0" w:evenVBand="0" w:oddHBand="0" w:evenHBand="0" w:firstRowFirstColumn="0" w:firstRowLastColumn="0" w:lastRowFirstColumn="0" w:lastRowLastColumn="0"/>
              <w:rPr>
                <w:rFonts w:ascii="Calibri" w:hAnsi="Calibri" w:cs="Arial"/>
                <w:b w:val="0"/>
                <w:bCs w:val="0"/>
                <w:sz w:val="20"/>
                <w:szCs w:val="20"/>
              </w:rPr>
            </w:pPr>
            <w:r w:rsidRPr="00A24D26">
              <w:rPr>
                <w:rFonts w:ascii="Calibri" w:hAnsi="Calibri" w:cs="Arial"/>
                <w:sz w:val="20"/>
                <w:szCs w:val="20"/>
              </w:rPr>
              <w:t>Datum</w:t>
            </w:r>
            <w:r>
              <w:rPr>
                <w:rFonts w:ascii="Calibri" w:hAnsi="Calibri" w:cs="Arial"/>
                <w:sz w:val="20"/>
                <w:szCs w:val="20"/>
              </w:rPr>
              <w:t xml:space="preserve"> </w:t>
            </w:r>
          </w:p>
        </w:tc>
      </w:tr>
      <w:tr w:rsidR="00CB51B2" w:rsidRPr="00A24D26" w14:paraId="41E15BD4" w14:textId="5DAA037D" w:rsidTr="00CB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auto"/>
            </w:tcBorders>
          </w:tcPr>
          <w:p w14:paraId="1CE63537" w14:textId="77777777" w:rsidR="00CB51B2" w:rsidRPr="00A24D26" w:rsidRDefault="00CB51B2" w:rsidP="00C32037">
            <w:pPr>
              <w:pStyle w:val="BTStandaardTabel"/>
              <w:spacing w:before="0" w:after="0"/>
              <w:jc w:val="both"/>
              <w:rPr>
                <w:rFonts w:ascii="Calibri" w:hAnsi="Calibri" w:cs="Arial"/>
                <w:b w:val="0"/>
                <w:bCs w:val="0"/>
                <w:sz w:val="20"/>
                <w:szCs w:val="20"/>
              </w:rPr>
            </w:pPr>
            <w:r w:rsidRPr="00A24D26">
              <w:rPr>
                <w:rFonts w:ascii="Calibri" w:hAnsi="Calibri" w:cs="Arial"/>
                <w:sz w:val="20"/>
                <w:szCs w:val="20"/>
              </w:rPr>
              <w:t>Publicatie offerteaanvraag op TenderNed</w:t>
            </w:r>
          </w:p>
        </w:tc>
        <w:tc>
          <w:tcPr>
            <w:tcW w:w="3119" w:type="dxa"/>
            <w:tcBorders>
              <w:left w:val="single" w:sz="4" w:space="0" w:color="auto"/>
              <w:right w:val="single" w:sz="4" w:space="0" w:color="auto"/>
            </w:tcBorders>
          </w:tcPr>
          <w:p w14:paraId="469449D5" w14:textId="28FAEB81" w:rsidR="00CB51B2" w:rsidRPr="00A24D26" w:rsidRDefault="008F3B2C" w:rsidP="00C32037">
            <w:pPr>
              <w:pStyle w:val="BTStandaardTabel"/>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15</w:t>
            </w:r>
            <w:r w:rsidR="00CB51B2">
              <w:rPr>
                <w:rFonts w:ascii="Calibri" w:hAnsi="Calibri" w:cs="Arial"/>
                <w:sz w:val="20"/>
                <w:szCs w:val="20"/>
              </w:rPr>
              <w:t xml:space="preserve"> juni 2021 </w:t>
            </w:r>
          </w:p>
        </w:tc>
      </w:tr>
      <w:tr w:rsidR="00CB51B2" w:rsidRPr="00A24D26" w14:paraId="74C50E57" w14:textId="74ED3C0D" w:rsidTr="00CB5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auto"/>
            </w:tcBorders>
          </w:tcPr>
          <w:p w14:paraId="7D8C999F" w14:textId="5C1B460F" w:rsidR="00CB51B2" w:rsidRPr="00A24D26" w:rsidRDefault="00CB51B2" w:rsidP="00C32037">
            <w:pPr>
              <w:pStyle w:val="BTStandaardTabel"/>
              <w:spacing w:before="0" w:after="0"/>
              <w:jc w:val="both"/>
              <w:rPr>
                <w:rFonts w:ascii="Calibri" w:hAnsi="Calibri" w:cs="Arial"/>
                <w:b w:val="0"/>
                <w:bCs w:val="0"/>
                <w:sz w:val="20"/>
                <w:szCs w:val="20"/>
              </w:rPr>
            </w:pPr>
            <w:r w:rsidRPr="00A24D26">
              <w:rPr>
                <w:rFonts w:ascii="Calibri" w:hAnsi="Calibri" w:cs="Arial"/>
                <w:sz w:val="20"/>
                <w:szCs w:val="20"/>
              </w:rPr>
              <w:t>Uiterste d</w:t>
            </w:r>
            <w:r>
              <w:rPr>
                <w:rFonts w:ascii="Calibri" w:hAnsi="Calibri" w:cs="Arial"/>
                <w:sz w:val="20"/>
                <w:szCs w:val="20"/>
              </w:rPr>
              <w:t xml:space="preserve">atum stellen van vragen voor de </w:t>
            </w:r>
            <w:r w:rsidRPr="00A24D26">
              <w:rPr>
                <w:rFonts w:ascii="Calibri" w:hAnsi="Calibri" w:cs="Arial"/>
                <w:sz w:val="20"/>
                <w:szCs w:val="20"/>
              </w:rPr>
              <w:t>Nota van Inlichtingen</w:t>
            </w:r>
            <w:r>
              <w:rPr>
                <w:rFonts w:ascii="Calibri" w:hAnsi="Calibri" w:cs="Arial"/>
                <w:sz w:val="20"/>
                <w:szCs w:val="20"/>
              </w:rPr>
              <w:t xml:space="preserve"> via TenderNed</w:t>
            </w:r>
          </w:p>
        </w:tc>
        <w:tc>
          <w:tcPr>
            <w:tcW w:w="3119" w:type="dxa"/>
            <w:tcBorders>
              <w:left w:val="single" w:sz="4" w:space="0" w:color="auto"/>
              <w:right w:val="single" w:sz="4" w:space="0" w:color="auto"/>
            </w:tcBorders>
          </w:tcPr>
          <w:p w14:paraId="15EE5F27" w14:textId="2FFF1AC5" w:rsidR="00CB51B2" w:rsidRPr="00A24D26" w:rsidRDefault="00CB51B2" w:rsidP="00212915">
            <w:pPr>
              <w:pStyle w:val="BTStandaardTabel"/>
              <w:spacing w:before="0" w:after="0"/>
              <w:jc w:val="both"/>
              <w:cnfStyle w:val="000000010000" w:firstRow="0" w:lastRow="0" w:firstColumn="0" w:lastColumn="0" w:oddVBand="0" w:evenVBand="0" w:oddHBand="0" w:evenHBand="1" w:firstRowFirstColumn="0" w:firstRowLastColumn="0" w:lastRowFirstColumn="0" w:lastRowLastColumn="0"/>
              <w:rPr>
                <w:rFonts w:ascii="Calibri" w:hAnsi="Calibri" w:cs="Arial"/>
                <w:sz w:val="20"/>
                <w:szCs w:val="20"/>
              </w:rPr>
            </w:pPr>
            <w:r>
              <w:rPr>
                <w:rFonts w:ascii="Calibri" w:hAnsi="Calibri" w:cs="Arial"/>
                <w:sz w:val="20"/>
                <w:szCs w:val="20"/>
              </w:rPr>
              <w:t xml:space="preserve">15 juli 2021 </w:t>
            </w:r>
            <w:r w:rsidRPr="00A24D26">
              <w:rPr>
                <w:rFonts w:ascii="Calibri" w:hAnsi="Calibri" w:cs="Arial"/>
                <w:sz w:val="20"/>
                <w:szCs w:val="20"/>
              </w:rPr>
              <w:t xml:space="preserve">tot 12.00 uur </w:t>
            </w:r>
          </w:p>
        </w:tc>
      </w:tr>
      <w:tr w:rsidR="00CB51B2" w:rsidRPr="00A24D26" w14:paraId="524AEBC1" w14:textId="5F5998FF" w:rsidTr="00CB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right w:val="single" w:sz="4" w:space="0" w:color="auto"/>
            </w:tcBorders>
          </w:tcPr>
          <w:p w14:paraId="46C42221" w14:textId="1AD2D917" w:rsidR="00CB51B2" w:rsidRPr="00A24D26" w:rsidRDefault="00CB51B2" w:rsidP="00C32037">
            <w:pPr>
              <w:pStyle w:val="BTStandaardTabel"/>
              <w:spacing w:before="0" w:after="0"/>
              <w:jc w:val="both"/>
              <w:rPr>
                <w:rFonts w:ascii="Calibri" w:hAnsi="Calibri" w:cs="Arial"/>
                <w:b w:val="0"/>
                <w:bCs w:val="0"/>
                <w:sz w:val="20"/>
                <w:szCs w:val="20"/>
              </w:rPr>
            </w:pPr>
            <w:r>
              <w:rPr>
                <w:rFonts w:ascii="Calibri" w:hAnsi="Calibri" w:cs="Arial"/>
                <w:sz w:val="20"/>
                <w:szCs w:val="20"/>
              </w:rPr>
              <w:t xml:space="preserve">Publiceren </w:t>
            </w:r>
            <w:r w:rsidRPr="00A24D26">
              <w:rPr>
                <w:rFonts w:ascii="Calibri" w:hAnsi="Calibri" w:cs="Arial"/>
                <w:sz w:val="20"/>
                <w:szCs w:val="20"/>
              </w:rPr>
              <w:t>Nota van Inlichtingen</w:t>
            </w:r>
            <w:r>
              <w:rPr>
                <w:rFonts w:ascii="Calibri" w:hAnsi="Calibri" w:cs="Arial"/>
                <w:sz w:val="20"/>
                <w:szCs w:val="20"/>
              </w:rPr>
              <w:t xml:space="preserve"> via TenderNed</w:t>
            </w:r>
          </w:p>
        </w:tc>
        <w:tc>
          <w:tcPr>
            <w:tcW w:w="3119" w:type="dxa"/>
            <w:tcBorders>
              <w:left w:val="single" w:sz="4" w:space="0" w:color="auto"/>
              <w:bottom w:val="single" w:sz="4" w:space="0" w:color="auto"/>
              <w:right w:val="single" w:sz="4" w:space="0" w:color="auto"/>
            </w:tcBorders>
          </w:tcPr>
          <w:p w14:paraId="6D5E3602" w14:textId="17206D30" w:rsidR="00CB51B2" w:rsidRPr="00A24D26" w:rsidRDefault="00CB51B2" w:rsidP="00B16CB8">
            <w:pPr>
              <w:pStyle w:val="BTStandaardTabel"/>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 xml:space="preserve">28 juli 2021 tot 23:59 uur </w:t>
            </w:r>
          </w:p>
        </w:tc>
      </w:tr>
      <w:tr w:rsidR="00CB51B2" w:rsidRPr="00A24D26" w14:paraId="6845BE8A" w14:textId="1B097D7B" w:rsidTr="00CB5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auto"/>
            </w:tcBorders>
          </w:tcPr>
          <w:p w14:paraId="6CB70447" w14:textId="35827EC0" w:rsidR="00CB51B2" w:rsidRPr="00A24D26" w:rsidRDefault="00CB51B2" w:rsidP="00296E15">
            <w:pPr>
              <w:pStyle w:val="BTStandaardTabel"/>
              <w:spacing w:before="0" w:after="0"/>
              <w:jc w:val="both"/>
              <w:rPr>
                <w:rFonts w:ascii="Calibri" w:hAnsi="Calibri" w:cs="Arial"/>
                <w:sz w:val="20"/>
                <w:szCs w:val="20"/>
              </w:rPr>
            </w:pPr>
            <w:r w:rsidRPr="00A24D26">
              <w:rPr>
                <w:rFonts w:ascii="Calibri" w:hAnsi="Calibri" w:cs="Arial"/>
                <w:sz w:val="20"/>
                <w:szCs w:val="20"/>
              </w:rPr>
              <w:t xml:space="preserve">Uiterste datum indienen van </w:t>
            </w:r>
            <w:r>
              <w:rPr>
                <w:rFonts w:ascii="Calibri" w:hAnsi="Calibri" w:cs="Arial"/>
                <w:sz w:val="20"/>
                <w:szCs w:val="20"/>
              </w:rPr>
              <w:t>I</w:t>
            </w:r>
            <w:r w:rsidRPr="00A24D26">
              <w:rPr>
                <w:rFonts w:ascii="Calibri" w:hAnsi="Calibri" w:cs="Arial"/>
                <w:sz w:val="20"/>
                <w:szCs w:val="20"/>
              </w:rPr>
              <w:t>nschrijvingen</w:t>
            </w:r>
            <w:r>
              <w:rPr>
                <w:rFonts w:ascii="Calibri" w:hAnsi="Calibri" w:cs="Arial"/>
                <w:sz w:val="20"/>
                <w:szCs w:val="20"/>
              </w:rPr>
              <w:t xml:space="preserve"> via TenderNed</w:t>
            </w:r>
          </w:p>
        </w:tc>
        <w:tc>
          <w:tcPr>
            <w:tcW w:w="3119" w:type="dxa"/>
            <w:tcBorders>
              <w:left w:val="single" w:sz="4" w:space="0" w:color="auto"/>
              <w:right w:val="single" w:sz="4" w:space="0" w:color="auto"/>
            </w:tcBorders>
          </w:tcPr>
          <w:p w14:paraId="442C0843" w14:textId="4CA2FA1B" w:rsidR="00CB51B2" w:rsidRPr="00A24D26" w:rsidRDefault="008F3B2C" w:rsidP="00BF7201">
            <w:pPr>
              <w:pStyle w:val="BTStandaardTabel"/>
              <w:spacing w:before="0" w:after="0"/>
              <w:jc w:val="both"/>
              <w:cnfStyle w:val="000000010000" w:firstRow="0" w:lastRow="0" w:firstColumn="0" w:lastColumn="0" w:oddVBand="0" w:evenVBand="0" w:oddHBand="0" w:evenHBand="1" w:firstRowFirstColumn="0" w:firstRowLastColumn="0" w:lastRowFirstColumn="0" w:lastRowLastColumn="0"/>
              <w:rPr>
                <w:rFonts w:ascii="Calibri" w:hAnsi="Calibri" w:cs="Arial"/>
                <w:sz w:val="20"/>
                <w:szCs w:val="20"/>
              </w:rPr>
            </w:pPr>
            <w:r>
              <w:rPr>
                <w:rFonts w:ascii="Calibri" w:hAnsi="Calibri" w:cs="Arial"/>
                <w:sz w:val="20"/>
                <w:szCs w:val="20"/>
              </w:rPr>
              <w:t xml:space="preserve">19 </w:t>
            </w:r>
            <w:r w:rsidR="00CB51B2">
              <w:rPr>
                <w:rFonts w:ascii="Calibri" w:hAnsi="Calibri" w:cs="Arial"/>
                <w:sz w:val="20"/>
                <w:szCs w:val="20"/>
              </w:rPr>
              <w:t>augustus 2021 tot 23:59 uur</w:t>
            </w:r>
          </w:p>
        </w:tc>
      </w:tr>
      <w:tr w:rsidR="00CB51B2" w:rsidRPr="00A24D26" w14:paraId="00B72399" w14:textId="1754E597" w:rsidTr="00CB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right w:val="single" w:sz="4" w:space="0" w:color="auto"/>
            </w:tcBorders>
          </w:tcPr>
          <w:p w14:paraId="56ABA9EB" w14:textId="342B0BA7" w:rsidR="00CB51B2" w:rsidRPr="00A24D26" w:rsidRDefault="00CB51B2" w:rsidP="00296E15">
            <w:pPr>
              <w:pStyle w:val="BTStandaardTabel"/>
              <w:spacing w:before="0" w:after="0"/>
              <w:jc w:val="both"/>
              <w:rPr>
                <w:rFonts w:ascii="Calibri" w:hAnsi="Calibri" w:cs="Arial"/>
                <w:b w:val="0"/>
                <w:bCs w:val="0"/>
                <w:sz w:val="20"/>
                <w:szCs w:val="20"/>
              </w:rPr>
            </w:pPr>
            <w:r w:rsidRPr="00A24D26">
              <w:rPr>
                <w:rFonts w:ascii="Calibri" w:hAnsi="Calibri" w:cs="Arial"/>
                <w:sz w:val="20"/>
                <w:szCs w:val="20"/>
              </w:rPr>
              <w:t>Bekendmaking voorgenomen gunning en afwijzing</w:t>
            </w:r>
            <w:r>
              <w:rPr>
                <w:rFonts w:ascii="Calibri" w:hAnsi="Calibri" w:cs="Arial"/>
                <w:sz w:val="20"/>
                <w:szCs w:val="20"/>
              </w:rPr>
              <w:t xml:space="preserve"> via TenderNed</w:t>
            </w:r>
          </w:p>
        </w:tc>
        <w:tc>
          <w:tcPr>
            <w:tcW w:w="3119" w:type="dxa"/>
            <w:tcBorders>
              <w:left w:val="single" w:sz="4" w:space="0" w:color="auto"/>
              <w:bottom w:val="single" w:sz="4" w:space="0" w:color="auto"/>
              <w:right w:val="single" w:sz="4" w:space="0" w:color="auto"/>
            </w:tcBorders>
          </w:tcPr>
          <w:p w14:paraId="12A28AE5" w14:textId="62D3BEE3" w:rsidR="00CB51B2" w:rsidRPr="00A24D26" w:rsidRDefault="00CB51B2" w:rsidP="00AC3334">
            <w:pPr>
              <w:pStyle w:val="BTStandaardTabel"/>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13 september 2021</w:t>
            </w:r>
          </w:p>
        </w:tc>
      </w:tr>
      <w:tr w:rsidR="00CB51B2" w:rsidRPr="00A24D26" w14:paraId="6BE59FCD" w14:textId="2DD2DC41" w:rsidTr="00CB5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bottom w:val="single" w:sz="4" w:space="0" w:color="auto"/>
              <w:right w:val="single" w:sz="4" w:space="0" w:color="auto"/>
            </w:tcBorders>
          </w:tcPr>
          <w:p w14:paraId="0B406B54" w14:textId="12F7A156" w:rsidR="00CB51B2" w:rsidRPr="00A24D26" w:rsidRDefault="00CB51B2" w:rsidP="00B557C3">
            <w:pPr>
              <w:pStyle w:val="BTStandaardTabel"/>
              <w:spacing w:before="0" w:after="0"/>
              <w:jc w:val="both"/>
              <w:rPr>
                <w:rFonts w:ascii="Calibri" w:hAnsi="Calibri" w:cs="Arial"/>
                <w:b w:val="0"/>
                <w:bCs w:val="0"/>
                <w:sz w:val="20"/>
                <w:szCs w:val="20"/>
              </w:rPr>
            </w:pPr>
            <w:r w:rsidRPr="00A24D26">
              <w:rPr>
                <w:rFonts w:ascii="Calibri" w:hAnsi="Calibri" w:cs="Arial"/>
                <w:sz w:val="20"/>
                <w:szCs w:val="20"/>
              </w:rPr>
              <w:t>Definitieve gunning</w:t>
            </w:r>
            <w:r>
              <w:rPr>
                <w:rFonts w:ascii="Calibri" w:hAnsi="Calibri" w:cs="Arial"/>
                <w:sz w:val="20"/>
                <w:szCs w:val="20"/>
              </w:rPr>
              <w:t xml:space="preserve"> (opdrachtbrief)</w:t>
            </w:r>
          </w:p>
        </w:tc>
        <w:tc>
          <w:tcPr>
            <w:tcW w:w="3119" w:type="dxa"/>
            <w:tcBorders>
              <w:left w:val="single" w:sz="4" w:space="0" w:color="auto"/>
              <w:right w:val="single" w:sz="4" w:space="0" w:color="auto"/>
            </w:tcBorders>
          </w:tcPr>
          <w:p w14:paraId="41621C54" w14:textId="7CBAC0B1" w:rsidR="00CB51B2" w:rsidRPr="00A24D26" w:rsidRDefault="00CB51B2" w:rsidP="00CB51B2">
            <w:pPr>
              <w:pStyle w:val="BTStandaardTabel"/>
              <w:spacing w:before="0" w:after="0"/>
              <w:jc w:val="both"/>
              <w:cnfStyle w:val="000000010000" w:firstRow="0" w:lastRow="0" w:firstColumn="0" w:lastColumn="0" w:oddVBand="0" w:evenVBand="0" w:oddHBand="0" w:evenHBand="1" w:firstRowFirstColumn="0" w:firstRowLastColumn="0" w:lastRowFirstColumn="0" w:lastRowLastColumn="0"/>
              <w:rPr>
                <w:rFonts w:ascii="Calibri" w:hAnsi="Calibri" w:cs="Arial"/>
                <w:sz w:val="20"/>
                <w:szCs w:val="20"/>
              </w:rPr>
            </w:pPr>
            <w:r>
              <w:rPr>
                <w:rFonts w:ascii="Calibri" w:hAnsi="Calibri" w:cs="Arial"/>
                <w:sz w:val="20"/>
                <w:szCs w:val="20"/>
              </w:rPr>
              <w:t>08 oktober 2021</w:t>
            </w:r>
          </w:p>
        </w:tc>
      </w:tr>
      <w:tr w:rsidR="00CB51B2" w:rsidRPr="00A24D26" w14:paraId="1250A349" w14:textId="13AFD93E" w:rsidTr="00CB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auto"/>
            </w:tcBorders>
          </w:tcPr>
          <w:p w14:paraId="3F08E8CC" w14:textId="35336ABF" w:rsidR="00CB51B2" w:rsidRPr="00A24D26" w:rsidRDefault="00CB51B2" w:rsidP="00B557C3">
            <w:pPr>
              <w:pStyle w:val="BTStandaardTabel"/>
              <w:spacing w:before="0" w:after="0"/>
              <w:jc w:val="both"/>
              <w:rPr>
                <w:rFonts w:ascii="Calibri" w:hAnsi="Calibri" w:cs="Arial"/>
                <w:sz w:val="20"/>
                <w:szCs w:val="20"/>
              </w:rPr>
            </w:pPr>
            <w:r>
              <w:rPr>
                <w:rFonts w:ascii="Calibri" w:hAnsi="Calibri" w:cs="Arial"/>
                <w:sz w:val="20"/>
                <w:szCs w:val="20"/>
              </w:rPr>
              <w:t>Ondertekenen Overeenkomst</w:t>
            </w:r>
          </w:p>
        </w:tc>
        <w:tc>
          <w:tcPr>
            <w:tcW w:w="3119" w:type="dxa"/>
            <w:tcBorders>
              <w:left w:val="single" w:sz="4" w:space="0" w:color="auto"/>
            </w:tcBorders>
          </w:tcPr>
          <w:p w14:paraId="53D7A137" w14:textId="34673F48" w:rsidR="00CB51B2" w:rsidRPr="00A24D26" w:rsidRDefault="00CB51B2" w:rsidP="00CB51B2">
            <w:pPr>
              <w:pStyle w:val="BTStandaardTabel"/>
              <w:spacing w:before="0" w:after="0"/>
              <w:jc w:val="both"/>
              <w:cnfStyle w:val="000000100000" w:firstRow="0" w:lastRow="0" w:firstColumn="0" w:lastColumn="0" w:oddVBand="0" w:evenVBand="0" w:oddHBand="1" w:evenHBand="0" w:firstRowFirstColumn="0" w:firstRowLastColumn="0" w:lastRowFirstColumn="0" w:lastRowLastColumn="0"/>
              <w:rPr>
                <w:rFonts w:ascii="Calibri" w:hAnsi="Calibri" w:cs="Arial"/>
                <w:sz w:val="20"/>
                <w:szCs w:val="20"/>
              </w:rPr>
            </w:pPr>
            <w:r>
              <w:rPr>
                <w:rFonts w:ascii="Calibri" w:hAnsi="Calibri" w:cs="Arial"/>
                <w:sz w:val="20"/>
                <w:szCs w:val="20"/>
              </w:rPr>
              <w:t>15 oktober 2021</w:t>
            </w:r>
          </w:p>
        </w:tc>
      </w:tr>
      <w:tr w:rsidR="00CB51B2" w:rsidRPr="00A24D26" w14:paraId="0E87CAB5" w14:textId="6831F412" w:rsidTr="00CB51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Borders>
              <w:right w:val="single" w:sz="4" w:space="0" w:color="auto"/>
            </w:tcBorders>
          </w:tcPr>
          <w:p w14:paraId="63305AC8" w14:textId="36DEFE44" w:rsidR="00CB51B2" w:rsidRPr="00A24D26" w:rsidRDefault="00CB51B2" w:rsidP="00B557C3">
            <w:pPr>
              <w:pStyle w:val="BTStandaardTabel"/>
              <w:spacing w:before="0" w:after="0"/>
              <w:jc w:val="both"/>
              <w:rPr>
                <w:rFonts w:ascii="Calibri" w:hAnsi="Calibri" w:cs="Arial"/>
                <w:b w:val="0"/>
                <w:bCs w:val="0"/>
                <w:sz w:val="20"/>
                <w:szCs w:val="20"/>
              </w:rPr>
            </w:pPr>
            <w:r w:rsidRPr="00A24D26">
              <w:rPr>
                <w:rFonts w:ascii="Calibri" w:hAnsi="Calibri" w:cs="Arial"/>
                <w:sz w:val="20"/>
                <w:szCs w:val="20"/>
              </w:rPr>
              <w:t xml:space="preserve">Start </w:t>
            </w:r>
            <w:r>
              <w:rPr>
                <w:rFonts w:ascii="Calibri" w:hAnsi="Calibri" w:cs="Arial"/>
                <w:sz w:val="20"/>
                <w:szCs w:val="20"/>
              </w:rPr>
              <w:t>O</w:t>
            </w:r>
            <w:r w:rsidRPr="00A24D26">
              <w:rPr>
                <w:rFonts w:ascii="Calibri" w:hAnsi="Calibri" w:cs="Arial"/>
                <w:sz w:val="20"/>
                <w:szCs w:val="20"/>
              </w:rPr>
              <w:t>vereenkomst</w:t>
            </w:r>
          </w:p>
        </w:tc>
        <w:tc>
          <w:tcPr>
            <w:tcW w:w="3119" w:type="dxa"/>
            <w:tcBorders>
              <w:left w:val="single" w:sz="4" w:space="0" w:color="auto"/>
              <w:bottom w:val="single" w:sz="4" w:space="0" w:color="auto"/>
              <w:right w:val="single" w:sz="4" w:space="0" w:color="auto"/>
            </w:tcBorders>
          </w:tcPr>
          <w:p w14:paraId="5117864B" w14:textId="7F0216E9" w:rsidR="00CB51B2" w:rsidRPr="00A24D26" w:rsidRDefault="00CB51B2" w:rsidP="00B557C3">
            <w:pPr>
              <w:pStyle w:val="BTStandaardTabel"/>
              <w:spacing w:before="0" w:after="0"/>
              <w:jc w:val="both"/>
              <w:cnfStyle w:val="000000010000" w:firstRow="0" w:lastRow="0" w:firstColumn="0" w:lastColumn="0" w:oddVBand="0" w:evenVBand="0" w:oddHBand="0" w:evenHBand="1" w:firstRowFirstColumn="0" w:firstRowLastColumn="0" w:lastRowFirstColumn="0" w:lastRowLastColumn="0"/>
              <w:rPr>
                <w:rFonts w:ascii="Calibri" w:hAnsi="Calibri" w:cs="Arial"/>
                <w:sz w:val="20"/>
                <w:szCs w:val="20"/>
              </w:rPr>
            </w:pPr>
            <w:r>
              <w:rPr>
                <w:rFonts w:ascii="Calibri" w:hAnsi="Calibri" w:cs="Arial"/>
                <w:sz w:val="20"/>
                <w:szCs w:val="20"/>
              </w:rPr>
              <w:t>0</w:t>
            </w:r>
            <w:r w:rsidRPr="00A24D26">
              <w:rPr>
                <w:rFonts w:ascii="Calibri" w:hAnsi="Calibri" w:cs="Arial"/>
                <w:sz w:val="20"/>
                <w:szCs w:val="20"/>
              </w:rPr>
              <w:t xml:space="preserve">1 </w:t>
            </w:r>
            <w:r>
              <w:rPr>
                <w:rFonts w:ascii="Calibri" w:hAnsi="Calibri" w:cs="Arial"/>
                <w:sz w:val="20"/>
                <w:szCs w:val="20"/>
              </w:rPr>
              <w:t>januari 2022</w:t>
            </w:r>
          </w:p>
        </w:tc>
      </w:tr>
    </w:tbl>
    <w:p w14:paraId="4A861116" w14:textId="7E8643C7" w:rsidR="00A24D26" w:rsidRDefault="00A24D26" w:rsidP="00C32037">
      <w:pPr>
        <w:spacing w:after="0" w:line="240" w:lineRule="auto"/>
      </w:pPr>
    </w:p>
    <w:p w14:paraId="2C272CE9" w14:textId="592A291D" w:rsidR="002437E6" w:rsidRDefault="00B65B81" w:rsidP="00C32037">
      <w:pPr>
        <w:pStyle w:val="Kop2"/>
        <w:spacing w:before="0" w:line="240" w:lineRule="auto"/>
      </w:pPr>
      <w:bookmarkStart w:id="24" w:name="_Toc74563101"/>
      <w:r>
        <w:t>3</w:t>
      </w:r>
      <w:r w:rsidR="00BB6026">
        <w:t xml:space="preserve">.2 </w:t>
      </w:r>
      <w:r w:rsidR="002437E6">
        <w:t>Inlichtingen en informatie verstrekken</w:t>
      </w:r>
      <w:bookmarkEnd w:id="24"/>
    </w:p>
    <w:p w14:paraId="0C798048" w14:textId="33BF2F31" w:rsidR="00A24D26" w:rsidRDefault="00B65B81" w:rsidP="00C32037">
      <w:pPr>
        <w:pStyle w:val="Kop3"/>
        <w:spacing w:before="0" w:line="240" w:lineRule="auto"/>
      </w:pPr>
      <w:bookmarkStart w:id="25" w:name="_Toc74563102"/>
      <w:r>
        <w:t>3</w:t>
      </w:r>
      <w:r w:rsidR="002437E6">
        <w:t xml:space="preserve">.2.1 </w:t>
      </w:r>
      <w:r w:rsidR="00385758">
        <w:t>Communicatie</w:t>
      </w:r>
      <w:bookmarkEnd w:id="25"/>
      <w:r w:rsidR="00385758">
        <w:t xml:space="preserve"> </w:t>
      </w:r>
      <w:r w:rsidR="00BB6026">
        <w:t xml:space="preserve"> </w:t>
      </w:r>
    </w:p>
    <w:p w14:paraId="66FCEA11" w14:textId="77777777" w:rsidR="000D002C" w:rsidRDefault="000D002C" w:rsidP="00C32037">
      <w:pPr>
        <w:spacing w:after="0" w:line="240" w:lineRule="auto"/>
      </w:pPr>
      <w:r>
        <w:t>Alle communicatie met betrekking tot deze aanbesteding verloopt via TenderNed gericht aan</w:t>
      </w:r>
    </w:p>
    <w:p w14:paraId="0FAC71C2" w14:textId="77777777" w:rsidR="000D002C" w:rsidRDefault="000D002C" w:rsidP="00C32037">
      <w:pPr>
        <w:spacing w:after="0" w:line="240" w:lineRule="auto"/>
      </w:pPr>
      <w:r>
        <w:t xml:space="preserve">de in </w:t>
      </w:r>
      <w:r w:rsidRPr="00DA5975">
        <w:rPr>
          <w:i/>
        </w:rPr>
        <w:t>paragraaf 1.1.1</w:t>
      </w:r>
      <w:r>
        <w:t xml:space="preserve"> genoemde contactpersoon. Indien communicatie via TenderNed niet (meer) mogelijk is, kan direct contact opgenomen worden met de contactpersoon.</w:t>
      </w:r>
    </w:p>
    <w:p w14:paraId="6594E250" w14:textId="77777777" w:rsidR="000D002C" w:rsidRDefault="000D002C" w:rsidP="00C32037">
      <w:pPr>
        <w:spacing w:after="0" w:line="240" w:lineRule="auto"/>
      </w:pPr>
    </w:p>
    <w:p w14:paraId="1BBAF1CE" w14:textId="5D9A4DCF" w:rsidR="000D002C" w:rsidRDefault="000D002C" w:rsidP="00C32037">
      <w:pPr>
        <w:spacing w:after="0" w:line="240" w:lineRule="auto"/>
      </w:pPr>
      <w:r>
        <w:t>Het is niet toegesta</w:t>
      </w:r>
      <w:r w:rsidR="0040176F">
        <w:t>an andere medewerkers van de BAR-organisatie</w:t>
      </w:r>
      <w:r>
        <w:t xml:space="preserve"> tijdens de procedure</w:t>
      </w:r>
    </w:p>
    <w:p w14:paraId="42F80C31" w14:textId="326796FC" w:rsidR="00BB6026" w:rsidRDefault="000D002C" w:rsidP="00C32037">
      <w:pPr>
        <w:spacing w:after="0" w:line="240" w:lineRule="auto"/>
      </w:pPr>
      <w:r>
        <w:t xml:space="preserve">te benaderen over deze aanbestedingsprocedure. De </w:t>
      </w:r>
      <w:r w:rsidR="002953A4">
        <w:t>Aanbestedende dienst</w:t>
      </w:r>
      <w:r>
        <w:t xml:space="preserve"> heeft het recht gegadigden die contact zoeken met andere medewerkers dan de in </w:t>
      </w:r>
      <w:r w:rsidRPr="003D18BB">
        <w:rPr>
          <w:i/>
        </w:rPr>
        <w:t>paragraaf 1.1.1</w:t>
      </w:r>
      <w:r>
        <w:t xml:space="preserve"> genoemde contactpersoon </w:t>
      </w:r>
      <w:r w:rsidRPr="0037145F">
        <w:rPr>
          <w:u w:val="single"/>
        </w:rPr>
        <w:t>uit te sluiten van deelname</w:t>
      </w:r>
      <w:r>
        <w:t>.</w:t>
      </w:r>
    </w:p>
    <w:p w14:paraId="25B18660" w14:textId="77777777" w:rsidR="000D002C" w:rsidRDefault="000D002C" w:rsidP="00C32037">
      <w:pPr>
        <w:spacing w:after="0" w:line="240" w:lineRule="auto"/>
      </w:pPr>
    </w:p>
    <w:p w14:paraId="3C7BEB83" w14:textId="40A177F3" w:rsidR="002437E6" w:rsidRDefault="00B65B81" w:rsidP="00C32037">
      <w:pPr>
        <w:pStyle w:val="Kop3"/>
        <w:spacing w:before="0" w:line="240" w:lineRule="auto"/>
      </w:pPr>
      <w:bookmarkStart w:id="26" w:name="_Toc74563103"/>
      <w:r>
        <w:t>3</w:t>
      </w:r>
      <w:r w:rsidR="002437E6">
        <w:t>.2.2 Nadere inlichtingen ten behoeve van de Inschrijver</w:t>
      </w:r>
      <w:bookmarkEnd w:id="26"/>
    </w:p>
    <w:p w14:paraId="740144E9" w14:textId="3F0F9C48" w:rsidR="000D002C" w:rsidRDefault="000D002C" w:rsidP="00C32037">
      <w:pPr>
        <w:spacing w:after="0" w:line="240" w:lineRule="auto"/>
      </w:pPr>
      <w:r>
        <w:t xml:space="preserve">Gegadigden worden in de gelegenheid gesteld vragen te stellen via TenderNed tot de in </w:t>
      </w:r>
      <w:r w:rsidRPr="0037145F">
        <w:rPr>
          <w:i/>
        </w:rPr>
        <w:t>paragraaf 3.1</w:t>
      </w:r>
      <w:r>
        <w:t xml:space="preserve"> genoemde dag en tijdstip. </w:t>
      </w:r>
      <w:r w:rsidR="00A63A85">
        <w:t>LET OP:</w:t>
      </w:r>
      <w:r>
        <w:t xml:space="preserve"> u dient één vraag per vakje te stellen. De ingediende vragen en de antwoorden worden geanonimiseerd opgenomen in één of meerdere nota(’s) van inlichtingen. Mededelingen, toezeggingen of afspraken die niet in de nota(’s) van inlichtingen zijn vastgelegd, zijn niet bindend. De nota('s) van inlichtingen worden via TenderNed ter beschikking gesteld.</w:t>
      </w:r>
    </w:p>
    <w:p w14:paraId="6FBD8764" w14:textId="77777777" w:rsidR="000D002C" w:rsidRDefault="000D002C" w:rsidP="00C32037">
      <w:pPr>
        <w:spacing w:after="0" w:line="240" w:lineRule="auto"/>
      </w:pPr>
    </w:p>
    <w:p w14:paraId="6284B102" w14:textId="20DBC700" w:rsidR="002437E6" w:rsidRDefault="000D002C" w:rsidP="00C32037">
      <w:pPr>
        <w:spacing w:after="0" w:line="240" w:lineRule="auto"/>
      </w:pPr>
      <w:r>
        <w:t xml:space="preserve">Vragen die niet tijdig, als bedoeld in de eerste zin van deze paragraaf, worden ingediend zullen in beginsel niet worden beantwoord, tenzij de </w:t>
      </w:r>
      <w:r w:rsidR="0037145F">
        <w:t>Aanbestedende dienst</w:t>
      </w:r>
      <w:r>
        <w:t xml:space="preserve"> meent dat dat voor een ordelijk verloop van de aanbesteding noodzakelijk is. </w:t>
      </w:r>
      <w:r w:rsidR="0037145F">
        <w:t>De Aanbestedende dienst zal vragen die géé</w:t>
      </w:r>
      <w:r>
        <w:t>n verband houden met de aanbesteding niet beantwoorden.</w:t>
      </w:r>
    </w:p>
    <w:p w14:paraId="2A6E0F30" w14:textId="77777777" w:rsidR="00F64323" w:rsidRDefault="00F64323" w:rsidP="00C32037">
      <w:pPr>
        <w:spacing w:after="0" w:line="240" w:lineRule="auto"/>
      </w:pPr>
    </w:p>
    <w:p w14:paraId="61FE57D4" w14:textId="5F0B7BD1" w:rsidR="009C0AF1" w:rsidRDefault="00B65B81" w:rsidP="00C32037">
      <w:pPr>
        <w:pStyle w:val="Kop2"/>
        <w:spacing w:before="0" w:line="240" w:lineRule="auto"/>
      </w:pPr>
      <w:bookmarkStart w:id="27" w:name="_Toc74563104"/>
      <w:r>
        <w:lastRenderedPageBreak/>
        <w:t>3</w:t>
      </w:r>
      <w:r w:rsidR="009C0AF1">
        <w:t>.3 Prijzen</w:t>
      </w:r>
      <w:bookmarkEnd w:id="27"/>
      <w:r w:rsidR="009C0AF1">
        <w:t xml:space="preserve"> </w:t>
      </w:r>
    </w:p>
    <w:p w14:paraId="19BB46E9" w14:textId="0A1ABBA2" w:rsidR="00BB6EF1" w:rsidRDefault="00BB6EF1" w:rsidP="00C32037">
      <w:pPr>
        <w:spacing w:after="0" w:line="240" w:lineRule="auto"/>
      </w:pPr>
      <w:r>
        <w:t>Inschrijver dient prijzen aan te bieden door het Prijzenblad (</w:t>
      </w:r>
      <w:r w:rsidR="00AB2FB0" w:rsidRPr="00F87B55">
        <w:rPr>
          <w:i/>
        </w:rPr>
        <w:t xml:space="preserve">Bijlage </w:t>
      </w:r>
      <w:r w:rsidR="00F87B55" w:rsidRPr="00F87B55">
        <w:rPr>
          <w:i/>
        </w:rPr>
        <w:t>4</w:t>
      </w:r>
      <w:r w:rsidRPr="00F87B55">
        <w:t>)</w:t>
      </w:r>
      <w:r>
        <w:t xml:space="preserve"> volledig en zonder vo</w:t>
      </w:r>
      <w:r w:rsidR="0037145F">
        <w:t>orbehoud in te vullen en bij de I</w:t>
      </w:r>
      <w:r>
        <w:t>nschrijving te voegen. De prijzen dienen in euro’s en exclusief BTW te worden opgegeven</w:t>
      </w:r>
      <w:r w:rsidRPr="00882459">
        <w:t xml:space="preserve">. </w:t>
      </w:r>
      <w:r w:rsidR="00BE4449" w:rsidRPr="0037145F">
        <w:rPr>
          <w:u w:val="single"/>
        </w:rPr>
        <w:t>Indien één of meerdere gegevens niet zijn ingevuld, leidt dit tot uitsluiting</w:t>
      </w:r>
      <w:r w:rsidR="00BE4449">
        <w:t>. Het is tevens niet toegestaan om een negatieve bedragen, - percentages en/of nul (0) bedragen) in te vullen. Ook dit leidt tot uitsluiting van deze Aanbe</w:t>
      </w:r>
      <w:r w:rsidR="004C468D">
        <w:t xml:space="preserve">steding. </w:t>
      </w:r>
      <w:r>
        <w:t xml:space="preserve">De </w:t>
      </w:r>
      <w:r w:rsidR="002953A4">
        <w:t>Aanbestedende dienst</w:t>
      </w:r>
      <w:r>
        <w:t xml:space="preserve"> voert geen prijsonderhandelingen tijdens de aanbesteding of na gunning van de Opdracht ten aanzien van de opgegeven bedragen door de </w:t>
      </w:r>
      <w:r w:rsidRPr="00882459">
        <w:t>Inschrijvers.</w:t>
      </w:r>
    </w:p>
    <w:p w14:paraId="3E9CE2F6" w14:textId="77777777" w:rsidR="000B442F" w:rsidRPr="00882459" w:rsidRDefault="000B442F" w:rsidP="00C32037">
      <w:pPr>
        <w:spacing w:after="0" w:line="240" w:lineRule="auto"/>
      </w:pPr>
    </w:p>
    <w:p w14:paraId="6F1507D6" w14:textId="27F57EE3" w:rsidR="009C0AF1" w:rsidRPr="00882459" w:rsidRDefault="00B65B81" w:rsidP="00C32037">
      <w:pPr>
        <w:pStyle w:val="Kop3"/>
        <w:spacing w:before="0" w:line="240" w:lineRule="auto"/>
      </w:pPr>
      <w:bookmarkStart w:id="28" w:name="_Toc74563105"/>
      <w:r w:rsidRPr="00882459">
        <w:t>3</w:t>
      </w:r>
      <w:r w:rsidR="009C0AF1" w:rsidRPr="00882459">
        <w:t>.</w:t>
      </w:r>
      <w:r w:rsidR="00A87B59" w:rsidRPr="00882459">
        <w:t>3.1</w:t>
      </w:r>
      <w:r w:rsidR="009C0AF1" w:rsidRPr="00882459">
        <w:t xml:space="preserve"> Indexatie</w:t>
      </w:r>
      <w:bookmarkEnd w:id="28"/>
      <w:r w:rsidR="009C0AF1" w:rsidRPr="00882459">
        <w:t xml:space="preserve"> </w:t>
      </w:r>
    </w:p>
    <w:p w14:paraId="683273B1" w14:textId="09B26E4C" w:rsidR="009C0AF1" w:rsidRDefault="009C0AF1" w:rsidP="00C32037">
      <w:pPr>
        <w:spacing w:after="0" w:line="240" w:lineRule="auto"/>
      </w:pPr>
      <w:r w:rsidRPr="00882459">
        <w:t xml:space="preserve">De </w:t>
      </w:r>
      <w:r w:rsidR="0040176F" w:rsidRPr="00882459">
        <w:t>leveringstarieven / toeslagen</w:t>
      </w:r>
      <w:r w:rsidRPr="00882459">
        <w:t xml:space="preserve"> kunnen per </w:t>
      </w:r>
      <w:r w:rsidR="005E7323" w:rsidRPr="00882459">
        <w:t xml:space="preserve">1 </w:t>
      </w:r>
      <w:r w:rsidR="0037145F" w:rsidRPr="00882459">
        <w:t>januari 2024</w:t>
      </w:r>
      <w:r w:rsidRPr="00882459">
        <w:t xml:space="preserve"> jaarlijks</w:t>
      </w:r>
      <w:r>
        <w:t xml:space="preserve"> worden geïndexeerd conform het CBS indexcijfer Alle Bestedingen (Alle Huishoudens), van bijgaande link: </w:t>
      </w:r>
    </w:p>
    <w:p w14:paraId="728D4B41" w14:textId="77777777" w:rsidR="009C0AF1" w:rsidRPr="00496A65" w:rsidRDefault="009C0AF1" w:rsidP="00C32037">
      <w:pPr>
        <w:spacing w:after="0" w:line="240" w:lineRule="auto"/>
        <w:rPr>
          <w:color w:val="0070C0"/>
          <w:u w:val="single"/>
        </w:rPr>
      </w:pPr>
      <w:r w:rsidRPr="00496A65">
        <w:rPr>
          <w:color w:val="0070C0"/>
          <w:u w:val="single"/>
        </w:rPr>
        <w:t>http://statline.cbs.nl/StatWeb/publication/?VW=T&amp;DM=SLNL&amp;PA=83131ned</w:t>
      </w:r>
    </w:p>
    <w:p w14:paraId="318CE36B" w14:textId="77777777" w:rsidR="009C0AF1" w:rsidRDefault="009C0AF1" w:rsidP="00C32037">
      <w:pPr>
        <w:spacing w:after="0" w:line="240" w:lineRule="auto"/>
      </w:pPr>
    </w:p>
    <w:p w14:paraId="2B5E7BDB" w14:textId="77777777" w:rsidR="00BE4449" w:rsidRDefault="00BE4449" w:rsidP="00C32037">
      <w:pPr>
        <w:pStyle w:val="Geenafstand"/>
        <w:rPr>
          <w:rFonts w:cs="ArialMT"/>
        </w:rPr>
      </w:pPr>
      <w:r w:rsidRPr="000D70B5">
        <w:rPr>
          <w:rFonts w:cs="ArialMT"/>
        </w:rPr>
        <w:t>Indien vanuit het CBS wijzigingen worden doorgevoerd in verwijzingen etc. dan dient gebruik te worden gemaakt van de meest recente versie.</w:t>
      </w:r>
      <w:r>
        <w:rPr>
          <w:rFonts w:cs="ArialMT"/>
        </w:rPr>
        <w:t xml:space="preserve"> </w:t>
      </w:r>
      <w:r w:rsidRPr="000D70B5">
        <w:rPr>
          <w:rFonts w:cs="ArialMT"/>
        </w:rPr>
        <w:t xml:space="preserve">Als basis voor de indexering dient het laatst gepubliceerde jaarmutatiecijfer van het voorgaande jaar gebruikt te worden. </w:t>
      </w:r>
    </w:p>
    <w:p w14:paraId="62C2468A" w14:textId="77777777" w:rsidR="00BE4449" w:rsidRDefault="00BE4449" w:rsidP="00C32037">
      <w:pPr>
        <w:pStyle w:val="Geenafstand"/>
        <w:rPr>
          <w:rFonts w:cs="ArialMT"/>
        </w:rPr>
      </w:pPr>
    </w:p>
    <w:p w14:paraId="52190EFF" w14:textId="5CF1E24D" w:rsidR="00BE4449" w:rsidRDefault="00BE4449" w:rsidP="00C32037">
      <w:pPr>
        <w:pStyle w:val="Geenafstand"/>
        <w:rPr>
          <w:rFonts w:cs="ArialMT"/>
        </w:rPr>
      </w:pPr>
      <w:r>
        <w:rPr>
          <w:rFonts w:cs="ArialMT"/>
        </w:rPr>
        <w:t>Inschrijver</w:t>
      </w:r>
      <w:r w:rsidRPr="000D70B5">
        <w:rPr>
          <w:rFonts w:cs="ArialMT"/>
        </w:rPr>
        <w:t xml:space="preserve"> dient een verzoek tot indexering in minimaal v</w:t>
      </w:r>
      <w:r w:rsidR="00DA5975">
        <w:rPr>
          <w:rFonts w:cs="ArialMT"/>
        </w:rPr>
        <w:t>óó</w:t>
      </w:r>
      <w:r w:rsidRPr="000D70B5">
        <w:rPr>
          <w:rFonts w:cs="ArialMT"/>
        </w:rPr>
        <w:t xml:space="preserve">r 1 </w:t>
      </w:r>
      <w:r>
        <w:rPr>
          <w:rFonts w:cs="ArialMT"/>
        </w:rPr>
        <w:t xml:space="preserve">september </w:t>
      </w:r>
      <w:r w:rsidRPr="000D70B5">
        <w:rPr>
          <w:rFonts w:cs="ArialMT"/>
        </w:rPr>
        <w:t>van het betreffende jaar, waarbij inzichtelijk wordt gemaakt welke hoogte de indexering betreft. Indexeringsverzoeken welke te laat (na 1</w:t>
      </w:r>
      <w:r>
        <w:rPr>
          <w:rFonts w:cs="ArialMT"/>
        </w:rPr>
        <w:t xml:space="preserve"> september</w:t>
      </w:r>
      <w:r w:rsidRPr="000D70B5">
        <w:rPr>
          <w:rFonts w:cs="ArialMT"/>
        </w:rPr>
        <w:t xml:space="preserve"> van het betreffende jaar) zijn ingediend, kunnen niet meer </w:t>
      </w:r>
      <w:r>
        <w:rPr>
          <w:rFonts w:cs="ArialMT"/>
        </w:rPr>
        <w:t xml:space="preserve">in behandeling worden genomen. Het is </w:t>
      </w:r>
      <w:r w:rsidRPr="009D67BB">
        <w:rPr>
          <w:rFonts w:cs="ArialMT"/>
          <w:u w:val="single"/>
        </w:rPr>
        <w:t>niet mogelijk om met terugwerkende kracht</w:t>
      </w:r>
      <w:r w:rsidRPr="000D70B5">
        <w:rPr>
          <w:rFonts w:cs="ArialMT"/>
        </w:rPr>
        <w:t xml:space="preserve"> indexeringen toe te passen. Indien de indexering negatief is, dan dient deze te allen tijde te worden doorgevoerd.</w:t>
      </w:r>
    </w:p>
    <w:p w14:paraId="4A63E3C4" w14:textId="563C4762" w:rsidR="009C0AF1" w:rsidRDefault="009C0AF1" w:rsidP="00C32037">
      <w:pPr>
        <w:spacing w:after="0" w:line="240" w:lineRule="auto"/>
      </w:pPr>
    </w:p>
    <w:p w14:paraId="618B5E41" w14:textId="2B61F75A" w:rsidR="007B3AEE" w:rsidRDefault="00B65B81" w:rsidP="00C32037">
      <w:pPr>
        <w:pStyle w:val="Kop2"/>
        <w:spacing w:before="0" w:line="240" w:lineRule="auto"/>
      </w:pPr>
      <w:bookmarkStart w:id="29" w:name="_Toc74563106"/>
      <w:r>
        <w:t>3</w:t>
      </w:r>
      <w:r w:rsidR="001532E0">
        <w:t>.</w:t>
      </w:r>
      <w:r w:rsidR="00A87B59">
        <w:t>4</w:t>
      </w:r>
      <w:r w:rsidR="001532E0">
        <w:t xml:space="preserve"> Inkoopvoorwaarden</w:t>
      </w:r>
      <w:bookmarkEnd w:id="29"/>
    </w:p>
    <w:p w14:paraId="14FBEB5E" w14:textId="2C6E6315" w:rsidR="007B3AEE" w:rsidRDefault="001532E0" w:rsidP="00C32037">
      <w:pPr>
        <w:spacing w:after="0" w:line="240" w:lineRule="auto"/>
      </w:pPr>
      <w:r w:rsidRPr="001532E0">
        <w:t>De Opdracht wordt uitgevoerd onder de Algemen</w:t>
      </w:r>
      <w:r w:rsidR="004A55C1">
        <w:t>e Inkoopvoorwaarden van de</w:t>
      </w:r>
      <w:r w:rsidR="00A75436">
        <w:t xml:space="preserve"> GR</w:t>
      </w:r>
      <w:r w:rsidR="004A55C1">
        <w:t xml:space="preserve"> BAR-o</w:t>
      </w:r>
      <w:r w:rsidRPr="001532E0">
        <w:t xml:space="preserve">rganisatie. De </w:t>
      </w:r>
      <w:r w:rsidR="002953A4">
        <w:t>Aanbestedende dienst</w:t>
      </w:r>
      <w:r w:rsidRPr="001532E0">
        <w:t xml:space="preserve"> wijst de (eventuele) algemene voorwaarden van Inschrijvers nadrukkelijk af.</w:t>
      </w:r>
    </w:p>
    <w:p w14:paraId="5E5DA660" w14:textId="77777777" w:rsidR="007B3AEE" w:rsidRDefault="007B3AEE" w:rsidP="00C32037">
      <w:pPr>
        <w:spacing w:after="0" w:line="240" w:lineRule="auto"/>
      </w:pPr>
    </w:p>
    <w:p w14:paraId="1072131E" w14:textId="504617CA" w:rsidR="0040594A" w:rsidRDefault="00B65B81" w:rsidP="00C32037">
      <w:pPr>
        <w:pStyle w:val="Kop2"/>
        <w:spacing w:before="0" w:line="240" w:lineRule="auto"/>
      </w:pPr>
      <w:bookmarkStart w:id="30" w:name="_Toc74563107"/>
      <w:r>
        <w:t>3</w:t>
      </w:r>
      <w:r w:rsidR="00A24D26">
        <w:t>.</w:t>
      </w:r>
      <w:r w:rsidR="00A87B59">
        <w:t>5</w:t>
      </w:r>
      <w:r w:rsidR="004048D4">
        <w:t xml:space="preserve"> </w:t>
      </w:r>
      <w:r w:rsidR="000B442F">
        <w:t>Toetsing Uitsluitingsgronden en Geschiktheidscriteria</w:t>
      </w:r>
      <w:bookmarkEnd w:id="30"/>
    </w:p>
    <w:p w14:paraId="44F0D781" w14:textId="287BF8C6" w:rsidR="000B442F" w:rsidRDefault="000B442F" w:rsidP="000B442F">
      <w:r>
        <w:t xml:space="preserve">De Inschrijvers die een geldige Inschrijving hebben ingediend, worden vervolgens beoordeeld op basis van Uitsluitingsgronden en Geschiktheidscriteria: de Aanbestedende dienst controleert van iedere Inschrijving of er ingevolge artikel 2.86 e.v. van de AW 2012 reden is voor uitsluiting van deelname aan deze aanbestedingsprocedure door een toets van het UEA. </w:t>
      </w:r>
    </w:p>
    <w:p w14:paraId="3F604CE5" w14:textId="17CAF410" w:rsidR="00FB4042" w:rsidRDefault="000B442F" w:rsidP="000B442F">
      <w:r>
        <w:t>Indien een Inschrijving niet voldoet aan de knock-out eisen, wordt de Inschrijving terzijde gelegd en niet verder beoordeeld.</w:t>
      </w:r>
    </w:p>
    <w:p w14:paraId="1C7913DF" w14:textId="3EF227A9" w:rsidR="006F77C6" w:rsidRDefault="00B65B81" w:rsidP="00C32037">
      <w:pPr>
        <w:pStyle w:val="Kop2"/>
        <w:spacing w:before="0" w:line="240" w:lineRule="auto"/>
      </w:pPr>
      <w:bookmarkStart w:id="31" w:name="_Toc74563108"/>
      <w:r>
        <w:t>3</w:t>
      </w:r>
      <w:r w:rsidR="006F77C6">
        <w:t>.</w:t>
      </w:r>
      <w:r w:rsidR="00A87B59">
        <w:t>6</w:t>
      </w:r>
      <w:r w:rsidR="006F77C6">
        <w:t xml:space="preserve"> Opdrachtbrief</w:t>
      </w:r>
      <w:bookmarkEnd w:id="31"/>
    </w:p>
    <w:p w14:paraId="6297D071" w14:textId="0A9FF867" w:rsidR="006F77C6" w:rsidRDefault="006F77C6" w:rsidP="00C32037">
      <w:pPr>
        <w:pStyle w:val="Geenafstand"/>
      </w:pPr>
      <w:r>
        <w:t xml:space="preserve">Nadat de gunning definitief is, zal er een Opdrachtbrief door de </w:t>
      </w:r>
      <w:r w:rsidR="002953A4">
        <w:t>Aanbestedende dienst</w:t>
      </w:r>
      <w:r>
        <w:t xml:space="preserve"> naar de winnende Inschrijver gestuurd worden.</w:t>
      </w:r>
    </w:p>
    <w:p w14:paraId="1BDEC326" w14:textId="77777777" w:rsidR="006F77C6" w:rsidRDefault="006F77C6" w:rsidP="00C32037">
      <w:pPr>
        <w:spacing w:after="0" w:line="240" w:lineRule="auto"/>
      </w:pPr>
    </w:p>
    <w:p w14:paraId="7A3B1F3C" w14:textId="24FC4150" w:rsidR="006F77C6" w:rsidRDefault="00B65B81" w:rsidP="00C32037">
      <w:pPr>
        <w:pStyle w:val="Kop2"/>
        <w:spacing w:before="0" w:line="240" w:lineRule="auto"/>
      </w:pPr>
      <w:bookmarkStart w:id="32" w:name="_Toc74563109"/>
      <w:r>
        <w:t>3</w:t>
      </w:r>
      <w:r w:rsidR="006F77C6">
        <w:t>.</w:t>
      </w:r>
      <w:r w:rsidR="00A87B59">
        <w:t>7</w:t>
      </w:r>
      <w:r w:rsidR="006F77C6">
        <w:t xml:space="preserve"> Tijdelijke of definitieve stopzetting</w:t>
      </w:r>
      <w:bookmarkEnd w:id="32"/>
    </w:p>
    <w:p w14:paraId="0938CA0F" w14:textId="77777777" w:rsidR="004F021E" w:rsidRDefault="004F021E" w:rsidP="00C32037">
      <w:pPr>
        <w:pStyle w:val="Geenafstand"/>
      </w:pPr>
      <w:r>
        <w:t xml:space="preserve">De opdrachtgever behoudt zich het recht voor om de gehele aanbestedingsprocedure tijdelijk of definitief te stoppen. Een reden voor tijdelijk of definitieve stopzetting kan bijvoorbeeld zijn dat politiek draagvlak en/of financieel budget komt te ontbreken. Indien wordt overgegaan tot tijdelijke of definitieve stopzetting van de aanbestedingsprocedure worden de inschrijvers via TenderNed ingelicht. </w:t>
      </w:r>
    </w:p>
    <w:p w14:paraId="376D4DC4" w14:textId="40992569" w:rsidR="006F77C6" w:rsidRDefault="006F77C6" w:rsidP="00C32037">
      <w:pPr>
        <w:spacing w:after="0" w:line="240" w:lineRule="auto"/>
      </w:pPr>
    </w:p>
    <w:p w14:paraId="06C21FAD" w14:textId="76424239" w:rsidR="006F77C6" w:rsidRDefault="00B65B81" w:rsidP="00C32037">
      <w:pPr>
        <w:pStyle w:val="Kop2"/>
        <w:spacing w:before="0" w:line="240" w:lineRule="auto"/>
      </w:pPr>
      <w:bookmarkStart w:id="33" w:name="_Toc74563110"/>
      <w:r>
        <w:lastRenderedPageBreak/>
        <w:t>3</w:t>
      </w:r>
      <w:r w:rsidR="006F77C6">
        <w:t>.</w:t>
      </w:r>
      <w:r w:rsidR="00A87B59">
        <w:t>8</w:t>
      </w:r>
      <w:r w:rsidR="006F77C6">
        <w:t xml:space="preserve"> Wachtkamerovereenkomst</w:t>
      </w:r>
      <w:bookmarkEnd w:id="33"/>
    </w:p>
    <w:p w14:paraId="455A43CE" w14:textId="77777777" w:rsidR="004F021E" w:rsidRDefault="004F021E" w:rsidP="00C32037">
      <w:pPr>
        <w:spacing w:after="0" w:line="240" w:lineRule="auto"/>
      </w:pPr>
      <w:r>
        <w:t xml:space="preserve">Indien de Overeenkomst met de Opdrachtnemer binnen één (1) jaar na de startdatum van de Opdracht wordt ontbonden, heeft de Opdrachtgever het recht om de Inschrijver(s) die tijdens deze aanbesteding in de ranking op de tweede positie staan, waardoor zij niet in aanmerking kwamen voor de Opdracht, alsnog in aanmerking te laten komen voor de Opdracht. </w:t>
      </w:r>
    </w:p>
    <w:p w14:paraId="32E81C44" w14:textId="77777777" w:rsidR="004F021E" w:rsidRDefault="004F021E" w:rsidP="00C32037">
      <w:pPr>
        <w:spacing w:after="0" w:line="240" w:lineRule="auto"/>
      </w:pPr>
    </w:p>
    <w:p w14:paraId="0D911BCC" w14:textId="7314F92D" w:rsidR="004F021E" w:rsidRDefault="004F021E" w:rsidP="00C32037">
      <w:pPr>
        <w:spacing w:after="0" w:line="240" w:lineRule="auto"/>
      </w:pPr>
      <w:r>
        <w:t xml:space="preserve">De tweede Inschrijver in rangorde zal bij beëindiging van de Overeenkomst met de oorspronkelijke winnaar van de aanbesteding de Opdracht overnemen. De inschrijver verplicht zich met de inschrijving voor deze aanbesteding tot het overnemen van de Overeenkomst tot uiterlijk één (1) jaar na de startdatum van de Opdracht, indien Opdrachtgever daarom verzoekt. </w:t>
      </w:r>
    </w:p>
    <w:p w14:paraId="06A82A30" w14:textId="77777777" w:rsidR="0096164D" w:rsidRDefault="0096164D" w:rsidP="00C32037">
      <w:pPr>
        <w:spacing w:after="0" w:line="240" w:lineRule="auto"/>
      </w:pPr>
    </w:p>
    <w:p w14:paraId="12E41257" w14:textId="0C1700D7" w:rsidR="004F021E" w:rsidRDefault="004F021E" w:rsidP="00C32037">
      <w:pPr>
        <w:spacing w:after="0" w:line="240" w:lineRule="auto"/>
      </w:pPr>
      <w:r>
        <w:t xml:space="preserve">De nummer 2 in rangorde neemt plaats in de “Wachtkamer” zonder dat daar een financiële vergoeding vanuit de BAR tegenover staat. Hiertoe wordt een zogenaamde “Wachtkamerovereenkomst” afgesloten, zie </w:t>
      </w:r>
      <w:r w:rsidRPr="00AB2FB0">
        <w:rPr>
          <w:i/>
        </w:rPr>
        <w:t xml:space="preserve">Bijlage </w:t>
      </w:r>
      <w:r w:rsidR="00362894">
        <w:rPr>
          <w:i/>
        </w:rPr>
        <w:t>7</w:t>
      </w:r>
      <w:r w:rsidR="00AB2FB0">
        <w:rPr>
          <w:i/>
        </w:rPr>
        <w:t>:</w:t>
      </w:r>
      <w:r w:rsidRPr="00AB2FB0">
        <w:rPr>
          <w:i/>
        </w:rPr>
        <w:t xml:space="preserve"> Wachtkamerovereenkomst.</w:t>
      </w:r>
      <w:r>
        <w:t xml:space="preserve"> </w:t>
      </w:r>
    </w:p>
    <w:p w14:paraId="52A0540B" w14:textId="77777777" w:rsidR="004F021E" w:rsidRDefault="004F021E" w:rsidP="00C32037">
      <w:pPr>
        <w:spacing w:after="0" w:line="240" w:lineRule="auto"/>
      </w:pPr>
    </w:p>
    <w:p w14:paraId="6BC50BED" w14:textId="77777777" w:rsidR="004F021E" w:rsidRDefault="004F021E" w:rsidP="00C32037">
      <w:pPr>
        <w:spacing w:after="0" w:line="240" w:lineRule="auto"/>
      </w:pPr>
      <w:r>
        <w:t xml:space="preserve">Opdrachtgever en tweede Inschrijver zullen indien deze situatie zich voordoet in overleg treden om af te stemmen over de dan noodzakelijke implementatie, zowel inhoudelijk als financieel. </w:t>
      </w:r>
    </w:p>
    <w:p w14:paraId="01676C73" w14:textId="77777777" w:rsidR="004F021E" w:rsidRDefault="004F021E" w:rsidP="00C32037">
      <w:pPr>
        <w:spacing w:after="0" w:line="240" w:lineRule="auto"/>
      </w:pPr>
      <w:r>
        <w:t>Ook indien de Overeenkomst om welke andere reden dan ook voortijdig wordt ontbonden heeft Opdrachtgever het recht, doch niet de plicht, om vorenstaande procedure te hanteren.</w:t>
      </w:r>
    </w:p>
    <w:p w14:paraId="77B83A3C" w14:textId="77777777" w:rsidR="004F021E" w:rsidRDefault="004F021E" w:rsidP="00C32037">
      <w:pPr>
        <w:spacing w:after="0" w:line="240" w:lineRule="auto"/>
      </w:pPr>
    </w:p>
    <w:p w14:paraId="38FA370B" w14:textId="719F146B" w:rsidR="0029339D" w:rsidRDefault="004F021E" w:rsidP="00C32037">
      <w:pPr>
        <w:spacing w:after="0" w:line="240" w:lineRule="auto"/>
      </w:pPr>
      <w:r>
        <w:t>Door in te schrijven op deze aanbesteding verklaren Inschrijvers dat ze instemmen met deze constructie en in het geval dat ze als tweede eindigen bereid zijn een dergelijke “Wachtkamerovereenkomst” af te sluiten. Ook verklaren zij dat ze in een dergelijk geval binnen drie (3) maanden na de aankondiging dat de Opdracht zal worden doorgeschoven de uitvoering over kunnen nemen.</w:t>
      </w:r>
    </w:p>
    <w:p w14:paraId="0FB0EBE8" w14:textId="37DA88FF" w:rsidR="006F77C6" w:rsidRDefault="006F77C6" w:rsidP="00C32037">
      <w:pPr>
        <w:spacing w:after="0" w:line="240" w:lineRule="auto"/>
      </w:pPr>
    </w:p>
    <w:p w14:paraId="55C676AD" w14:textId="46E2FEAA" w:rsidR="007C5813" w:rsidRDefault="007C5813" w:rsidP="00C32037">
      <w:pPr>
        <w:spacing w:after="0" w:line="240" w:lineRule="auto"/>
      </w:pPr>
    </w:p>
    <w:p w14:paraId="0D50A0CB" w14:textId="596BDA05" w:rsidR="007C5813" w:rsidRDefault="007C5813" w:rsidP="00C32037">
      <w:pPr>
        <w:spacing w:after="0" w:line="240" w:lineRule="auto"/>
      </w:pPr>
    </w:p>
    <w:p w14:paraId="1997E62F" w14:textId="45660628" w:rsidR="007C5813" w:rsidRDefault="007C5813" w:rsidP="00C32037">
      <w:pPr>
        <w:spacing w:after="0" w:line="240" w:lineRule="auto"/>
      </w:pPr>
    </w:p>
    <w:p w14:paraId="76070BD6" w14:textId="66920353" w:rsidR="007C5813" w:rsidRDefault="007C5813" w:rsidP="00C32037">
      <w:pPr>
        <w:spacing w:after="0" w:line="240" w:lineRule="auto"/>
      </w:pPr>
    </w:p>
    <w:p w14:paraId="0A967A2C" w14:textId="2B08E070" w:rsidR="007C5813" w:rsidRDefault="007C5813" w:rsidP="00C32037">
      <w:pPr>
        <w:spacing w:after="0" w:line="240" w:lineRule="auto"/>
      </w:pPr>
    </w:p>
    <w:p w14:paraId="0E96FF3C" w14:textId="1364534B" w:rsidR="007C5813" w:rsidRDefault="007C5813" w:rsidP="00C32037">
      <w:pPr>
        <w:spacing w:after="0" w:line="240" w:lineRule="auto"/>
      </w:pPr>
    </w:p>
    <w:p w14:paraId="0ADC1660" w14:textId="0E171309" w:rsidR="007C5813" w:rsidRDefault="007C5813" w:rsidP="00C32037">
      <w:pPr>
        <w:spacing w:after="0" w:line="240" w:lineRule="auto"/>
      </w:pPr>
    </w:p>
    <w:p w14:paraId="26420668" w14:textId="78FC4BD1" w:rsidR="007C5813" w:rsidRDefault="007C5813" w:rsidP="00C32037">
      <w:pPr>
        <w:spacing w:after="0" w:line="240" w:lineRule="auto"/>
      </w:pPr>
    </w:p>
    <w:p w14:paraId="01F59554" w14:textId="69B0D9B3" w:rsidR="007C5813" w:rsidRDefault="007C5813" w:rsidP="00C32037">
      <w:pPr>
        <w:spacing w:after="0" w:line="240" w:lineRule="auto"/>
      </w:pPr>
    </w:p>
    <w:p w14:paraId="409CA874" w14:textId="77777777" w:rsidR="007C5813" w:rsidRDefault="007C5813" w:rsidP="00C32037">
      <w:pPr>
        <w:spacing w:after="0" w:line="240" w:lineRule="auto"/>
      </w:pPr>
    </w:p>
    <w:p w14:paraId="10CBD223" w14:textId="3879912E" w:rsidR="004048D4" w:rsidRDefault="004048D4" w:rsidP="00C32037">
      <w:pPr>
        <w:spacing w:after="0" w:line="240" w:lineRule="auto"/>
      </w:pPr>
    </w:p>
    <w:p w14:paraId="2AC36A5A" w14:textId="2302FD58" w:rsidR="007C5813" w:rsidRDefault="007C5813" w:rsidP="00C32037">
      <w:pPr>
        <w:spacing w:after="0" w:line="240" w:lineRule="auto"/>
      </w:pPr>
    </w:p>
    <w:p w14:paraId="44BDCC98" w14:textId="53C4B022" w:rsidR="007C5813" w:rsidRDefault="007C5813" w:rsidP="00C32037">
      <w:pPr>
        <w:spacing w:after="0" w:line="240" w:lineRule="auto"/>
      </w:pPr>
    </w:p>
    <w:p w14:paraId="3BA5EEC7" w14:textId="2125483F" w:rsidR="009E4A5B" w:rsidRDefault="009E4A5B" w:rsidP="00C32037">
      <w:pPr>
        <w:spacing w:after="0" w:line="240" w:lineRule="auto"/>
      </w:pPr>
    </w:p>
    <w:p w14:paraId="2E515B80" w14:textId="20E28AB8" w:rsidR="009E4A5B" w:rsidRDefault="009E4A5B" w:rsidP="00C32037">
      <w:pPr>
        <w:spacing w:after="0" w:line="240" w:lineRule="auto"/>
      </w:pPr>
    </w:p>
    <w:p w14:paraId="29DB5699" w14:textId="77777777" w:rsidR="009E4A5B" w:rsidRDefault="009E4A5B" w:rsidP="00C32037">
      <w:pPr>
        <w:spacing w:after="0" w:line="240" w:lineRule="auto"/>
        <w:rPr>
          <w:rFonts w:asciiTheme="majorHAnsi" w:eastAsiaTheme="majorEastAsia" w:hAnsiTheme="majorHAnsi" w:cstheme="majorBidi"/>
          <w:color w:val="2E74B5" w:themeColor="accent1" w:themeShade="BF"/>
          <w:sz w:val="32"/>
          <w:szCs w:val="32"/>
        </w:rPr>
      </w:pPr>
      <w:r>
        <w:br w:type="page"/>
      </w:r>
    </w:p>
    <w:p w14:paraId="4488437E" w14:textId="784929F3" w:rsidR="007C5813" w:rsidRDefault="007C5813" w:rsidP="00C32037">
      <w:pPr>
        <w:pStyle w:val="Kop1"/>
        <w:numPr>
          <w:ilvl w:val="0"/>
          <w:numId w:val="3"/>
        </w:numPr>
        <w:spacing w:before="0" w:line="240" w:lineRule="auto"/>
      </w:pPr>
      <w:bookmarkStart w:id="34" w:name="_Toc74563111"/>
      <w:r>
        <w:lastRenderedPageBreak/>
        <w:t>Eisen Inschrijving</w:t>
      </w:r>
      <w:bookmarkEnd w:id="34"/>
    </w:p>
    <w:p w14:paraId="5F7D9905" w14:textId="27DC4340" w:rsidR="007C5813" w:rsidRDefault="007C5813" w:rsidP="00C32037">
      <w:pPr>
        <w:spacing w:after="0" w:line="240" w:lineRule="auto"/>
      </w:pPr>
      <w:r w:rsidRPr="0029483A">
        <w:t>In dit hoofdstuk staat beschreven op welke wijze u uw Inschrijving dient in te dienen om in aanmerking te komen voor gunning van de Opdracht. Inschrijvingen dienen overeenkomstig de onderstaande eisen te worden ingediend. Inschrijvers die hun Inschrijving op een andere wijze indienen</w:t>
      </w:r>
      <w:r>
        <w:t>,</w:t>
      </w:r>
      <w:r w:rsidRPr="0029483A">
        <w:t xml:space="preserve"> worden van verdere deelname van de </w:t>
      </w:r>
      <w:r w:rsidR="00A63A85">
        <w:t>a</w:t>
      </w:r>
      <w:r w:rsidRPr="0029483A">
        <w:t>anbesteding uitgesloten</w:t>
      </w:r>
      <w:r>
        <w:t>.</w:t>
      </w:r>
    </w:p>
    <w:p w14:paraId="4597D9A2" w14:textId="77777777" w:rsidR="00B65B81" w:rsidRDefault="00B65B81" w:rsidP="00C32037">
      <w:pPr>
        <w:spacing w:after="0" w:line="240" w:lineRule="auto"/>
      </w:pPr>
    </w:p>
    <w:p w14:paraId="548FF8F8" w14:textId="3330EA2B" w:rsidR="007C5813" w:rsidRDefault="00B65B81" w:rsidP="00C32037">
      <w:pPr>
        <w:pStyle w:val="Kop2"/>
        <w:spacing w:before="0" w:line="240" w:lineRule="auto"/>
      </w:pPr>
      <w:bookmarkStart w:id="35" w:name="_Toc74563112"/>
      <w:r>
        <w:t>4</w:t>
      </w:r>
      <w:r w:rsidR="007C5813">
        <w:t>.1 Indienen via TenderNed</w:t>
      </w:r>
      <w:bookmarkEnd w:id="35"/>
    </w:p>
    <w:p w14:paraId="4D82DBC5" w14:textId="6734182A" w:rsidR="007C5813" w:rsidRDefault="007C5813" w:rsidP="00C32037">
      <w:pPr>
        <w:pStyle w:val="Geenafstand"/>
      </w:pPr>
      <w:r w:rsidRPr="000D70B5">
        <w:t>Deze aanbesteding verloopt volledig digitaal via TenderNed</w:t>
      </w:r>
      <w:r>
        <w:t xml:space="preserve"> (</w:t>
      </w:r>
      <w:hyperlink r:id="rId12" w:history="1">
        <w:r w:rsidRPr="00A05B2A">
          <w:rPr>
            <w:rStyle w:val="Hyperlink"/>
          </w:rPr>
          <w:t>www.tenderned.nl</w:t>
        </w:r>
      </w:hyperlink>
      <w:r>
        <w:t>)</w:t>
      </w:r>
      <w:r w:rsidRPr="000D70B5">
        <w:t xml:space="preserve">. U dient derhalve uw volledige inschrijving, dus zowel uw bedrijfsgegevens, bewijsstukken en offerte, in de digitale kluis van TenderNed in te dienen. Het volledig, juist en tijdig indienen van de inschrijving is uitdrukkelijk en uitsluitend de verantwoordelijkheid van de </w:t>
      </w:r>
      <w:r>
        <w:t>Inschrijver</w:t>
      </w:r>
      <w:r w:rsidRPr="000D70B5">
        <w:t>.</w:t>
      </w:r>
    </w:p>
    <w:p w14:paraId="3035EB56" w14:textId="77777777" w:rsidR="007C5813" w:rsidRDefault="007C5813" w:rsidP="00C32037">
      <w:pPr>
        <w:pStyle w:val="Geenafstand"/>
      </w:pPr>
    </w:p>
    <w:p w14:paraId="1F9202C2" w14:textId="666EBF8D" w:rsidR="007C5813" w:rsidRDefault="007C5813" w:rsidP="00C32037">
      <w:pPr>
        <w:pStyle w:val="Geenafstand"/>
      </w:pPr>
      <w:r w:rsidRPr="00512A45">
        <w:t xml:space="preserve">LET OP: Zorgt u er voor dat u en uw organisatie juist en volledig zijn geregistreerd bij TenderNed. De registratie van uw organisatie neemt enkele werkdagen in beslag, dus houdt u hier rekening mee. Voor eventuele technische vragen over TenderNed kunt u contact opnemen met de servicedesk, via </w:t>
      </w:r>
      <w:hyperlink r:id="rId13" w:history="1">
        <w:r w:rsidR="0096164D" w:rsidRPr="00172268">
          <w:rPr>
            <w:rStyle w:val="Hyperlink"/>
          </w:rPr>
          <w:t>servicedesk@tenderned.nl</w:t>
        </w:r>
      </w:hyperlink>
      <w:r w:rsidR="0096164D">
        <w:t xml:space="preserve"> </w:t>
      </w:r>
      <w:r w:rsidRPr="00512A45">
        <w:t>of via 0800-8363376.</w:t>
      </w:r>
    </w:p>
    <w:p w14:paraId="0F872C1D" w14:textId="77777777" w:rsidR="00662319" w:rsidRDefault="00662319" w:rsidP="00C32037">
      <w:pPr>
        <w:pStyle w:val="Geenafstand"/>
      </w:pPr>
    </w:p>
    <w:p w14:paraId="07CA72C4" w14:textId="6EF43EAB" w:rsidR="00662319" w:rsidRPr="0096164D" w:rsidRDefault="00B65B81" w:rsidP="00C32037">
      <w:pPr>
        <w:pStyle w:val="Kop3"/>
        <w:spacing w:before="0" w:line="240" w:lineRule="auto"/>
      </w:pPr>
      <w:bookmarkStart w:id="36" w:name="_Toc74563113"/>
      <w:r w:rsidRPr="0096164D">
        <w:t>4</w:t>
      </w:r>
      <w:r w:rsidR="00662319" w:rsidRPr="0096164D">
        <w:t>.1.1 Rechtsgeldigheid ondertekenen via TenderNed</w:t>
      </w:r>
      <w:bookmarkEnd w:id="36"/>
    </w:p>
    <w:p w14:paraId="4C91F4B3" w14:textId="2FA6E3E4" w:rsidR="007C5813" w:rsidRDefault="00662319" w:rsidP="00C32037">
      <w:pPr>
        <w:spacing w:after="0" w:line="240" w:lineRule="auto"/>
      </w:pPr>
      <w:r w:rsidRPr="00662319">
        <w:t>Uw inschrijving dient rechtsgeldig te worden ondertekend. TenderNed biedt (nog) geen faciliteiten om documenten, zoals het Uniform Europees Aanbestedingsdocument, elektronisch te ondertekenen. U dient derhalve de documenten waarop een handtekening noodzakelijk is te printen, te (laten) ondertekenen en het ondertekenende document te scannen. Vervolgens kunt u het gescande document uploaden in de digitale kluis op TenderNed.</w:t>
      </w:r>
    </w:p>
    <w:p w14:paraId="30816F75" w14:textId="77777777" w:rsidR="00662319" w:rsidRDefault="00662319" w:rsidP="00C32037">
      <w:pPr>
        <w:spacing w:after="0" w:line="240" w:lineRule="auto"/>
      </w:pPr>
    </w:p>
    <w:p w14:paraId="5E1AC064" w14:textId="258F7DAF" w:rsidR="007C5813" w:rsidRDefault="00B65B81" w:rsidP="00C32037">
      <w:pPr>
        <w:pStyle w:val="Kop2"/>
        <w:spacing w:before="0" w:line="240" w:lineRule="auto"/>
      </w:pPr>
      <w:bookmarkStart w:id="37" w:name="_Toc74563114"/>
      <w:r>
        <w:t>4</w:t>
      </w:r>
      <w:r w:rsidR="00662319">
        <w:t>.2 Geldigheid en volledigheid</w:t>
      </w:r>
      <w:bookmarkEnd w:id="37"/>
    </w:p>
    <w:p w14:paraId="2DCE0E21" w14:textId="3DBE5424" w:rsidR="00662319" w:rsidRDefault="00662319" w:rsidP="00C32037">
      <w:pPr>
        <w:spacing w:after="0" w:line="240" w:lineRule="auto"/>
      </w:pPr>
      <w:r w:rsidRPr="00662319">
        <w:t>Uw Inschrijving dient onvoorwaardelijk en volledig te voldoen aan alle eisen en voorwaarden die in het Aanbestedingsdocument, het Programma van Eisen en alle overige relevante stukken zijn opgenomen. Door het indienen van een Inschrijving verklaart Inschrijver onverkort dat de Inschrijving wordt gedaan overeenkomstig deze bepalingen en hiermee akkoord gaat. Bij gebreke daarvan zal de betreffende Inschrijving van (verdere) deelname aan de Aanbesteding worden uitgesloten. Het volledig en juist indienen van de Inschrijving is uitdrukkelijk en uitsluitend de verantwoordelijkheid van de Inschrijver.</w:t>
      </w:r>
    </w:p>
    <w:p w14:paraId="49AEC3BE" w14:textId="7764814B" w:rsidR="00662319" w:rsidRDefault="00662319" w:rsidP="00C32037">
      <w:pPr>
        <w:spacing w:after="0" w:line="240" w:lineRule="auto"/>
      </w:pPr>
    </w:p>
    <w:p w14:paraId="65C101B8" w14:textId="2545378E" w:rsidR="0022369E" w:rsidRDefault="00B65B81" w:rsidP="00C32037">
      <w:pPr>
        <w:pStyle w:val="Kop2"/>
        <w:spacing w:before="0" w:line="240" w:lineRule="auto"/>
      </w:pPr>
      <w:bookmarkStart w:id="38" w:name="_Toc74563115"/>
      <w:r>
        <w:t>4</w:t>
      </w:r>
      <w:r w:rsidR="0022369E">
        <w:t>.3 Vertegenwoordigingsbevoegdheid</w:t>
      </w:r>
      <w:bookmarkEnd w:id="38"/>
    </w:p>
    <w:p w14:paraId="30F17AD7" w14:textId="77777777" w:rsidR="0022369E" w:rsidRDefault="0022369E" w:rsidP="00C32037">
      <w:pPr>
        <w:pStyle w:val="Geenafstand"/>
      </w:pPr>
      <w:r w:rsidRPr="000D70B5">
        <w:t xml:space="preserve">De inschrijving dient ondertekend te zijn door de vertegenwoordigingsbevoegde bestuurder(s) van de </w:t>
      </w:r>
      <w:r>
        <w:t>Inschrijver</w:t>
      </w:r>
      <w:r w:rsidRPr="000D70B5">
        <w:t xml:space="preserve">. De tekenbevoegdheid dient te blijken uit uw uittreksel van het nationale handelsregister (Kamer van Koophandel), dan wel inclusief een hoger liggend uittreksel, welke aangeleverd dient te worden bij </w:t>
      </w:r>
      <w:r w:rsidRPr="00D03B7C">
        <w:rPr>
          <w:u w:val="single"/>
        </w:rPr>
        <w:t>voorgenomen gunning</w:t>
      </w:r>
      <w:r w:rsidRPr="000D70B5">
        <w:t>. Indien de vertegenwoordigingsbevoegdheid niet blijkt uit het uittreksel</w:t>
      </w:r>
      <w:r>
        <w:t>,</w:t>
      </w:r>
      <w:r w:rsidRPr="000D70B5">
        <w:t xml:space="preserve"> dient bij voorgenomen gunning een volmacht te worden overhandigd waaruit de vertegenwoordigingsbevoegdheid van de ondertekenaar(s) blijkt en welke volmacht is ondertekend door de vertegenwoordigingsbevoegde(n) zoals blijkt uit het uittreksel van het nationale handelsregister.</w:t>
      </w:r>
      <w:r>
        <w:t xml:space="preserve"> </w:t>
      </w:r>
    </w:p>
    <w:p w14:paraId="3E151696" w14:textId="7BC95F77" w:rsidR="00662319" w:rsidRDefault="00662319" w:rsidP="00C32037">
      <w:pPr>
        <w:spacing w:after="0" w:line="240" w:lineRule="auto"/>
      </w:pPr>
    </w:p>
    <w:p w14:paraId="77604267" w14:textId="496FCDB2" w:rsidR="003F62AB" w:rsidRDefault="00B65B81" w:rsidP="00C32037">
      <w:pPr>
        <w:pStyle w:val="Kop2"/>
        <w:spacing w:before="0" w:line="240" w:lineRule="auto"/>
      </w:pPr>
      <w:bookmarkStart w:id="39" w:name="_Toc74563116"/>
      <w:r>
        <w:t>4</w:t>
      </w:r>
      <w:r w:rsidR="003F62AB">
        <w:t>.4 Gestanddoeningstermijn</w:t>
      </w:r>
      <w:bookmarkEnd w:id="39"/>
    </w:p>
    <w:p w14:paraId="703EC22C" w14:textId="4FCC60E2" w:rsidR="00DA7738" w:rsidRDefault="003F62AB" w:rsidP="00C32037">
      <w:pPr>
        <w:pStyle w:val="Geenafstand"/>
      </w:pPr>
      <w:r>
        <w:t xml:space="preserve">De Inschrijver moet zijn inschrijving gestand doen </w:t>
      </w:r>
      <w:r w:rsidRPr="00487147">
        <w:rPr>
          <w:u w:val="single"/>
        </w:rPr>
        <w:t>gedurende 3 maanden</w:t>
      </w:r>
      <w:r>
        <w:t xml:space="preserve"> na de dag waarop de uiterste termijn voor het indienen van de inschrijvingen is verstreken. Indien Inschrijver(s) een kort gedingprocedure aanhangig hebben gemaakt waardoor de gestanddoeningstermijn wordt overschreden, zal de gestanddoeningstermijn van hun inschrijvingen worden verlengd voor de duur van 30 kalenderdagen na het moment dat vonnis in deze zaak is gewezen. </w:t>
      </w:r>
    </w:p>
    <w:p w14:paraId="4373F3DA" w14:textId="00717F3E" w:rsidR="000C413B" w:rsidRDefault="00B65B81" w:rsidP="00C32037">
      <w:pPr>
        <w:pStyle w:val="Kop2"/>
        <w:spacing w:before="0" w:line="240" w:lineRule="auto"/>
      </w:pPr>
      <w:bookmarkStart w:id="40" w:name="_Toc74563117"/>
      <w:r>
        <w:lastRenderedPageBreak/>
        <w:t>4</w:t>
      </w:r>
      <w:r w:rsidR="008247F5">
        <w:t>.</w:t>
      </w:r>
      <w:r w:rsidR="00DA7738">
        <w:t>5</w:t>
      </w:r>
      <w:r w:rsidR="008247F5">
        <w:t xml:space="preserve"> </w:t>
      </w:r>
      <w:r w:rsidR="00311729">
        <w:t xml:space="preserve">Tijdig melden </w:t>
      </w:r>
      <w:r w:rsidR="0096164D">
        <w:t>o</w:t>
      </w:r>
      <w:r w:rsidR="008247F5">
        <w:t>nduidelijkheden</w:t>
      </w:r>
      <w:r w:rsidR="00311729">
        <w:t xml:space="preserve"> en/of onregelmatigheden</w:t>
      </w:r>
      <w:bookmarkEnd w:id="40"/>
    </w:p>
    <w:p w14:paraId="4FAE1A88" w14:textId="1DE5752E" w:rsidR="00DA7738" w:rsidRDefault="00DA7738" w:rsidP="00C32037">
      <w:pPr>
        <w:pStyle w:val="Geenafstand"/>
      </w:pPr>
      <w:r>
        <w:t xml:space="preserve">Dit Aanbestedingsdocument </w:t>
      </w:r>
      <w:r w:rsidR="008247F5">
        <w:t xml:space="preserve">met alle bijbehorende documenten is met grote zorg samengesteld. </w:t>
      </w:r>
      <w:r>
        <w:t xml:space="preserve">Indien Inschrijver meent dat in de Aanbestedingsstukken een onduidelijkheid, onjuistheid, onrechtmatigheid of enige andere onregelmatigheid is opgenomen, dan dient Inschrijver zo spoedig mogelijk, doch </w:t>
      </w:r>
      <w:r w:rsidRPr="00737083">
        <w:t>uiterlijk 10 kalenderdagen vóór de sluitingsdatum v</w:t>
      </w:r>
      <w:r w:rsidR="00311729">
        <w:t xml:space="preserve">an indienen inschrijvingen, de </w:t>
      </w:r>
      <w:r w:rsidR="002953A4">
        <w:t>Aanbestedende dienst</w:t>
      </w:r>
      <w:r w:rsidRPr="00737083">
        <w:t xml:space="preserve"> hiervan schriftelijk te wijzen. Deze termijn van 10</w:t>
      </w:r>
      <w:r>
        <w:t xml:space="preserve"> kalenderdagen is een vervaltermijn. Hierna is het niet mogelijk voor de Inschrijver om zich te beroepen op mogelijke onduidelijkheden, onjuistheden, onrechtmatigheden of enige andere onregelmatigheden. </w:t>
      </w:r>
    </w:p>
    <w:p w14:paraId="653CBE54" w14:textId="77777777" w:rsidR="00DA7738" w:rsidRDefault="00DA7738" w:rsidP="00C32037">
      <w:pPr>
        <w:pStyle w:val="Geenafstand"/>
      </w:pPr>
    </w:p>
    <w:p w14:paraId="665E7E12" w14:textId="21ABAF17" w:rsidR="00DA7738" w:rsidRDefault="00DA7738" w:rsidP="00C32037">
      <w:pPr>
        <w:pStyle w:val="Geenafstand"/>
      </w:pPr>
      <w:r>
        <w:t xml:space="preserve">Niet, dan wel niet tijdig gesignaleerde onduidelijkheden, onjuistheden, onrechtmatigheden of overige onregelmatigheden zijn voor risico van de Inschrijver. Indien naderhand blijkt dat er onvolkomenheden en/of strijdigheden in deze documenten zitten en deze zijn niet of niet tijdig door de Inschrijver gemeld, zal dit in het voordeel van de </w:t>
      </w:r>
      <w:r w:rsidR="002953A4">
        <w:t>Aanbestedende dienst</w:t>
      </w:r>
      <w:r>
        <w:t xml:space="preserve"> worden uitgelegd. Kennelijke fouten of omissies in de tekst van de </w:t>
      </w:r>
      <w:r w:rsidR="006E5678">
        <w:t>A</w:t>
      </w:r>
      <w:r>
        <w:t xml:space="preserve">anbestedingsdocumenten binden de </w:t>
      </w:r>
      <w:r w:rsidR="002953A4">
        <w:t>Aanbestedende dienst</w:t>
      </w:r>
      <w:r>
        <w:t xml:space="preserve"> niet. </w:t>
      </w:r>
      <w:r w:rsidR="00FA0577">
        <w:t>M</w:t>
      </w:r>
      <w:r>
        <w:t>et andere woorden: het is een Inschrijver uitdrukkelijk niet toegestaan, zulks op straffe van verval van recht, eventuele bezwaren op te sparen tot het Gunningsvoornemen bekend is. Van Inschrijvers wordt – mede gelet op het aantal bij de Aanbesteding betrokken partijen – ter zake een proactieve houding verwacht teneinde de Aanbesteding te doen slagen.</w:t>
      </w:r>
    </w:p>
    <w:p w14:paraId="52176569" w14:textId="77777777" w:rsidR="00DA7738" w:rsidRDefault="00DA7738" w:rsidP="00C32037">
      <w:pPr>
        <w:pStyle w:val="Geenafstand"/>
      </w:pPr>
    </w:p>
    <w:p w14:paraId="669A440F" w14:textId="68D0967E" w:rsidR="00DA7738" w:rsidRDefault="00DA7738" w:rsidP="00C32037">
      <w:pPr>
        <w:spacing w:after="0" w:line="240" w:lineRule="auto"/>
      </w:pPr>
      <w:r>
        <w:t>In geval van tegenstrijdigheden en/of onduidelijkheden geldt de volgende rangorde tussen de verschillende aanbestedingsstukken:</w:t>
      </w:r>
    </w:p>
    <w:p w14:paraId="252A3F75" w14:textId="7396E0E9" w:rsidR="003A516D" w:rsidRDefault="003A516D" w:rsidP="003A516D">
      <w:pPr>
        <w:pStyle w:val="Lijstalinea"/>
        <w:numPr>
          <w:ilvl w:val="0"/>
          <w:numId w:val="31"/>
        </w:numPr>
        <w:spacing w:after="0" w:line="240" w:lineRule="auto"/>
      </w:pPr>
      <w:r>
        <w:t>Overeenkomst;</w:t>
      </w:r>
    </w:p>
    <w:p w14:paraId="4731E843" w14:textId="1313B9A7" w:rsidR="00DA7738" w:rsidRPr="00D030F5" w:rsidRDefault="00DA7738" w:rsidP="00D030F5">
      <w:pPr>
        <w:pStyle w:val="Lijstalinea"/>
        <w:numPr>
          <w:ilvl w:val="0"/>
          <w:numId w:val="31"/>
        </w:numPr>
        <w:spacing w:after="0" w:line="240" w:lineRule="auto"/>
      </w:pPr>
      <w:r w:rsidRPr="00D030F5">
        <w:t>Nota(’s) van inlichtingen. Indien er meer Nota ‘s van inlichtingen zijn, prevaleert, in geval van tegenstrijdigheden tussen de Nota’s van inlichtingen, het bepaalde in de meest recente Nota van Inlichtingen;</w:t>
      </w:r>
    </w:p>
    <w:p w14:paraId="60A832FF" w14:textId="3F77F39D" w:rsidR="00DA7738" w:rsidRPr="00D030F5" w:rsidRDefault="00DA7738" w:rsidP="00D030F5">
      <w:pPr>
        <w:pStyle w:val="Lijstalinea"/>
        <w:numPr>
          <w:ilvl w:val="0"/>
          <w:numId w:val="31"/>
        </w:numPr>
        <w:spacing w:after="0" w:line="240" w:lineRule="auto"/>
      </w:pPr>
      <w:r w:rsidRPr="00D030F5">
        <w:t>Aanbestedingsdocumenten: aanbestedingsleidraad met bijlagen en/of appendices;</w:t>
      </w:r>
    </w:p>
    <w:p w14:paraId="2FB9469E" w14:textId="79AAA333" w:rsidR="00DA7738" w:rsidRPr="00D030F5" w:rsidRDefault="00DA7738" w:rsidP="00D030F5">
      <w:pPr>
        <w:pStyle w:val="Lijstalinea"/>
        <w:numPr>
          <w:ilvl w:val="0"/>
          <w:numId w:val="31"/>
        </w:numPr>
        <w:spacing w:after="0" w:line="240" w:lineRule="auto"/>
      </w:pPr>
      <w:r w:rsidRPr="00D030F5">
        <w:t>Algemene inkoopvoorwaarden GR BAR-organisatie;</w:t>
      </w:r>
    </w:p>
    <w:p w14:paraId="71D6D70A" w14:textId="6A49A0AD" w:rsidR="00DA7738" w:rsidRDefault="002531F0" w:rsidP="00D030F5">
      <w:pPr>
        <w:pStyle w:val="Lijstalinea"/>
        <w:numPr>
          <w:ilvl w:val="0"/>
          <w:numId w:val="31"/>
        </w:numPr>
        <w:spacing w:after="0" w:line="240" w:lineRule="auto"/>
      </w:pPr>
      <w:r>
        <w:t>Inschrijving van de I</w:t>
      </w:r>
      <w:r w:rsidR="00DA7738" w:rsidRPr="00D030F5">
        <w:t>nschrijver.</w:t>
      </w:r>
    </w:p>
    <w:p w14:paraId="4D1C0B2C" w14:textId="122988F6" w:rsidR="008A3BA6" w:rsidRDefault="008A3BA6" w:rsidP="00C32037">
      <w:pPr>
        <w:spacing w:after="0" w:line="240" w:lineRule="auto"/>
      </w:pPr>
    </w:p>
    <w:p w14:paraId="5E780F52" w14:textId="00B653BD" w:rsidR="00311729" w:rsidRDefault="00311729" w:rsidP="00C32037">
      <w:pPr>
        <w:pStyle w:val="Kop2"/>
        <w:spacing w:before="0" w:line="240" w:lineRule="auto"/>
      </w:pPr>
      <w:bookmarkStart w:id="41" w:name="_Toc74563118"/>
      <w:r>
        <w:t>4.6 Inschrijven</w:t>
      </w:r>
      <w:bookmarkEnd w:id="41"/>
      <w:r>
        <w:t xml:space="preserve"> </w:t>
      </w:r>
    </w:p>
    <w:p w14:paraId="53757558" w14:textId="097B5C88" w:rsidR="00311729" w:rsidRDefault="00311729" w:rsidP="00C32037">
      <w:pPr>
        <w:spacing w:after="0" w:line="240" w:lineRule="auto"/>
      </w:pPr>
      <w:r>
        <w:t xml:space="preserve">De </w:t>
      </w:r>
      <w:r w:rsidR="009C2E08">
        <w:t>I</w:t>
      </w:r>
      <w:r>
        <w:t xml:space="preserve">nschrijving dient op de juiste wijze vóór de aangegeven tijd op de sluitingsdatum via </w:t>
      </w:r>
      <w:hyperlink r:id="rId14" w:history="1">
        <w:r w:rsidR="00043D6A" w:rsidRPr="007830FE">
          <w:rPr>
            <w:rStyle w:val="Hyperlink"/>
          </w:rPr>
          <w:t>www.tenderned.nl</w:t>
        </w:r>
      </w:hyperlink>
      <w:r w:rsidR="00043D6A">
        <w:t xml:space="preserve"> </w:t>
      </w:r>
      <w:r>
        <w:t xml:space="preserve">te worden geüpload. Na deze datum en dit tijdstip zal het niet langer mogelijk zijn om de stukken op </w:t>
      </w:r>
      <w:hyperlink r:id="rId15" w:history="1">
        <w:r w:rsidR="00A75436" w:rsidRPr="006162B6">
          <w:rPr>
            <w:rStyle w:val="Hyperlink"/>
          </w:rPr>
          <w:t>www.tenderned.nl</w:t>
        </w:r>
      </w:hyperlink>
      <w:r w:rsidR="00A75436">
        <w:t xml:space="preserve"> </w:t>
      </w:r>
      <w:r>
        <w:t xml:space="preserve">te zetten en is het niet meer mogelijk om een inschrijving in te dienen. De informatie in de aanbieding dient te worden beperkt tot die informatie die voor deze aanbesteding vereist is. Additionele informatie (zoals brochures e.d.) worden niet op prijs gesteld. </w:t>
      </w:r>
    </w:p>
    <w:p w14:paraId="3DB455BF" w14:textId="5C23A63B" w:rsidR="00311729" w:rsidRDefault="00311729" w:rsidP="00C32037">
      <w:pPr>
        <w:spacing w:after="0" w:line="240" w:lineRule="auto"/>
      </w:pPr>
      <w:r>
        <w:t> </w:t>
      </w:r>
    </w:p>
    <w:p w14:paraId="650A1F44" w14:textId="7272C52A" w:rsidR="0040594A" w:rsidRDefault="0040594A" w:rsidP="00C32037">
      <w:pPr>
        <w:spacing w:after="0" w:line="240" w:lineRule="auto"/>
      </w:pPr>
    </w:p>
    <w:p w14:paraId="3802CD7A" w14:textId="3B1ED161" w:rsidR="00311729" w:rsidRDefault="00311729" w:rsidP="00C32037">
      <w:pPr>
        <w:spacing w:after="0" w:line="240" w:lineRule="auto"/>
      </w:pPr>
    </w:p>
    <w:p w14:paraId="28533B8C" w14:textId="45B4D61E" w:rsidR="00311729" w:rsidRDefault="00311729" w:rsidP="00C32037">
      <w:pPr>
        <w:spacing w:after="0" w:line="240" w:lineRule="auto"/>
      </w:pPr>
    </w:p>
    <w:p w14:paraId="45870C66" w14:textId="6B162685" w:rsidR="00311729" w:rsidRDefault="00311729" w:rsidP="00C32037">
      <w:pPr>
        <w:spacing w:after="0" w:line="240" w:lineRule="auto"/>
      </w:pPr>
    </w:p>
    <w:p w14:paraId="4BD0A930" w14:textId="6105294F" w:rsidR="00311729" w:rsidRDefault="00311729" w:rsidP="00C32037">
      <w:pPr>
        <w:spacing w:after="0" w:line="240" w:lineRule="auto"/>
      </w:pPr>
    </w:p>
    <w:p w14:paraId="1E0EA128" w14:textId="22C89AAE" w:rsidR="00311729" w:rsidRDefault="00311729" w:rsidP="00C32037">
      <w:pPr>
        <w:spacing w:after="0" w:line="240" w:lineRule="auto"/>
      </w:pPr>
    </w:p>
    <w:p w14:paraId="00ED4D94" w14:textId="77777777" w:rsidR="00D55C42" w:rsidRDefault="00D55C42" w:rsidP="00C32037">
      <w:pPr>
        <w:spacing w:after="0" w:line="240" w:lineRule="auto"/>
        <w:rPr>
          <w:rFonts w:asciiTheme="majorHAnsi" w:eastAsiaTheme="majorEastAsia" w:hAnsiTheme="majorHAnsi" w:cstheme="majorBidi"/>
          <w:color w:val="2E74B5" w:themeColor="accent1" w:themeShade="BF"/>
          <w:sz w:val="32"/>
          <w:szCs w:val="32"/>
        </w:rPr>
      </w:pPr>
      <w:r>
        <w:br w:type="page"/>
      </w:r>
    </w:p>
    <w:p w14:paraId="7A6D1635" w14:textId="785098F7" w:rsidR="00505515" w:rsidRDefault="00A519DF" w:rsidP="00C32037">
      <w:pPr>
        <w:pStyle w:val="Kop1"/>
        <w:numPr>
          <w:ilvl w:val="0"/>
          <w:numId w:val="3"/>
        </w:numPr>
        <w:spacing w:before="0" w:line="240" w:lineRule="auto"/>
      </w:pPr>
      <w:bookmarkStart w:id="42" w:name="_Toc74563119"/>
      <w:r>
        <w:lastRenderedPageBreak/>
        <w:t>Gunningscriteria</w:t>
      </w:r>
      <w:bookmarkEnd w:id="42"/>
    </w:p>
    <w:p w14:paraId="4E3F15FD" w14:textId="17320E84" w:rsidR="009F5A61" w:rsidRDefault="009F5A61" w:rsidP="00C32037">
      <w:pPr>
        <w:spacing w:after="0" w:line="240" w:lineRule="auto"/>
        <w:rPr>
          <w:rFonts w:cstheme="minorHAnsi"/>
        </w:rPr>
      </w:pPr>
      <w:r>
        <w:rPr>
          <w:rFonts w:cstheme="minorHAnsi"/>
        </w:rPr>
        <w:t>De Inschrijvingen</w:t>
      </w:r>
      <w:r w:rsidR="003F5A1B">
        <w:rPr>
          <w:rFonts w:cstheme="minorHAnsi"/>
        </w:rPr>
        <w:t xml:space="preserve"> worden beoordeeld op basis van het Economisch meest voordelige Inschrijving (EMVI) criterium “Laagste Prijs”.  </w:t>
      </w:r>
    </w:p>
    <w:p w14:paraId="3F0156D2" w14:textId="77777777" w:rsidR="003F5A1B" w:rsidRDefault="003F5A1B" w:rsidP="00C32037">
      <w:pPr>
        <w:spacing w:after="0" w:line="240" w:lineRule="auto"/>
        <w:rPr>
          <w:rFonts w:cstheme="minorHAnsi"/>
        </w:rPr>
      </w:pPr>
    </w:p>
    <w:p w14:paraId="03433904" w14:textId="378EE4C4" w:rsidR="00505515" w:rsidRDefault="00DE399E" w:rsidP="00C32037">
      <w:pPr>
        <w:pStyle w:val="Kop2"/>
        <w:spacing w:before="0" w:line="240" w:lineRule="auto"/>
      </w:pPr>
      <w:bookmarkStart w:id="43" w:name="_Toc74563120"/>
      <w:r>
        <w:t>5</w:t>
      </w:r>
      <w:r w:rsidR="005F719E">
        <w:t xml:space="preserve">.1 </w:t>
      </w:r>
      <w:r w:rsidR="00DF3296">
        <w:t>Motivatie gunningscriterium “Laagste Prijs”</w:t>
      </w:r>
      <w:bookmarkEnd w:id="43"/>
    </w:p>
    <w:p w14:paraId="66146103" w14:textId="007D2933" w:rsidR="00F56B12" w:rsidRDefault="00DF3296" w:rsidP="00C32037">
      <w:pPr>
        <w:spacing w:after="0" w:line="240" w:lineRule="auto"/>
      </w:pPr>
      <w:r>
        <w:t>Er is gekozen voor het gunningscriterium “Laagste Prijs”, omdat er voor de Inschrijvers te weinig mogelijkheden zijn om zich van elkaar te onderscheiden op het gebied van “Kwaliteit”</w:t>
      </w:r>
      <w:r w:rsidR="00FD4763">
        <w:t>. Dit blijkt uit onderstaand beschreven overwegingen:</w:t>
      </w:r>
    </w:p>
    <w:p w14:paraId="5CA23D3A" w14:textId="12D04F9D" w:rsidR="00FD4763" w:rsidRDefault="00FD4763" w:rsidP="00B91325">
      <w:pPr>
        <w:spacing w:after="0" w:line="240" w:lineRule="auto"/>
      </w:pPr>
      <w:r>
        <w:t>In de leidraad</w:t>
      </w:r>
      <w:r w:rsidR="00B91325">
        <w:t xml:space="preserve"> en Programma van eisen</w:t>
      </w:r>
      <w:r>
        <w:t xml:space="preserve"> zijn</w:t>
      </w:r>
      <w:r w:rsidR="00B91325">
        <w:t xml:space="preserve"> de</w:t>
      </w:r>
      <w:r>
        <w:t xml:space="preserve"> basis voorwaarden als minimumeisen opgenomen. De kwalitatieve aspecten zijn overwogen als EMVI-criteria zoals:</w:t>
      </w:r>
    </w:p>
    <w:p w14:paraId="35A3DEF6" w14:textId="3C38DA22" w:rsidR="00FD4763" w:rsidRDefault="00FD4763" w:rsidP="00B91325">
      <w:pPr>
        <w:pStyle w:val="Lijstalinea"/>
        <w:numPr>
          <w:ilvl w:val="0"/>
          <w:numId w:val="34"/>
        </w:numPr>
        <w:spacing w:after="0" w:line="240" w:lineRule="auto"/>
      </w:pPr>
      <w:r>
        <w:t xml:space="preserve">De kwaliteit van elektriciteit die wettelijk is vastgesteld. Verdere kwaliteitscriteria hebben op deze aanbesteding voor </w:t>
      </w:r>
      <w:r w:rsidRPr="00FD4763">
        <w:rPr>
          <w:i/>
        </w:rPr>
        <w:t>Levering van elektriciteit of aardgas</w:t>
      </w:r>
      <w:r>
        <w:t xml:space="preserve">  geen meerwaarde.</w:t>
      </w:r>
    </w:p>
    <w:p w14:paraId="6C1517E6" w14:textId="565EF97C" w:rsidR="00D54044" w:rsidRDefault="00D54044" w:rsidP="00B91325">
      <w:pPr>
        <w:pStyle w:val="Lijstalinea"/>
        <w:numPr>
          <w:ilvl w:val="0"/>
          <w:numId w:val="34"/>
        </w:numPr>
        <w:spacing w:after="0" w:line="240" w:lineRule="auto"/>
      </w:pPr>
      <w:r>
        <w:t>Duurzaamheid</w:t>
      </w:r>
      <w:r w:rsidR="00B91325">
        <w:t>.</w:t>
      </w:r>
    </w:p>
    <w:p w14:paraId="3F92099B" w14:textId="17E7F731" w:rsidR="00D54044" w:rsidRDefault="00D54044" w:rsidP="00B91325">
      <w:pPr>
        <w:pStyle w:val="Lijstalinea"/>
        <w:numPr>
          <w:ilvl w:val="0"/>
          <w:numId w:val="34"/>
        </w:numPr>
        <w:spacing w:after="0" w:line="240" w:lineRule="auto"/>
      </w:pPr>
      <w:r>
        <w:t>Garanties van Oorsprong die is opgenomen in onder meer Programma van Eisen (minimumeis).</w:t>
      </w:r>
    </w:p>
    <w:p w14:paraId="3902CE5F" w14:textId="315C1952" w:rsidR="00D54044" w:rsidRDefault="00D54044" w:rsidP="00B91325">
      <w:pPr>
        <w:pStyle w:val="Lijstalinea"/>
        <w:numPr>
          <w:ilvl w:val="0"/>
          <w:numId w:val="34"/>
        </w:numPr>
        <w:spacing w:after="0" w:line="240" w:lineRule="auto"/>
      </w:pPr>
      <w:r>
        <w:t xml:space="preserve">De verzamelfactuur (facturatie) is als minimumeis opgenomen (zie Programma van Eisen). Alle leveranciers zijn in staat om al dan niet op maat gemaakt een verzamelfactuur te generen voor zowel </w:t>
      </w:r>
      <w:r w:rsidR="00B91325">
        <w:t xml:space="preserve">klein- als grootverbruik aansluitingen. </w:t>
      </w:r>
    </w:p>
    <w:p w14:paraId="35442107" w14:textId="6E0167BD" w:rsidR="00B91325" w:rsidRDefault="00B91325" w:rsidP="00B91325">
      <w:pPr>
        <w:pStyle w:val="Lijstalinea"/>
        <w:numPr>
          <w:ilvl w:val="0"/>
          <w:numId w:val="34"/>
        </w:numPr>
        <w:spacing w:after="0" w:line="240" w:lineRule="auto"/>
      </w:pPr>
      <w:r>
        <w:t>Klachtenafhandeling ten aanzien van levering van (duurzame) elektriciteit volgens de Elektriciteitswet. Dit onderdeel is een te gering onderdeel</w:t>
      </w:r>
      <w:r w:rsidR="00864DA7">
        <w:t xml:space="preserve"> van de dienstverlening om dit onderscheidend (%) op te nemen als EMVI ten opzichte van de prijscomponent.</w:t>
      </w:r>
    </w:p>
    <w:p w14:paraId="08DD6F11" w14:textId="44432800" w:rsidR="00FD4763" w:rsidRDefault="00864DA7" w:rsidP="00FD4763">
      <w:pPr>
        <w:pStyle w:val="Lijstalinea"/>
        <w:numPr>
          <w:ilvl w:val="0"/>
          <w:numId w:val="32"/>
        </w:numPr>
        <w:spacing w:after="0" w:line="240" w:lineRule="auto"/>
      </w:pPr>
      <w:r>
        <w:t>Overige services als (jaarlijkse) evaluatie</w:t>
      </w:r>
      <w:r w:rsidR="004C25B0">
        <w:t xml:space="preserve"> e.d</w:t>
      </w:r>
      <w:r>
        <w:t>.</w:t>
      </w:r>
    </w:p>
    <w:p w14:paraId="330EAE0E" w14:textId="7165DA51" w:rsidR="00DF3296" w:rsidRDefault="00DF3296" w:rsidP="00C32037">
      <w:pPr>
        <w:spacing w:after="0" w:line="240" w:lineRule="auto"/>
      </w:pPr>
    </w:p>
    <w:p w14:paraId="6B753914" w14:textId="54A20AAF" w:rsidR="00864DA7" w:rsidRDefault="00864DA7" w:rsidP="00C32037">
      <w:pPr>
        <w:spacing w:after="0" w:line="240" w:lineRule="auto"/>
      </w:pPr>
      <w:r>
        <w:t>Op basis van het bovenstaande blijft het gunningscriterium “Laagste Prijs” als enige onderscheidend criterium over.</w:t>
      </w:r>
    </w:p>
    <w:p w14:paraId="6780C9CB" w14:textId="77D10039" w:rsidR="00864DA7" w:rsidRDefault="00864DA7" w:rsidP="00C32037">
      <w:pPr>
        <w:spacing w:after="0" w:line="240" w:lineRule="auto"/>
      </w:pPr>
    </w:p>
    <w:p w14:paraId="79D09D5C" w14:textId="13E0594D" w:rsidR="00703B8E" w:rsidRDefault="00703B8E" w:rsidP="00C32037">
      <w:pPr>
        <w:spacing w:after="0" w:line="240" w:lineRule="auto"/>
      </w:pPr>
      <w:r>
        <w:t>Van de Inschrijvers die zowel de toets aan de volledigheid/geldigheid, Uitsluitingsgronden en Geschiktheidscriteria als de toets aan de eisen met goed gevolg hebben doorstaan, worden de Inschrijvingen aldus beoordeeld aan de hand van het gunningscriterium “Laagste Prijs”. De geboden prijzen van alle geldige Inschrijvingen worden vergeleken.</w:t>
      </w:r>
    </w:p>
    <w:p w14:paraId="294AA2B1" w14:textId="37EA39A9" w:rsidR="00FD4763" w:rsidRDefault="00FD4763" w:rsidP="00C32037">
      <w:pPr>
        <w:spacing w:after="0" w:line="240" w:lineRule="auto"/>
      </w:pPr>
    </w:p>
    <w:p w14:paraId="7F2B2984" w14:textId="70BD11D4" w:rsidR="00C576E3" w:rsidRDefault="00DE399E" w:rsidP="0040182C">
      <w:pPr>
        <w:pStyle w:val="Kop2"/>
        <w:spacing w:before="0" w:line="240" w:lineRule="auto"/>
      </w:pPr>
      <w:bookmarkStart w:id="44" w:name="_Toc74563121"/>
      <w:r>
        <w:t>5</w:t>
      </w:r>
      <w:r w:rsidR="003A0390">
        <w:t xml:space="preserve">.2 </w:t>
      </w:r>
      <w:r w:rsidR="00EB397C">
        <w:t>G</w:t>
      </w:r>
      <w:r w:rsidR="003A0390">
        <w:t xml:space="preserve">unningcriterium: </w:t>
      </w:r>
      <w:r w:rsidR="00EB397C">
        <w:t>Prijs</w:t>
      </w:r>
      <w:bookmarkEnd w:id="44"/>
    </w:p>
    <w:p w14:paraId="2E0C8C8D" w14:textId="603871DC" w:rsidR="005F719E" w:rsidRDefault="00D82861" w:rsidP="00C32037">
      <w:pPr>
        <w:spacing w:after="0" w:line="240" w:lineRule="auto"/>
      </w:pPr>
      <w:r>
        <w:t xml:space="preserve">De Inschrijver dient een </w:t>
      </w:r>
      <w:r w:rsidR="00867F4B">
        <w:t xml:space="preserve">eenmalige </w:t>
      </w:r>
      <w:r>
        <w:t>prijs op te geven voor de uit te voeren werkzaamheden</w:t>
      </w:r>
      <w:r w:rsidR="00595A3E">
        <w:t xml:space="preserve">. </w:t>
      </w:r>
      <w:r w:rsidR="00867F4B">
        <w:t xml:space="preserve">De bieding kan middels ‘Formulier </w:t>
      </w:r>
      <w:r w:rsidR="00FA254F">
        <w:t>Prijzenblad</w:t>
      </w:r>
      <w:r w:rsidR="00867F4B">
        <w:t xml:space="preserve">’ ingevuld worden. Het formulier is te vinden in </w:t>
      </w:r>
      <w:r w:rsidRPr="008E2027">
        <w:rPr>
          <w:i/>
        </w:rPr>
        <w:t xml:space="preserve">Bijlage </w:t>
      </w:r>
      <w:r w:rsidR="00D63679" w:rsidRPr="008E2027">
        <w:rPr>
          <w:i/>
        </w:rPr>
        <w:t>4</w:t>
      </w:r>
      <w:r w:rsidRPr="008E2027">
        <w:t>.</w:t>
      </w:r>
      <w:r>
        <w:t xml:space="preserve"> </w:t>
      </w:r>
    </w:p>
    <w:p w14:paraId="1A518B27" w14:textId="1DD7A4DE" w:rsidR="001E5A0A" w:rsidRDefault="00FA254F" w:rsidP="00C32037">
      <w:pPr>
        <w:spacing w:after="0" w:line="240" w:lineRule="auto"/>
      </w:pPr>
      <w:r>
        <w:t xml:space="preserve">De Inschrijver dient dit prijzenblad volledig in te vullen, rechtsgeldig te ondertekenen en digitaal geüpload te worden op TenderNed van deze aanbesteding. </w:t>
      </w:r>
    </w:p>
    <w:p w14:paraId="4C0464EE" w14:textId="77777777" w:rsidR="00B370AC" w:rsidRDefault="00B370AC" w:rsidP="00C32037">
      <w:pPr>
        <w:spacing w:after="0" w:line="240" w:lineRule="auto"/>
      </w:pPr>
    </w:p>
    <w:p w14:paraId="74DCA54C" w14:textId="6F9541A6" w:rsidR="00FA254F" w:rsidRDefault="00FA254F" w:rsidP="00C32037">
      <w:pPr>
        <w:spacing w:after="0" w:line="240" w:lineRule="auto"/>
      </w:pPr>
      <w:r w:rsidRPr="00FA254F">
        <w:t xml:space="preserve">Een andere of andersoortige ingediende eenmalige bieding zal </w:t>
      </w:r>
      <w:r w:rsidRPr="00FA254F">
        <w:rPr>
          <w:u w:val="single"/>
        </w:rPr>
        <w:t>niet in behandeling</w:t>
      </w:r>
      <w:r w:rsidRPr="00FA254F">
        <w:t xml:space="preserve"> worden genomen. De Aanbestedende dienst wijst de Inschrijver erop dat de bieding als bindend wordt beschouwd en onderdeel van de </w:t>
      </w:r>
      <w:r w:rsidRPr="00FA254F">
        <w:rPr>
          <w:i/>
        </w:rPr>
        <w:t>Leveringsovereenkomst</w:t>
      </w:r>
      <w:r w:rsidRPr="00FA254F">
        <w:t xml:space="preserve"> zal vormen, indien de Aanbestedende dienst de Opdracht aan de betreffende Inschrijver zal gunnen</w:t>
      </w:r>
      <w:r>
        <w:t>.</w:t>
      </w:r>
    </w:p>
    <w:p w14:paraId="59124A4D" w14:textId="5718B369" w:rsidR="006E5141" w:rsidRDefault="006E5141" w:rsidP="00C32037">
      <w:pPr>
        <w:spacing w:after="0" w:line="240" w:lineRule="auto"/>
      </w:pPr>
    </w:p>
    <w:p w14:paraId="69A7B15D" w14:textId="15268432" w:rsidR="006E5141" w:rsidRDefault="006E5141" w:rsidP="00C32037">
      <w:pPr>
        <w:spacing w:after="0" w:line="240" w:lineRule="auto"/>
      </w:pPr>
      <w:r>
        <w:t>De onderdelen die horen bij dit criterium zijn:</w:t>
      </w:r>
    </w:p>
    <w:p w14:paraId="6BF34F08" w14:textId="4EDF094D" w:rsidR="006E5141" w:rsidRDefault="006E5141" w:rsidP="006E5141">
      <w:pPr>
        <w:pStyle w:val="Lijstalinea"/>
        <w:numPr>
          <w:ilvl w:val="0"/>
          <w:numId w:val="29"/>
        </w:numPr>
        <w:spacing w:after="0" w:line="240" w:lineRule="auto"/>
      </w:pPr>
      <w:r>
        <w:t>Opslag/afslag PEAK</w:t>
      </w:r>
      <w:r w:rsidR="00837EF9">
        <w:t xml:space="preserve"> en OFFPEAK</w:t>
      </w:r>
    </w:p>
    <w:p w14:paraId="5FEB9C95" w14:textId="170D8696" w:rsidR="006E5141" w:rsidRDefault="006E5141" w:rsidP="006E5141">
      <w:pPr>
        <w:pStyle w:val="Lijstalinea"/>
        <w:numPr>
          <w:ilvl w:val="0"/>
          <w:numId w:val="29"/>
        </w:numPr>
        <w:spacing w:after="0" w:line="240" w:lineRule="auto"/>
      </w:pPr>
      <w:r>
        <w:t>Prijs Nederlandse GvO</w:t>
      </w:r>
      <w:r w:rsidR="00BB6F5D">
        <w:t>’s</w:t>
      </w:r>
    </w:p>
    <w:p w14:paraId="5AB8B2C9" w14:textId="443E0AB7" w:rsidR="00B12246" w:rsidRDefault="00B12246" w:rsidP="006E5141">
      <w:pPr>
        <w:pStyle w:val="Lijstalinea"/>
        <w:numPr>
          <w:ilvl w:val="0"/>
          <w:numId w:val="29"/>
        </w:numPr>
        <w:spacing w:after="0" w:line="240" w:lineRule="auto"/>
      </w:pPr>
      <w:r>
        <w:t>Opslag Profiel</w:t>
      </w:r>
    </w:p>
    <w:p w14:paraId="248615ED" w14:textId="67146D1A" w:rsidR="0063334D" w:rsidRDefault="005019F5" w:rsidP="006E5141">
      <w:pPr>
        <w:pStyle w:val="Lijstalinea"/>
        <w:numPr>
          <w:ilvl w:val="0"/>
          <w:numId w:val="29"/>
        </w:numPr>
        <w:spacing w:after="0" w:line="240" w:lineRule="auto"/>
      </w:pPr>
      <w:r>
        <w:t>Prijs</w:t>
      </w:r>
      <w:r w:rsidR="0063334D">
        <w:t xml:space="preserve"> VER</w:t>
      </w:r>
      <w:r w:rsidR="00B12246">
        <w:t>’</w:t>
      </w:r>
      <w:r w:rsidR="0063334D">
        <w:t xml:space="preserve">s </w:t>
      </w:r>
      <w:r w:rsidR="00B12246">
        <w:t>Gold Standard</w:t>
      </w:r>
      <w:r>
        <w:t xml:space="preserve"> </w:t>
      </w:r>
    </w:p>
    <w:p w14:paraId="59E98C3C" w14:textId="4E95BBD3" w:rsidR="006E5141" w:rsidRPr="00795FF0" w:rsidRDefault="006E5141" w:rsidP="00BB6F5D">
      <w:pPr>
        <w:pStyle w:val="Lijstalinea"/>
        <w:spacing w:after="0" w:line="240" w:lineRule="auto"/>
      </w:pPr>
    </w:p>
    <w:p w14:paraId="609B4191" w14:textId="527F38F9" w:rsidR="00FE257C" w:rsidRDefault="00FE257C" w:rsidP="00C32037">
      <w:pPr>
        <w:spacing w:after="0" w:line="240" w:lineRule="auto"/>
      </w:pPr>
    </w:p>
    <w:p w14:paraId="3704BB4F" w14:textId="5A0ACBD6" w:rsidR="001E5A0A" w:rsidRDefault="001E5A0A" w:rsidP="00C32037">
      <w:pPr>
        <w:spacing w:after="0" w:line="240" w:lineRule="auto"/>
      </w:pPr>
    </w:p>
    <w:p w14:paraId="2BAF0574" w14:textId="26A01EEA" w:rsidR="001E5A0A" w:rsidRDefault="002B209A" w:rsidP="00705A1A">
      <w:pPr>
        <w:pStyle w:val="Kop1"/>
      </w:pPr>
      <w:r>
        <w:br w:type="page"/>
      </w:r>
      <w:bookmarkStart w:id="45" w:name="_Toc74563123"/>
      <w:r>
        <w:lastRenderedPageBreak/>
        <w:t>6 Overige bepalingen</w:t>
      </w:r>
      <w:bookmarkEnd w:id="45"/>
    </w:p>
    <w:p w14:paraId="1C644924" w14:textId="66702536" w:rsidR="002B209A" w:rsidRDefault="002B209A" w:rsidP="00C32037">
      <w:pPr>
        <w:spacing w:after="0" w:line="240" w:lineRule="auto"/>
      </w:pPr>
    </w:p>
    <w:p w14:paraId="77507616" w14:textId="1BE1744E" w:rsidR="002B209A" w:rsidRDefault="002B209A" w:rsidP="00C32037">
      <w:pPr>
        <w:spacing w:after="0" w:line="240" w:lineRule="auto"/>
      </w:pPr>
      <w:r>
        <w:t xml:space="preserve">In dit hoofdstuk treft </w:t>
      </w:r>
      <w:r w:rsidR="006B0349">
        <w:t xml:space="preserve">u </w:t>
      </w:r>
      <w:r w:rsidRPr="002B209A">
        <w:t xml:space="preserve">relevante voorwaarden aan die de </w:t>
      </w:r>
      <w:r w:rsidR="006B0349">
        <w:t>A</w:t>
      </w:r>
      <w:r w:rsidRPr="002B209A">
        <w:t>anbestedende dienst stelt aan uw Inschrijving.</w:t>
      </w:r>
    </w:p>
    <w:p w14:paraId="53B98FA8" w14:textId="49337BE4" w:rsidR="002B209A" w:rsidRDefault="002B209A" w:rsidP="00C32037">
      <w:pPr>
        <w:spacing w:after="0" w:line="240" w:lineRule="auto"/>
      </w:pPr>
    </w:p>
    <w:p w14:paraId="13BFA8F6" w14:textId="77777777" w:rsidR="002B209A" w:rsidRDefault="002B209A" w:rsidP="002B209A">
      <w:pPr>
        <w:pStyle w:val="Kop2"/>
      </w:pPr>
      <w:bookmarkStart w:id="46" w:name="_Toc74563124"/>
      <w:r>
        <w:t>6.1 Voorbehoud</w:t>
      </w:r>
      <w:bookmarkEnd w:id="46"/>
    </w:p>
    <w:p w14:paraId="79DE185B" w14:textId="35329B04" w:rsidR="002B209A" w:rsidRDefault="002B209A" w:rsidP="002B209A">
      <w:pPr>
        <w:pStyle w:val="Geenafstand"/>
      </w:pPr>
      <w:r w:rsidRPr="00B936E0">
        <w:t xml:space="preserve">De in de </w:t>
      </w:r>
      <w:r w:rsidR="002C6522">
        <w:t>bijlagen als in dit aanbestedingsleidraad</w:t>
      </w:r>
      <w:r w:rsidRPr="00B936E0">
        <w:t xml:space="preserve"> gestelde eisen en vragen zijn gebaseerd op de op dit moment bekende huidige en toekomstige situatie bij de </w:t>
      </w:r>
      <w:r w:rsidR="002C6522">
        <w:t>Aanbestedende dienst</w:t>
      </w:r>
      <w:r w:rsidRPr="00B936E0">
        <w:t xml:space="preserve">. </w:t>
      </w:r>
      <w:r>
        <w:t>Inschrijver</w:t>
      </w:r>
      <w:r w:rsidRPr="00B936E0">
        <w:t>s kunnen geen en</w:t>
      </w:r>
      <w:r w:rsidR="002C6522">
        <w:t>kel recht ontlenen aan de in de</w:t>
      </w:r>
      <w:r w:rsidRPr="00B936E0">
        <w:t xml:space="preserve"> document</w:t>
      </w:r>
      <w:r w:rsidR="002C6522">
        <w:t>en</w:t>
      </w:r>
      <w:r w:rsidRPr="00B936E0">
        <w:t xml:space="preserve"> genoemde planning, aantallen, oplossingen </w:t>
      </w:r>
      <w:r w:rsidR="002C6522">
        <w:t xml:space="preserve">en/o </w:t>
      </w:r>
      <w:r w:rsidRPr="00B936E0">
        <w:t xml:space="preserve">of specificaties. Deze dienen slechts ter indicatie van de dienstverlening en als basis voor de vergelijking tussen verschillende </w:t>
      </w:r>
      <w:r>
        <w:t>Inschrijver</w:t>
      </w:r>
      <w:r w:rsidR="002C6522">
        <w:t>s. De in deze</w:t>
      </w:r>
      <w:r w:rsidRPr="00B936E0">
        <w:t xml:space="preserve"> document</w:t>
      </w:r>
      <w:r w:rsidR="002C6522">
        <w:t>en</w:t>
      </w:r>
      <w:r w:rsidRPr="00B936E0">
        <w:t xml:space="preserve"> gevraagde oplossingen</w:t>
      </w:r>
      <w:r w:rsidR="002C6522">
        <w:t>/resultaten</w:t>
      </w:r>
      <w:r w:rsidRPr="00B936E0">
        <w:t xml:space="preserve"> zijn gebaseerd op de op het moment van schrijven bekende en beschikbare technologie. Ontwikkelingen in de techniek of in de markt kunnen er voor de </w:t>
      </w:r>
      <w:r>
        <w:t>Opdrachtgever</w:t>
      </w:r>
      <w:r w:rsidRPr="00B936E0">
        <w:t xml:space="preserve"> aanleiding toe geven om van </w:t>
      </w:r>
      <w:r>
        <w:t>Inschrijver</w:t>
      </w:r>
      <w:r w:rsidRPr="00B936E0">
        <w:t>s te verlangen dat op het moment van levering van de prestatie wordt voldaan aan de dan vigerende standaarden en prestaties.</w:t>
      </w:r>
    </w:p>
    <w:p w14:paraId="7171A584" w14:textId="2EB73CD5" w:rsidR="002C6522" w:rsidRDefault="002C6522" w:rsidP="002B209A">
      <w:pPr>
        <w:pStyle w:val="Geenafstand"/>
      </w:pPr>
    </w:p>
    <w:p w14:paraId="46A59676" w14:textId="1BC0892D" w:rsidR="002C6522" w:rsidRDefault="002C6522" w:rsidP="002B209A">
      <w:pPr>
        <w:pStyle w:val="Geenafstand"/>
      </w:pPr>
      <w:bookmarkStart w:id="47" w:name="_Toc74563125"/>
      <w:r w:rsidRPr="002C6522">
        <w:rPr>
          <w:rStyle w:val="Kop2Char"/>
        </w:rPr>
        <w:t>6.2 Definitieve gunning van de Opdracht</w:t>
      </w:r>
      <w:bookmarkEnd w:id="47"/>
    </w:p>
    <w:p w14:paraId="2A8B8FF3" w14:textId="77777777" w:rsidR="002C6522" w:rsidRDefault="002C6522" w:rsidP="002C6522">
      <w:pPr>
        <w:pStyle w:val="Geenafstand"/>
      </w:pPr>
      <w:r w:rsidRPr="00B936E0">
        <w:t xml:space="preserve">Voor de </w:t>
      </w:r>
      <w:r>
        <w:t>Opdracht</w:t>
      </w:r>
      <w:r w:rsidRPr="00B936E0">
        <w:t xml:space="preserve"> komt de </w:t>
      </w:r>
      <w:r>
        <w:t>Inschrijver</w:t>
      </w:r>
      <w:r w:rsidRPr="00B936E0">
        <w:t xml:space="preserve"> alleen in aanmerking als zowel op de dag van aanbesteding als op de dag van </w:t>
      </w:r>
      <w:r>
        <w:t>Opdracht</w:t>
      </w:r>
      <w:r w:rsidRPr="00B936E0">
        <w:t>verlening wordt voldaan aan de eisen die in de Uniform Europees Aanbestedingsdocument (UEA) zijn genoemd.</w:t>
      </w:r>
    </w:p>
    <w:p w14:paraId="2858CDC2" w14:textId="405AB23E" w:rsidR="002C6522" w:rsidRDefault="002C6522" w:rsidP="002B209A">
      <w:pPr>
        <w:pStyle w:val="Geenafstand"/>
      </w:pPr>
    </w:p>
    <w:p w14:paraId="7274BE2D" w14:textId="6C0221CC" w:rsidR="002C6522" w:rsidRDefault="002C6522" w:rsidP="002C6522">
      <w:pPr>
        <w:pStyle w:val="Kop2"/>
      </w:pPr>
      <w:bookmarkStart w:id="48" w:name="_Toc74563126"/>
      <w:r>
        <w:t>6.3 Overgang rechten en plichten bij nieuwe organisatie</w:t>
      </w:r>
      <w:bookmarkEnd w:id="48"/>
    </w:p>
    <w:p w14:paraId="28D78CB1" w14:textId="2E3B9061" w:rsidR="002C6522" w:rsidRDefault="002C6522" w:rsidP="002B209A">
      <w:pPr>
        <w:pStyle w:val="Geenafstand"/>
      </w:pPr>
      <w:r w:rsidRPr="002C6522">
        <w:t>In het geval van fusies, reorganisaties of andere belangrijke bedrijfsreorganisaties bij Inschrijver op dit moment, of binnen 6 maanden na de uiterste inleverdatum, gaan de rechten en plichten betrekking hebbende op deze inschrijving en/of Opdracht over op de nieuwe organisatie.</w:t>
      </w:r>
    </w:p>
    <w:p w14:paraId="3E1EA451" w14:textId="58BB772F" w:rsidR="002C6522" w:rsidRDefault="002C6522" w:rsidP="002B209A">
      <w:pPr>
        <w:pStyle w:val="Geenafstand"/>
      </w:pPr>
    </w:p>
    <w:p w14:paraId="2AD832A6" w14:textId="5522E108" w:rsidR="000A603A" w:rsidRDefault="000A603A" w:rsidP="000A603A">
      <w:pPr>
        <w:pStyle w:val="Kop2"/>
      </w:pPr>
      <w:bookmarkStart w:id="49" w:name="_Toc74563127"/>
      <w:r>
        <w:t>6.4 Samenwerkingsverband</w:t>
      </w:r>
      <w:bookmarkEnd w:id="49"/>
    </w:p>
    <w:p w14:paraId="170AC9CC" w14:textId="77777777" w:rsidR="000A603A" w:rsidRDefault="000A603A" w:rsidP="000A603A">
      <w:pPr>
        <w:pStyle w:val="Geenafstand"/>
      </w:pPr>
      <w:r>
        <w:t xml:space="preserve">Indien een Inschrijver bestaat uit een samenwerkingsverband van ondernemers, dient iedere deelnemer aan het samenwerkingsverband afzonderlijk Bijlage 1 Uniform Europees Aanbestedingsdocument onder deel I A in te vullen en ondertekend in te dienen. </w:t>
      </w:r>
    </w:p>
    <w:p w14:paraId="13EC589A" w14:textId="77777777" w:rsidR="000A603A" w:rsidRDefault="000A603A" w:rsidP="000A603A">
      <w:pPr>
        <w:pStyle w:val="Geenafstand"/>
      </w:pPr>
      <w:r>
        <w:t xml:space="preserve">Uit de inschrijving moet tevens blijken wie de leiding heeft van het samenwerkingsverband en als verantwoordelijk gemachtigde jegens de aanbestedende dienst mag optreden. </w:t>
      </w:r>
    </w:p>
    <w:p w14:paraId="0A40A47C" w14:textId="6D0FB5FA" w:rsidR="000A603A" w:rsidRDefault="000A603A" w:rsidP="000A603A">
      <w:pPr>
        <w:pStyle w:val="Geenafstand"/>
      </w:pPr>
      <w:r>
        <w:t>Door deel te nemen aan een samenwerkingsverband en het ondertekenen van het Uniform Europees Aanbestedingsdocument, verklaart de deelnemer tevens zowel gezamenlijk als hoofdelijk aansprakelijk te zijn voor gestanddoening van de verplichtingen die voortvloeien uit de Inschrijving en, indien van toepassing, voor de volledige en juiste uitvoering van de overeenkomst.</w:t>
      </w:r>
    </w:p>
    <w:p w14:paraId="763743E5" w14:textId="77777777" w:rsidR="002C6522" w:rsidRDefault="002C6522" w:rsidP="002B209A">
      <w:pPr>
        <w:pStyle w:val="Geenafstand"/>
      </w:pPr>
    </w:p>
    <w:p w14:paraId="5724C69F" w14:textId="25433995" w:rsidR="002B209A" w:rsidRDefault="000A603A" w:rsidP="000A603A">
      <w:pPr>
        <w:pStyle w:val="Kop2"/>
      </w:pPr>
      <w:bookmarkStart w:id="50" w:name="_Toc74563128"/>
      <w:r>
        <w:t>6.5 Hoofdaannemer/onderaannemer</w:t>
      </w:r>
      <w:bookmarkEnd w:id="50"/>
    </w:p>
    <w:p w14:paraId="1F04BDCE" w14:textId="2D0F6543" w:rsidR="000A603A" w:rsidRDefault="000A603A" w:rsidP="00C32037">
      <w:pPr>
        <w:spacing w:after="0" w:line="240" w:lineRule="auto"/>
      </w:pPr>
      <w:r w:rsidRPr="000A603A">
        <w:t>In deze constructie treedt de hoofdaannemer op als contractpartij en is hoofdelijk aansprakelijk voor het nakomen van de verplichtingen als ook voor de verplichtingen die in onder</w:t>
      </w:r>
      <w:r w:rsidR="007E01EF">
        <w:t>-</w:t>
      </w:r>
      <w:r w:rsidRPr="000A603A">
        <w:t xml:space="preserve">aanneming worden gegeven. De documenten en gegevens, waar in dit aanbestedingsdocument wordt gevraagd, dienen ingeleverd te worden door de hoofdaannemer, waarbij (indien gewenst) gebruik gemaakt kan worden van de gegevens van de onderaannemer(s). De hoofdaannemer is bij deze constructie volledig aansprakelijk voor de gestanddoening van de verplichtingen voortvloeiend uit de aanmelding en de eventuele inschrijving alsmede de eventuele uitvoering van het contract. De hoofdaannemer is ook </w:t>
      </w:r>
      <w:bookmarkStart w:id="51" w:name="_GoBack"/>
      <w:bookmarkEnd w:id="51"/>
      <w:r w:rsidRPr="000A603A">
        <w:t>aansprakelijk voor de nakoming van de verplichtingen van de door haar ingeschakelde onderaan</w:t>
      </w:r>
      <w:r w:rsidRPr="000A603A">
        <w:lastRenderedPageBreak/>
        <w:t>nemer(s). Indien wordt aangemeld als hoofdaannemer/onderaannemer dienen alle gevraagde documenten door de hoofdaannemer ingediend te worden onder vermelding van de organisatie waarvan deze afkomstig zijn.</w:t>
      </w:r>
    </w:p>
    <w:p w14:paraId="3684A4BA" w14:textId="099C10D7" w:rsidR="000A603A" w:rsidRDefault="000A603A" w:rsidP="00C32037">
      <w:pPr>
        <w:spacing w:after="0" w:line="240" w:lineRule="auto"/>
      </w:pPr>
    </w:p>
    <w:p w14:paraId="433ECF96" w14:textId="79C48A35" w:rsidR="000A603A" w:rsidRDefault="000A603A" w:rsidP="00931F11">
      <w:pPr>
        <w:pStyle w:val="Kop2"/>
      </w:pPr>
      <w:bookmarkStart w:id="52" w:name="_Toc74563129"/>
      <w:r>
        <w:t>6.6 Een inschrijving per onderneming (rechtspersoon)</w:t>
      </w:r>
      <w:bookmarkEnd w:id="52"/>
    </w:p>
    <w:p w14:paraId="4AD34F31" w14:textId="390B47E4" w:rsidR="000A603A" w:rsidRDefault="000A603A" w:rsidP="00C32037">
      <w:pPr>
        <w:spacing w:after="0" w:line="240" w:lineRule="auto"/>
      </w:pPr>
      <w:r w:rsidRPr="000A603A">
        <w:t>Een natuurlijk persoon of rechtspersoon kan slechts éénmaal, hetzij individueel, hetzij in combinatie (een samenwerkingsverband van ondernemers) op deze aanbesteding inschrijven. Indien de aanbesteder constateert dat is ingeschreven in strijd met het vorenstaande, zijn alle inschrijvingen van de betreffende ondernemer ongeldig.</w:t>
      </w:r>
    </w:p>
    <w:p w14:paraId="4D097C8E" w14:textId="0272ED67" w:rsidR="000A603A" w:rsidRDefault="000A603A" w:rsidP="00C32037">
      <w:pPr>
        <w:spacing w:after="0" w:line="240" w:lineRule="auto"/>
      </w:pPr>
    </w:p>
    <w:p w14:paraId="0E0A360D" w14:textId="4C35C55E" w:rsidR="000A603A" w:rsidRDefault="000A603A" w:rsidP="00931F11">
      <w:pPr>
        <w:pStyle w:val="Kop2"/>
      </w:pPr>
      <w:bookmarkStart w:id="53" w:name="_Toc74563130"/>
      <w:r>
        <w:t>6.7 Taal</w:t>
      </w:r>
      <w:bookmarkEnd w:id="53"/>
    </w:p>
    <w:p w14:paraId="45E18FD3" w14:textId="06ED1465" w:rsidR="000A603A" w:rsidRDefault="000A603A" w:rsidP="00C32037">
      <w:pPr>
        <w:spacing w:after="0" w:line="240" w:lineRule="auto"/>
      </w:pPr>
      <w:r w:rsidRPr="000A603A">
        <w:t>De voertaal in de aanbestedingsstukken, tijdens de aanbestedingsprocedure alsmede bij de uitvoering van de overeenkomst is de Nederlandse taal. Door Inschrijvers in te dienen stukken moeten in de Nederlandse taal gesteld zijn. Eventuele vertaalkosten zijn voor rekening van Inschrijver.</w:t>
      </w:r>
    </w:p>
    <w:p w14:paraId="2E3E6A1F" w14:textId="77777777" w:rsidR="000A603A" w:rsidRDefault="000A603A" w:rsidP="00C32037">
      <w:pPr>
        <w:spacing w:after="0" w:line="240" w:lineRule="auto"/>
      </w:pPr>
    </w:p>
    <w:p w14:paraId="7AF4E729" w14:textId="3DDF25ED" w:rsidR="000A603A" w:rsidRDefault="000A603A" w:rsidP="00931F11">
      <w:pPr>
        <w:pStyle w:val="Kop2"/>
      </w:pPr>
      <w:bookmarkStart w:id="54" w:name="_Toc74563131"/>
      <w:r>
        <w:t>6.8 Gebruik specifieke merknamen en/of certificaten</w:t>
      </w:r>
      <w:bookmarkEnd w:id="54"/>
    </w:p>
    <w:p w14:paraId="34BEC56C" w14:textId="2708003A" w:rsidR="000A603A" w:rsidRDefault="000A603A" w:rsidP="00C32037">
      <w:pPr>
        <w:spacing w:after="0" w:line="240" w:lineRule="auto"/>
      </w:pPr>
      <w:r w:rsidRPr="000A603A">
        <w:t xml:space="preserve">Daar waar in dit bestek merken, octrooien, typen, een bepaalde oorsprong of productie en/of een bepaalde normering of certificering wordt genoemd, dient gelezen te worden: “of daarmee overeenstemmend c.q. gelijkwaardig”. Bij twijfel over de gelijkwaardigheid dient Inschrijver middels een vraag bij de Nota van Inlichtingen navraag hierover te doen bij de </w:t>
      </w:r>
      <w:r w:rsidR="00931F11">
        <w:t>A</w:t>
      </w:r>
      <w:r w:rsidRPr="000A603A">
        <w:t>anbestedende dienst.</w:t>
      </w:r>
    </w:p>
    <w:p w14:paraId="4836D93A" w14:textId="77777777" w:rsidR="000A603A" w:rsidRDefault="000A603A" w:rsidP="00C32037">
      <w:pPr>
        <w:spacing w:after="0" w:line="240" w:lineRule="auto"/>
      </w:pPr>
    </w:p>
    <w:p w14:paraId="0623D315" w14:textId="10A0E373" w:rsidR="000A603A" w:rsidRDefault="000A603A" w:rsidP="00931F11">
      <w:pPr>
        <w:pStyle w:val="Kop2"/>
      </w:pPr>
      <w:bookmarkStart w:id="55" w:name="_Toc74563132"/>
      <w:r>
        <w:t>6.9 Afwijkende prijsniveaus</w:t>
      </w:r>
      <w:bookmarkEnd w:id="55"/>
    </w:p>
    <w:p w14:paraId="07425ADE" w14:textId="3E3D6DCA" w:rsidR="000A603A" w:rsidRDefault="000A603A" w:rsidP="00C32037">
      <w:pPr>
        <w:spacing w:after="0" w:line="240" w:lineRule="auto"/>
      </w:pPr>
      <w:r w:rsidRPr="000A603A">
        <w:t>Indien een inschrijving is gedaan die in verhouding tot de te verrichten Opdracht abnormaal laag lijkt, verzoekt de aanbestedende dienst, voordat hij deze inschrijving kan afwijzen, schriftelijk om de door hem nodig geachte verduidelijkingen over de samenst</w:t>
      </w:r>
      <w:r>
        <w:t>elling van de inschrijving. De A</w:t>
      </w:r>
      <w:r w:rsidRPr="000A603A">
        <w:t>anbestedende dienst onderzoekt in overleg met de Inschrijver de samenstelling aan de hand van de ontvangen toelichtingen.</w:t>
      </w:r>
    </w:p>
    <w:p w14:paraId="6BA64ACC" w14:textId="1C52BD8B" w:rsidR="000A603A" w:rsidRDefault="000A603A" w:rsidP="00C32037">
      <w:pPr>
        <w:spacing w:after="0" w:line="240" w:lineRule="auto"/>
      </w:pPr>
    </w:p>
    <w:p w14:paraId="2D3E2FED" w14:textId="7F0EF745" w:rsidR="000A603A" w:rsidRDefault="000A603A" w:rsidP="00931F11">
      <w:pPr>
        <w:pStyle w:val="Kop2"/>
      </w:pPr>
      <w:bookmarkStart w:id="56" w:name="_Toc74563133"/>
      <w:r>
        <w:t>6.10 Afbreken aanbesteding</w:t>
      </w:r>
      <w:bookmarkEnd w:id="56"/>
    </w:p>
    <w:p w14:paraId="7C31103E" w14:textId="67932F30" w:rsidR="000A603A" w:rsidRDefault="000A603A" w:rsidP="00C32037">
      <w:pPr>
        <w:spacing w:after="0" w:line="240" w:lineRule="auto"/>
      </w:pPr>
      <w:r w:rsidRPr="000A603A">
        <w:t xml:space="preserve">De </w:t>
      </w:r>
      <w:r w:rsidR="00931F11">
        <w:t>A</w:t>
      </w:r>
      <w:r w:rsidRPr="000A603A">
        <w:t>anbestedende dienst behoudt zich te allen tijde het recht voor niet tot gunning over te gaan en de aanbestedingsprocedure tussentijds eenzijdig te beëindigen, zonder gehouden te zijn tot enige vorm van schadevergoeding. Een reden voor afbreken kan bijvoorbeeld zijn dat politiek draagvlak en/of financieel budget komt te ontbreken. Inschrijvers ontvangen schriftelijk bericht van de Aanbestedende dienst over het niet doorgaan van de aanbestedingsprocedure het niet gunnen.</w:t>
      </w:r>
    </w:p>
    <w:p w14:paraId="3408BF0C" w14:textId="78332DDD" w:rsidR="000A603A" w:rsidRDefault="000A603A" w:rsidP="00C32037">
      <w:pPr>
        <w:spacing w:after="0" w:line="240" w:lineRule="auto"/>
      </w:pPr>
    </w:p>
    <w:p w14:paraId="6114CD3D" w14:textId="5EA682B1" w:rsidR="000A603A" w:rsidRDefault="000A603A" w:rsidP="00931F11">
      <w:pPr>
        <w:pStyle w:val="Kop2"/>
      </w:pPr>
      <w:bookmarkStart w:id="57" w:name="_Toc74563134"/>
      <w:r>
        <w:t>6.1</w:t>
      </w:r>
      <w:r w:rsidR="00D906F8">
        <w:t>1</w:t>
      </w:r>
      <w:r>
        <w:t xml:space="preserve"> Nederlands recht/geschillen</w:t>
      </w:r>
      <w:bookmarkEnd w:id="57"/>
    </w:p>
    <w:p w14:paraId="3DF8CE18" w14:textId="77777777" w:rsidR="00931F11" w:rsidRDefault="00931F11" w:rsidP="00931F11">
      <w:pPr>
        <w:spacing w:after="0" w:line="240" w:lineRule="auto"/>
      </w:pPr>
      <w:r>
        <w:t xml:space="preserve">Op deze Europese aanbesteding is het Nederlands recht van toepassing. Geschillen voortvloeiende uit of verband houdende met de aanbesteding en/of de overeenkomst(en) die daarmee samenhangen, dienen in eerste aanleg te worden voorgelegd aan de Voorzieningenrechter van de Rechtbank te Rotterdam. Geschillen dienen </w:t>
      </w:r>
      <w:r w:rsidRPr="00931F11">
        <w:rPr>
          <w:u w:val="single"/>
        </w:rPr>
        <w:t>uiterlijk binnen 20 kalenderdage</w:t>
      </w:r>
      <w:r>
        <w:t>n na dagtekening van het gunningvoornemen aanhangig te worden gemaakt, op straffe van niet ontvankelijkheid, onverminderd eventueel eerder verval of verwerking van rechten.</w:t>
      </w:r>
    </w:p>
    <w:p w14:paraId="0D074A0F" w14:textId="77777777" w:rsidR="00931F11" w:rsidRDefault="00931F11" w:rsidP="00931F11">
      <w:pPr>
        <w:spacing w:after="0" w:line="240" w:lineRule="auto"/>
      </w:pPr>
    </w:p>
    <w:p w14:paraId="48FAB3BE" w14:textId="6FDA3E13" w:rsidR="00931F11" w:rsidRDefault="00931F11" w:rsidP="00931F11">
      <w:pPr>
        <w:spacing w:after="0" w:line="240" w:lineRule="auto"/>
      </w:pPr>
      <w:r>
        <w:t xml:space="preserve">Indien een Inschrijver een geschil voortvloeiende uit of verband houdende met de aanbesteding aanhangig maakt, dient die Inschrijver onverwijld een kopie van de dagvaarding aan de in </w:t>
      </w:r>
      <w:r w:rsidRPr="00931F11">
        <w:rPr>
          <w:i/>
        </w:rPr>
        <w:t>paragraaf 1.1</w:t>
      </w:r>
      <w:r>
        <w:t xml:space="preserve"> genoemde contactpersoon te mailen, onverminderd overige verplichtingen op grond van (onder meer) het Wetboek van Burgerlijke Rechtsvordering.</w:t>
      </w:r>
    </w:p>
    <w:p w14:paraId="539B322C" w14:textId="76871756" w:rsidR="00B17BAB" w:rsidRDefault="00B17BAB" w:rsidP="00B17BAB">
      <w:pPr>
        <w:pStyle w:val="Kop1"/>
        <w:jc w:val="center"/>
      </w:pPr>
      <w:bookmarkStart w:id="58" w:name="_Toc74563135"/>
      <w:r>
        <w:lastRenderedPageBreak/>
        <w:t>Slotwoord</w:t>
      </w:r>
      <w:bookmarkEnd w:id="58"/>
    </w:p>
    <w:p w14:paraId="37973CA6" w14:textId="1129F9D3" w:rsidR="00B17BAB" w:rsidRDefault="00B17BAB" w:rsidP="00931F11">
      <w:pPr>
        <w:spacing w:after="0" w:line="240" w:lineRule="auto"/>
      </w:pPr>
    </w:p>
    <w:p w14:paraId="1261CC87" w14:textId="358FD508" w:rsidR="00B17BAB" w:rsidRDefault="00B17BAB" w:rsidP="00931F11">
      <w:pPr>
        <w:spacing w:after="0" w:line="240" w:lineRule="auto"/>
      </w:pPr>
      <w:r w:rsidRPr="00B17BAB">
        <w:t>Wij willen u bij voorbaat hartelijk danken voor de genomen moeite om deze aanbestedingsleidraad door te nemen. Indien u na het lezen van dit document wenst deel te nemen aan deze aanbestedingsprocedure, dan wensen u veel succes en plezier met het samenstellen van uw Inschrijving en zien wij uw inschrijving graag tegemoet!</w:t>
      </w:r>
    </w:p>
    <w:sectPr w:rsidR="00B17BAB">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6FEA1" w14:textId="77777777" w:rsidR="00DB3B9C" w:rsidRDefault="00DB3B9C" w:rsidP="00D67BE7">
      <w:pPr>
        <w:spacing w:after="0" w:line="240" w:lineRule="auto"/>
      </w:pPr>
      <w:r>
        <w:separator/>
      </w:r>
    </w:p>
  </w:endnote>
  <w:endnote w:type="continuationSeparator" w:id="0">
    <w:p w14:paraId="57157BB5" w14:textId="77777777" w:rsidR="00DB3B9C" w:rsidRDefault="00DB3B9C" w:rsidP="00D67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B2"/>
    <w:family w:val="swiss"/>
    <w:notTrueType/>
    <w:pitch w:val="default"/>
    <w:sig w:usb0="00002003" w:usb1="08070000" w:usb2="00000010" w:usb3="00000000" w:csb0="0002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248105426"/>
      <w:docPartObj>
        <w:docPartGallery w:val="Page Numbers (Bottom of Page)"/>
        <w:docPartUnique/>
      </w:docPartObj>
    </w:sdtPr>
    <w:sdtContent>
      <w:p w14:paraId="3BC4E99C" w14:textId="23F1E979" w:rsidR="00DB3B9C" w:rsidRPr="009C6680" w:rsidRDefault="00DB3B9C">
        <w:pPr>
          <w:pStyle w:val="Voettekst"/>
          <w:rPr>
            <w:sz w:val="18"/>
            <w:szCs w:val="18"/>
          </w:rPr>
        </w:pPr>
        <w:r w:rsidRPr="009C6680">
          <w:rPr>
            <w:noProof/>
            <w:sz w:val="18"/>
            <w:szCs w:val="18"/>
            <w:lang w:eastAsia="nl-NL"/>
          </w:rPr>
          <mc:AlternateContent>
            <mc:Choice Requires="wps">
              <w:drawing>
                <wp:anchor distT="0" distB="0" distL="114300" distR="114300" simplePos="0" relativeHeight="251659264" behindDoc="0" locked="0" layoutInCell="1" allowOverlap="1" wp14:anchorId="23CE0CE5" wp14:editId="6CD6B4FF">
                  <wp:simplePos x="0" y="0"/>
                  <wp:positionH relativeFrom="rightMargin">
                    <wp:align>center</wp:align>
                  </wp:positionH>
                  <wp:positionV relativeFrom="bottomMargin">
                    <wp:align>center</wp:align>
                  </wp:positionV>
                  <wp:extent cx="565785" cy="1917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2D178F2" w14:textId="49A4E232" w:rsidR="00DB3B9C" w:rsidRDefault="00DB3B9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55474" w:rsidRPr="00055474">
                                <w:rPr>
                                  <w:noProof/>
                                  <w:color w:val="ED7D31" w:themeColor="accent2"/>
                                </w:rPr>
                                <w:t>22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3CE0CE5" id="Rechthoek 3"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" filled="f" fillcolor="#c0504d" stroked="f" strokecolor="#5c83b4" strokeweight="2.25pt">
                  <v:textbox inset=",0,,0">
                    <w:txbxContent>
                      <w:p w14:paraId="32D178F2" w14:textId="49A4E232" w:rsidR="00DB3B9C" w:rsidRDefault="00DB3B9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055474" w:rsidRPr="00055474">
                          <w:rPr>
                            <w:noProof/>
                            <w:color w:val="ED7D31" w:themeColor="accent2"/>
                          </w:rPr>
                          <w:t>22</w:t>
                        </w:r>
                        <w:r>
                          <w:rPr>
                            <w:color w:val="ED7D31" w:themeColor="accent2"/>
                          </w:rPr>
                          <w:fldChar w:fldCharType="end"/>
                        </w:r>
                      </w:p>
                    </w:txbxContent>
                  </v:textbox>
                  <w10:wrap anchorx="margin" anchory="margin"/>
                </v:rect>
              </w:pict>
            </mc:Fallback>
          </mc:AlternateContent>
        </w:r>
        <w:r w:rsidRPr="009C6680">
          <w:rPr>
            <w:sz w:val="18"/>
            <w:szCs w:val="18"/>
          </w:rPr>
          <w:t>Aanbestedingsleidraad Levering</w:t>
        </w:r>
        <w:r>
          <w:rPr>
            <w:sz w:val="18"/>
            <w:szCs w:val="18"/>
          </w:rPr>
          <w:t xml:space="preserve"> duurzame</w:t>
        </w:r>
        <w:r w:rsidRPr="009C6680">
          <w:rPr>
            <w:sz w:val="18"/>
            <w:szCs w:val="18"/>
          </w:rPr>
          <w:t xml:space="preserve"> </w:t>
        </w:r>
        <w:r>
          <w:rPr>
            <w:sz w:val="18"/>
            <w:szCs w:val="18"/>
          </w:rPr>
          <w:t>Elektriciteit en Aardgas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2B918" w14:textId="77777777" w:rsidR="00DB3B9C" w:rsidRDefault="00DB3B9C" w:rsidP="00D67BE7">
      <w:pPr>
        <w:spacing w:after="0" w:line="240" w:lineRule="auto"/>
      </w:pPr>
      <w:r>
        <w:separator/>
      </w:r>
    </w:p>
  </w:footnote>
  <w:footnote w:type="continuationSeparator" w:id="0">
    <w:p w14:paraId="1B9A142D" w14:textId="77777777" w:rsidR="00DB3B9C" w:rsidRDefault="00DB3B9C" w:rsidP="00D67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8DBC7" w14:textId="0A86E9FC" w:rsidR="00DB3B9C" w:rsidRDefault="00DB3B9C">
    <w:pPr>
      <w:pStyle w:val="Koptekst"/>
    </w:pPr>
    <w:r>
      <w:rPr>
        <w:noProof/>
        <w:lang w:eastAsia="nl-NL"/>
      </w:rPr>
      <w:drawing>
        <wp:inline distT="0" distB="0" distL="0" distR="0" wp14:anchorId="0782BA67" wp14:editId="3D35B352">
          <wp:extent cx="5365115" cy="646430"/>
          <wp:effectExtent l="0" t="0" r="6985"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115" cy="646430"/>
                  </a:xfrm>
                  <a:prstGeom prst="rect">
                    <a:avLst/>
                  </a:prstGeom>
                  <a:noFill/>
                </pic:spPr>
              </pic:pic>
            </a:graphicData>
          </a:graphic>
        </wp:inline>
      </w:drawing>
    </w:r>
  </w:p>
  <w:p w14:paraId="589ECB19" w14:textId="77777777" w:rsidR="00DB3B9C" w:rsidRDefault="00DB3B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300"/>
    <w:multiLevelType w:val="hybridMultilevel"/>
    <w:tmpl w:val="9CD2C82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6E745E"/>
    <w:multiLevelType w:val="hybridMultilevel"/>
    <w:tmpl w:val="23000F2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4A3B9B"/>
    <w:multiLevelType w:val="hybridMultilevel"/>
    <w:tmpl w:val="6EA2A2C8"/>
    <w:lvl w:ilvl="0" w:tplc="E45A01DA">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AF2B0D"/>
    <w:multiLevelType w:val="hybridMultilevel"/>
    <w:tmpl w:val="76C86F2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0AB1DAD"/>
    <w:multiLevelType w:val="hybridMultilevel"/>
    <w:tmpl w:val="5A44566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1255BBE"/>
    <w:multiLevelType w:val="hybridMultilevel"/>
    <w:tmpl w:val="A8E267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FB4A69"/>
    <w:multiLevelType w:val="hybridMultilevel"/>
    <w:tmpl w:val="DDC2120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D503274"/>
    <w:multiLevelType w:val="hybridMultilevel"/>
    <w:tmpl w:val="937200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20DD1"/>
    <w:multiLevelType w:val="hybridMultilevel"/>
    <w:tmpl w:val="EEFE1C6E"/>
    <w:lvl w:ilvl="0" w:tplc="057E1BBA">
      <w:start w:val="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6A3C42"/>
    <w:multiLevelType w:val="hybridMultilevel"/>
    <w:tmpl w:val="DFA41A66"/>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D7173E3"/>
    <w:multiLevelType w:val="hybridMultilevel"/>
    <w:tmpl w:val="5C84D1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E80F02"/>
    <w:multiLevelType w:val="multilevel"/>
    <w:tmpl w:val="BBB8F05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87C20D5"/>
    <w:multiLevelType w:val="hybridMultilevel"/>
    <w:tmpl w:val="24FC5F68"/>
    <w:lvl w:ilvl="0" w:tplc="2C80726C">
      <w:start w:val="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D390325"/>
    <w:multiLevelType w:val="hybridMultilevel"/>
    <w:tmpl w:val="C53AD7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3F3D39AB"/>
    <w:multiLevelType w:val="hybridMultilevel"/>
    <w:tmpl w:val="36B406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735E81"/>
    <w:multiLevelType w:val="hybridMultilevel"/>
    <w:tmpl w:val="F0188B60"/>
    <w:lvl w:ilvl="0" w:tplc="3B160E7C">
      <w:start w:val="15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066F95"/>
    <w:multiLevelType w:val="hybridMultilevel"/>
    <w:tmpl w:val="1966BB8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0FC3D19"/>
    <w:multiLevelType w:val="hybridMultilevel"/>
    <w:tmpl w:val="638C7C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56F6D63"/>
    <w:multiLevelType w:val="multilevel"/>
    <w:tmpl w:val="FD3682B0"/>
    <w:lvl w:ilvl="0">
      <w:start w:val="1"/>
      <w:numFmt w:val="decimal"/>
      <w:lvlText w:val="%1."/>
      <w:lvlJc w:val="left"/>
      <w:pPr>
        <w:ind w:left="720" w:hanging="360"/>
      </w:pPr>
      <w:rPr>
        <w:rFonts w:hint="default"/>
      </w:rPr>
    </w:lvl>
    <w:lvl w:ilvl="1">
      <w:start w:val="2"/>
      <w:numFmt w:val="decimal"/>
      <w:isLgl/>
      <w:lvlText w:val="%1.%2."/>
      <w:lvlJc w:val="left"/>
      <w:pPr>
        <w:ind w:left="910" w:hanging="55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5C76A2"/>
    <w:multiLevelType w:val="hybridMultilevel"/>
    <w:tmpl w:val="A3509C8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D85301E"/>
    <w:multiLevelType w:val="hybridMultilevel"/>
    <w:tmpl w:val="77A2F26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4160ECE"/>
    <w:multiLevelType w:val="hybridMultilevel"/>
    <w:tmpl w:val="D42AD366"/>
    <w:lvl w:ilvl="0" w:tplc="3DC878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BF361E"/>
    <w:multiLevelType w:val="hybridMultilevel"/>
    <w:tmpl w:val="CD06E5F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E7A32C4"/>
    <w:multiLevelType w:val="hybridMultilevel"/>
    <w:tmpl w:val="DFF207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09C142B"/>
    <w:multiLevelType w:val="hybridMultilevel"/>
    <w:tmpl w:val="B3681BB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3C24B45"/>
    <w:multiLevelType w:val="hybridMultilevel"/>
    <w:tmpl w:val="6AE8E5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BC2EFA"/>
    <w:multiLevelType w:val="hybridMultilevel"/>
    <w:tmpl w:val="DA1AD55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7" w15:restartNumberingAfterBreak="0">
    <w:nsid w:val="6EB67E12"/>
    <w:multiLevelType w:val="hybridMultilevel"/>
    <w:tmpl w:val="937200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FDB72F8"/>
    <w:multiLevelType w:val="hybridMultilevel"/>
    <w:tmpl w:val="C05CFAA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4E661E9"/>
    <w:multiLevelType w:val="hybridMultilevel"/>
    <w:tmpl w:val="F4EEE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6C523CC"/>
    <w:multiLevelType w:val="hybridMultilevel"/>
    <w:tmpl w:val="446A29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6CF3FD0"/>
    <w:multiLevelType w:val="hybridMultilevel"/>
    <w:tmpl w:val="617092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664A84"/>
    <w:multiLevelType w:val="hybridMultilevel"/>
    <w:tmpl w:val="F60A7702"/>
    <w:lvl w:ilvl="0" w:tplc="097C47AC">
      <w:start w:val="15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E0A2BA9"/>
    <w:multiLevelType w:val="hybridMultilevel"/>
    <w:tmpl w:val="504252F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11"/>
  </w:num>
  <w:num w:numId="4">
    <w:abstractNumId w:val="16"/>
  </w:num>
  <w:num w:numId="5">
    <w:abstractNumId w:val="1"/>
  </w:num>
  <w:num w:numId="6">
    <w:abstractNumId w:val="3"/>
  </w:num>
  <w:num w:numId="7">
    <w:abstractNumId w:val="4"/>
  </w:num>
  <w:num w:numId="8">
    <w:abstractNumId w:val="24"/>
  </w:num>
  <w:num w:numId="9">
    <w:abstractNumId w:val="6"/>
  </w:num>
  <w:num w:numId="10">
    <w:abstractNumId w:val="21"/>
  </w:num>
  <w:num w:numId="11">
    <w:abstractNumId w:val="22"/>
  </w:num>
  <w:num w:numId="12">
    <w:abstractNumId w:val="28"/>
  </w:num>
  <w:num w:numId="13">
    <w:abstractNumId w:val="23"/>
  </w:num>
  <w:num w:numId="14">
    <w:abstractNumId w:val="19"/>
  </w:num>
  <w:num w:numId="15">
    <w:abstractNumId w:val="25"/>
  </w:num>
  <w:num w:numId="16">
    <w:abstractNumId w:val="10"/>
  </w:num>
  <w:num w:numId="17">
    <w:abstractNumId w:val="31"/>
  </w:num>
  <w:num w:numId="18">
    <w:abstractNumId w:val="14"/>
  </w:num>
  <w:num w:numId="19">
    <w:abstractNumId w:val="18"/>
  </w:num>
  <w:num w:numId="20">
    <w:abstractNumId w:val="8"/>
  </w:num>
  <w:num w:numId="21">
    <w:abstractNumId w:val="12"/>
  </w:num>
  <w:num w:numId="22">
    <w:abstractNumId w:val="26"/>
  </w:num>
  <w:num w:numId="23">
    <w:abstractNumId w:val="13"/>
  </w:num>
  <w:num w:numId="24">
    <w:abstractNumId w:val="20"/>
  </w:num>
  <w:num w:numId="25">
    <w:abstractNumId w:val="32"/>
  </w:num>
  <w:num w:numId="26">
    <w:abstractNumId w:val="15"/>
  </w:num>
  <w:num w:numId="27">
    <w:abstractNumId w:val="27"/>
  </w:num>
  <w:num w:numId="28">
    <w:abstractNumId w:val="7"/>
  </w:num>
  <w:num w:numId="29">
    <w:abstractNumId w:val="5"/>
  </w:num>
  <w:num w:numId="30">
    <w:abstractNumId w:val="29"/>
  </w:num>
  <w:num w:numId="31">
    <w:abstractNumId w:val="30"/>
  </w:num>
  <w:num w:numId="32">
    <w:abstractNumId w:val="9"/>
  </w:num>
  <w:num w:numId="33">
    <w:abstractNumId w:val="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6BB"/>
    <w:rsid w:val="00003F1D"/>
    <w:rsid w:val="0000441C"/>
    <w:rsid w:val="00004718"/>
    <w:rsid w:val="00010565"/>
    <w:rsid w:val="0002009E"/>
    <w:rsid w:val="0002174A"/>
    <w:rsid w:val="0003355E"/>
    <w:rsid w:val="00041A7A"/>
    <w:rsid w:val="00043D6A"/>
    <w:rsid w:val="00043E65"/>
    <w:rsid w:val="000471EB"/>
    <w:rsid w:val="000478CD"/>
    <w:rsid w:val="00055474"/>
    <w:rsid w:val="000613CF"/>
    <w:rsid w:val="0006150A"/>
    <w:rsid w:val="00061BCE"/>
    <w:rsid w:val="00064D38"/>
    <w:rsid w:val="00070249"/>
    <w:rsid w:val="00074980"/>
    <w:rsid w:val="00075BF8"/>
    <w:rsid w:val="00077E38"/>
    <w:rsid w:val="00080A72"/>
    <w:rsid w:val="00082598"/>
    <w:rsid w:val="00091953"/>
    <w:rsid w:val="00092F1C"/>
    <w:rsid w:val="000A603A"/>
    <w:rsid w:val="000B0088"/>
    <w:rsid w:val="000B4394"/>
    <w:rsid w:val="000B442F"/>
    <w:rsid w:val="000B6D87"/>
    <w:rsid w:val="000B6EE2"/>
    <w:rsid w:val="000B6EE6"/>
    <w:rsid w:val="000B7379"/>
    <w:rsid w:val="000C1213"/>
    <w:rsid w:val="000C1427"/>
    <w:rsid w:val="000C413B"/>
    <w:rsid w:val="000C6BC3"/>
    <w:rsid w:val="000D002C"/>
    <w:rsid w:val="000D1F56"/>
    <w:rsid w:val="000E0AAF"/>
    <w:rsid w:val="000E0DBC"/>
    <w:rsid w:val="000E6AEF"/>
    <w:rsid w:val="000F36D5"/>
    <w:rsid w:val="00103733"/>
    <w:rsid w:val="001037E7"/>
    <w:rsid w:val="00111350"/>
    <w:rsid w:val="00113CEE"/>
    <w:rsid w:val="001210D1"/>
    <w:rsid w:val="00123ECA"/>
    <w:rsid w:val="00135461"/>
    <w:rsid w:val="00137146"/>
    <w:rsid w:val="00141140"/>
    <w:rsid w:val="001422C4"/>
    <w:rsid w:val="00142AB8"/>
    <w:rsid w:val="001532E0"/>
    <w:rsid w:val="001546D4"/>
    <w:rsid w:val="0015530A"/>
    <w:rsid w:val="001557F4"/>
    <w:rsid w:val="00164A65"/>
    <w:rsid w:val="00167644"/>
    <w:rsid w:val="00170DEF"/>
    <w:rsid w:val="00170FB7"/>
    <w:rsid w:val="0017127E"/>
    <w:rsid w:val="00177DB7"/>
    <w:rsid w:val="00180F26"/>
    <w:rsid w:val="001872C1"/>
    <w:rsid w:val="001963A3"/>
    <w:rsid w:val="001A40AA"/>
    <w:rsid w:val="001A727F"/>
    <w:rsid w:val="001A762F"/>
    <w:rsid w:val="001B31CA"/>
    <w:rsid w:val="001B348E"/>
    <w:rsid w:val="001C1BB2"/>
    <w:rsid w:val="001C6607"/>
    <w:rsid w:val="001C6CBE"/>
    <w:rsid w:val="001D2103"/>
    <w:rsid w:val="001D5961"/>
    <w:rsid w:val="001E0A98"/>
    <w:rsid w:val="001E31CD"/>
    <w:rsid w:val="001E5A0A"/>
    <w:rsid w:val="001E7F5A"/>
    <w:rsid w:val="001F1E9D"/>
    <w:rsid w:val="001F5534"/>
    <w:rsid w:val="00200617"/>
    <w:rsid w:val="00201D2A"/>
    <w:rsid w:val="00212915"/>
    <w:rsid w:val="00213774"/>
    <w:rsid w:val="00221B31"/>
    <w:rsid w:val="0022369E"/>
    <w:rsid w:val="00227B46"/>
    <w:rsid w:val="002314A3"/>
    <w:rsid w:val="002341E7"/>
    <w:rsid w:val="00242D67"/>
    <w:rsid w:val="00242F4A"/>
    <w:rsid w:val="002437E6"/>
    <w:rsid w:val="002531F0"/>
    <w:rsid w:val="002656C8"/>
    <w:rsid w:val="00270999"/>
    <w:rsid w:val="00275494"/>
    <w:rsid w:val="00281C4B"/>
    <w:rsid w:val="002828F1"/>
    <w:rsid w:val="00283818"/>
    <w:rsid w:val="00285E83"/>
    <w:rsid w:val="00290336"/>
    <w:rsid w:val="0029339D"/>
    <w:rsid w:val="002953A4"/>
    <w:rsid w:val="00296E15"/>
    <w:rsid w:val="002A1C92"/>
    <w:rsid w:val="002B107C"/>
    <w:rsid w:val="002B209A"/>
    <w:rsid w:val="002B4512"/>
    <w:rsid w:val="002C07BD"/>
    <w:rsid w:val="002C35A5"/>
    <w:rsid w:val="002C5C3B"/>
    <w:rsid w:val="002C6522"/>
    <w:rsid w:val="002D183C"/>
    <w:rsid w:val="002D320A"/>
    <w:rsid w:val="002D3A47"/>
    <w:rsid w:val="002D5CE9"/>
    <w:rsid w:val="002E4173"/>
    <w:rsid w:val="002E6564"/>
    <w:rsid w:val="002F419E"/>
    <w:rsid w:val="002F48D2"/>
    <w:rsid w:val="003062DE"/>
    <w:rsid w:val="00310897"/>
    <w:rsid w:val="00311729"/>
    <w:rsid w:val="00316E2A"/>
    <w:rsid w:val="00317F01"/>
    <w:rsid w:val="0032381B"/>
    <w:rsid w:val="00324ACB"/>
    <w:rsid w:val="003317D1"/>
    <w:rsid w:val="00335127"/>
    <w:rsid w:val="00336689"/>
    <w:rsid w:val="00342C2E"/>
    <w:rsid w:val="0035022E"/>
    <w:rsid w:val="003511C0"/>
    <w:rsid w:val="00360AF8"/>
    <w:rsid w:val="00360B94"/>
    <w:rsid w:val="003627AB"/>
    <w:rsid w:val="00362894"/>
    <w:rsid w:val="00363B03"/>
    <w:rsid w:val="00366CDC"/>
    <w:rsid w:val="0037145F"/>
    <w:rsid w:val="00376268"/>
    <w:rsid w:val="003762AF"/>
    <w:rsid w:val="00381840"/>
    <w:rsid w:val="00385758"/>
    <w:rsid w:val="00387DF3"/>
    <w:rsid w:val="00393C5C"/>
    <w:rsid w:val="00394EAE"/>
    <w:rsid w:val="003A02D0"/>
    <w:rsid w:val="003A0390"/>
    <w:rsid w:val="003A0A12"/>
    <w:rsid w:val="003A0D6A"/>
    <w:rsid w:val="003A20CF"/>
    <w:rsid w:val="003A516D"/>
    <w:rsid w:val="003A5B16"/>
    <w:rsid w:val="003A5C4A"/>
    <w:rsid w:val="003A63CE"/>
    <w:rsid w:val="003B1737"/>
    <w:rsid w:val="003B48EB"/>
    <w:rsid w:val="003B702C"/>
    <w:rsid w:val="003C0860"/>
    <w:rsid w:val="003C68D4"/>
    <w:rsid w:val="003D18BB"/>
    <w:rsid w:val="003E36ED"/>
    <w:rsid w:val="003F0104"/>
    <w:rsid w:val="003F1092"/>
    <w:rsid w:val="003F5A1B"/>
    <w:rsid w:val="003F62AB"/>
    <w:rsid w:val="003F7AD3"/>
    <w:rsid w:val="0040051E"/>
    <w:rsid w:val="0040176F"/>
    <w:rsid w:val="0040182C"/>
    <w:rsid w:val="004048D4"/>
    <w:rsid w:val="0040594A"/>
    <w:rsid w:val="00411915"/>
    <w:rsid w:val="00412F72"/>
    <w:rsid w:val="0041394B"/>
    <w:rsid w:val="00414E51"/>
    <w:rsid w:val="0041598F"/>
    <w:rsid w:val="00422879"/>
    <w:rsid w:val="004401B3"/>
    <w:rsid w:val="00442AA0"/>
    <w:rsid w:val="00443071"/>
    <w:rsid w:val="00446E00"/>
    <w:rsid w:val="00454095"/>
    <w:rsid w:val="004770B3"/>
    <w:rsid w:val="004802E5"/>
    <w:rsid w:val="00482013"/>
    <w:rsid w:val="00484549"/>
    <w:rsid w:val="00486340"/>
    <w:rsid w:val="004952B8"/>
    <w:rsid w:val="00495AA0"/>
    <w:rsid w:val="0049609D"/>
    <w:rsid w:val="00496A65"/>
    <w:rsid w:val="004A22E3"/>
    <w:rsid w:val="004A55C1"/>
    <w:rsid w:val="004A7177"/>
    <w:rsid w:val="004B05A5"/>
    <w:rsid w:val="004B1EBA"/>
    <w:rsid w:val="004C0588"/>
    <w:rsid w:val="004C0B9D"/>
    <w:rsid w:val="004C25B0"/>
    <w:rsid w:val="004C468D"/>
    <w:rsid w:val="004D722F"/>
    <w:rsid w:val="004E76A3"/>
    <w:rsid w:val="004F021E"/>
    <w:rsid w:val="004F6B8F"/>
    <w:rsid w:val="005019F5"/>
    <w:rsid w:val="00503A86"/>
    <w:rsid w:val="00505515"/>
    <w:rsid w:val="00511E1E"/>
    <w:rsid w:val="00513C22"/>
    <w:rsid w:val="00514FC0"/>
    <w:rsid w:val="00522EEB"/>
    <w:rsid w:val="005415AC"/>
    <w:rsid w:val="00542133"/>
    <w:rsid w:val="00542403"/>
    <w:rsid w:val="0055063B"/>
    <w:rsid w:val="00561224"/>
    <w:rsid w:val="00561614"/>
    <w:rsid w:val="0056219D"/>
    <w:rsid w:val="00563FFD"/>
    <w:rsid w:val="00566942"/>
    <w:rsid w:val="00577881"/>
    <w:rsid w:val="0058168F"/>
    <w:rsid w:val="00584243"/>
    <w:rsid w:val="00594F4F"/>
    <w:rsid w:val="00595A3E"/>
    <w:rsid w:val="005A26C4"/>
    <w:rsid w:val="005A5A0E"/>
    <w:rsid w:val="005A5F5F"/>
    <w:rsid w:val="005B2905"/>
    <w:rsid w:val="005B3E52"/>
    <w:rsid w:val="005B6083"/>
    <w:rsid w:val="005B67CF"/>
    <w:rsid w:val="005C0A15"/>
    <w:rsid w:val="005C2E34"/>
    <w:rsid w:val="005D24E2"/>
    <w:rsid w:val="005D5222"/>
    <w:rsid w:val="005D605C"/>
    <w:rsid w:val="005D6D66"/>
    <w:rsid w:val="005D7BB8"/>
    <w:rsid w:val="005E0247"/>
    <w:rsid w:val="005E1D15"/>
    <w:rsid w:val="005E2AE0"/>
    <w:rsid w:val="005E7323"/>
    <w:rsid w:val="005F44CD"/>
    <w:rsid w:val="005F719E"/>
    <w:rsid w:val="006130D0"/>
    <w:rsid w:val="0061402E"/>
    <w:rsid w:val="00614A97"/>
    <w:rsid w:val="006175FD"/>
    <w:rsid w:val="0062552C"/>
    <w:rsid w:val="00630E65"/>
    <w:rsid w:val="00631A0E"/>
    <w:rsid w:val="006326EF"/>
    <w:rsid w:val="0063334D"/>
    <w:rsid w:val="00637C9C"/>
    <w:rsid w:val="0064349F"/>
    <w:rsid w:val="00645E7B"/>
    <w:rsid w:val="00647BB0"/>
    <w:rsid w:val="00654747"/>
    <w:rsid w:val="006607BE"/>
    <w:rsid w:val="006607ED"/>
    <w:rsid w:val="00660D98"/>
    <w:rsid w:val="0066170E"/>
    <w:rsid w:val="00662319"/>
    <w:rsid w:val="00662969"/>
    <w:rsid w:val="00665E9B"/>
    <w:rsid w:val="00673301"/>
    <w:rsid w:val="00674AE0"/>
    <w:rsid w:val="00680AE6"/>
    <w:rsid w:val="006826DF"/>
    <w:rsid w:val="00684ECD"/>
    <w:rsid w:val="00685B0D"/>
    <w:rsid w:val="00692F92"/>
    <w:rsid w:val="00697997"/>
    <w:rsid w:val="00697BFF"/>
    <w:rsid w:val="006A07D4"/>
    <w:rsid w:val="006A146E"/>
    <w:rsid w:val="006B0349"/>
    <w:rsid w:val="006B4570"/>
    <w:rsid w:val="006B4720"/>
    <w:rsid w:val="006B715A"/>
    <w:rsid w:val="006B7C6F"/>
    <w:rsid w:val="006C28F8"/>
    <w:rsid w:val="006C7A73"/>
    <w:rsid w:val="006C7CDB"/>
    <w:rsid w:val="006D3A17"/>
    <w:rsid w:val="006D3F12"/>
    <w:rsid w:val="006D6BD2"/>
    <w:rsid w:val="006E3E37"/>
    <w:rsid w:val="006E4DFA"/>
    <w:rsid w:val="006E5141"/>
    <w:rsid w:val="006E5678"/>
    <w:rsid w:val="006F27F6"/>
    <w:rsid w:val="006F5209"/>
    <w:rsid w:val="006F77C6"/>
    <w:rsid w:val="00703045"/>
    <w:rsid w:val="00703B34"/>
    <w:rsid w:val="00703B8E"/>
    <w:rsid w:val="00704CB6"/>
    <w:rsid w:val="00705A1A"/>
    <w:rsid w:val="0071052F"/>
    <w:rsid w:val="00717397"/>
    <w:rsid w:val="007224A8"/>
    <w:rsid w:val="00723D1D"/>
    <w:rsid w:val="00723D85"/>
    <w:rsid w:val="00725B68"/>
    <w:rsid w:val="00732EFD"/>
    <w:rsid w:val="007374C7"/>
    <w:rsid w:val="0074081B"/>
    <w:rsid w:val="00742397"/>
    <w:rsid w:val="00761235"/>
    <w:rsid w:val="0077016D"/>
    <w:rsid w:val="00770BB2"/>
    <w:rsid w:val="00772E9D"/>
    <w:rsid w:val="00776EA9"/>
    <w:rsid w:val="0077770E"/>
    <w:rsid w:val="00782461"/>
    <w:rsid w:val="00783E5C"/>
    <w:rsid w:val="00785E8D"/>
    <w:rsid w:val="0078772A"/>
    <w:rsid w:val="007932D3"/>
    <w:rsid w:val="00793397"/>
    <w:rsid w:val="00795FF0"/>
    <w:rsid w:val="007A5039"/>
    <w:rsid w:val="007A6504"/>
    <w:rsid w:val="007B213A"/>
    <w:rsid w:val="007B3AEE"/>
    <w:rsid w:val="007B4CFF"/>
    <w:rsid w:val="007C0150"/>
    <w:rsid w:val="007C1109"/>
    <w:rsid w:val="007C1CDF"/>
    <w:rsid w:val="007C27C3"/>
    <w:rsid w:val="007C353F"/>
    <w:rsid w:val="007C378A"/>
    <w:rsid w:val="007C5813"/>
    <w:rsid w:val="007C5D3E"/>
    <w:rsid w:val="007C69CB"/>
    <w:rsid w:val="007D0A42"/>
    <w:rsid w:val="007E01EF"/>
    <w:rsid w:val="007E3991"/>
    <w:rsid w:val="007E5D63"/>
    <w:rsid w:val="007E77F4"/>
    <w:rsid w:val="007F2371"/>
    <w:rsid w:val="007F4CA9"/>
    <w:rsid w:val="007F5585"/>
    <w:rsid w:val="007F6420"/>
    <w:rsid w:val="00800A8A"/>
    <w:rsid w:val="00811C8B"/>
    <w:rsid w:val="00817121"/>
    <w:rsid w:val="00822D8E"/>
    <w:rsid w:val="00823B0B"/>
    <w:rsid w:val="008247F5"/>
    <w:rsid w:val="0083172D"/>
    <w:rsid w:val="00836350"/>
    <w:rsid w:val="00837EF9"/>
    <w:rsid w:val="00840A7A"/>
    <w:rsid w:val="00844F81"/>
    <w:rsid w:val="00847490"/>
    <w:rsid w:val="00860229"/>
    <w:rsid w:val="0086365D"/>
    <w:rsid w:val="00864DA7"/>
    <w:rsid w:val="00867671"/>
    <w:rsid w:val="00867F4B"/>
    <w:rsid w:val="00867FBF"/>
    <w:rsid w:val="00871472"/>
    <w:rsid w:val="00882459"/>
    <w:rsid w:val="00886B86"/>
    <w:rsid w:val="008919F9"/>
    <w:rsid w:val="008957AE"/>
    <w:rsid w:val="008A3BA6"/>
    <w:rsid w:val="008A4209"/>
    <w:rsid w:val="008B3F63"/>
    <w:rsid w:val="008B6AC3"/>
    <w:rsid w:val="008B6B9B"/>
    <w:rsid w:val="008C5EB1"/>
    <w:rsid w:val="008C7AAA"/>
    <w:rsid w:val="008D2011"/>
    <w:rsid w:val="008D384C"/>
    <w:rsid w:val="008D3B88"/>
    <w:rsid w:val="008D3DE8"/>
    <w:rsid w:val="008D45DA"/>
    <w:rsid w:val="008D576A"/>
    <w:rsid w:val="008D6898"/>
    <w:rsid w:val="008E1104"/>
    <w:rsid w:val="008E2027"/>
    <w:rsid w:val="008E2D9F"/>
    <w:rsid w:val="008E4DD1"/>
    <w:rsid w:val="008E507F"/>
    <w:rsid w:val="008F3B2C"/>
    <w:rsid w:val="008F5108"/>
    <w:rsid w:val="008F772E"/>
    <w:rsid w:val="009008F7"/>
    <w:rsid w:val="00901C96"/>
    <w:rsid w:val="00903538"/>
    <w:rsid w:val="00903BEA"/>
    <w:rsid w:val="00904D91"/>
    <w:rsid w:val="00912C7D"/>
    <w:rsid w:val="00920025"/>
    <w:rsid w:val="00920428"/>
    <w:rsid w:val="00920581"/>
    <w:rsid w:val="00931F11"/>
    <w:rsid w:val="009345B3"/>
    <w:rsid w:val="00934FFD"/>
    <w:rsid w:val="009455FF"/>
    <w:rsid w:val="00945934"/>
    <w:rsid w:val="00952CB7"/>
    <w:rsid w:val="00955F72"/>
    <w:rsid w:val="009570DB"/>
    <w:rsid w:val="0096164D"/>
    <w:rsid w:val="009665B3"/>
    <w:rsid w:val="009668F8"/>
    <w:rsid w:val="009705FD"/>
    <w:rsid w:val="009734F4"/>
    <w:rsid w:val="0098327B"/>
    <w:rsid w:val="009914AD"/>
    <w:rsid w:val="00997F63"/>
    <w:rsid w:val="009A0835"/>
    <w:rsid w:val="009A1FBF"/>
    <w:rsid w:val="009A4795"/>
    <w:rsid w:val="009C0603"/>
    <w:rsid w:val="009C0AF1"/>
    <w:rsid w:val="009C2E08"/>
    <w:rsid w:val="009C3F5B"/>
    <w:rsid w:val="009C618F"/>
    <w:rsid w:val="009C6680"/>
    <w:rsid w:val="009D112A"/>
    <w:rsid w:val="009D1AAE"/>
    <w:rsid w:val="009D75CE"/>
    <w:rsid w:val="009E4A5B"/>
    <w:rsid w:val="009F3F04"/>
    <w:rsid w:val="009F4524"/>
    <w:rsid w:val="009F5A61"/>
    <w:rsid w:val="00A035D8"/>
    <w:rsid w:val="00A068A3"/>
    <w:rsid w:val="00A13C7B"/>
    <w:rsid w:val="00A207FE"/>
    <w:rsid w:val="00A220FE"/>
    <w:rsid w:val="00A22371"/>
    <w:rsid w:val="00A2368C"/>
    <w:rsid w:val="00A24D26"/>
    <w:rsid w:val="00A30A05"/>
    <w:rsid w:val="00A379EE"/>
    <w:rsid w:val="00A37A75"/>
    <w:rsid w:val="00A444E7"/>
    <w:rsid w:val="00A50670"/>
    <w:rsid w:val="00A519DF"/>
    <w:rsid w:val="00A56E50"/>
    <w:rsid w:val="00A57196"/>
    <w:rsid w:val="00A606BB"/>
    <w:rsid w:val="00A6136B"/>
    <w:rsid w:val="00A63350"/>
    <w:rsid w:val="00A63A85"/>
    <w:rsid w:val="00A67140"/>
    <w:rsid w:val="00A704B3"/>
    <w:rsid w:val="00A7079F"/>
    <w:rsid w:val="00A735DB"/>
    <w:rsid w:val="00A75436"/>
    <w:rsid w:val="00A765CF"/>
    <w:rsid w:val="00A833D6"/>
    <w:rsid w:val="00A84AE8"/>
    <w:rsid w:val="00A87B59"/>
    <w:rsid w:val="00A90D7F"/>
    <w:rsid w:val="00A91EBE"/>
    <w:rsid w:val="00AA1A0C"/>
    <w:rsid w:val="00AA1B72"/>
    <w:rsid w:val="00AA76BB"/>
    <w:rsid w:val="00AB1ADE"/>
    <w:rsid w:val="00AB2FB0"/>
    <w:rsid w:val="00AB4A22"/>
    <w:rsid w:val="00AC3334"/>
    <w:rsid w:val="00AC3688"/>
    <w:rsid w:val="00AC3D3E"/>
    <w:rsid w:val="00AC5500"/>
    <w:rsid w:val="00AD13F9"/>
    <w:rsid w:val="00AD4734"/>
    <w:rsid w:val="00AD73C7"/>
    <w:rsid w:val="00AD7D27"/>
    <w:rsid w:val="00AE6881"/>
    <w:rsid w:val="00B00A31"/>
    <w:rsid w:val="00B02971"/>
    <w:rsid w:val="00B04473"/>
    <w:rsid w:val="00B12246"/>
    <w:rsid w:val="00B122F5"/>
    <w:rsid w:val="00B1365D"/>
    <w:rsid w:val="00B1592A"/>
    <w:rsid w:val="00B16CB8"/>
    <w:rsid w:val="00B17BAB"/>
    <w:rsid w:val="00B2043A"/>
    <w:rsid w:val="00B231B8"/>
    <w:rsid w:val="00B253F7"/>
    <w:rsid w:val="00B370AC"/>
    <w:rsid w:val="00B44A61"/>
    <w:rsid w:val="00B452D8"/>
    <w:rsid w:val="00B51746"/>
    <w:rsid w:val="00B556E6"/>
    <w:rsid w:val="00B557C3"/>
    <w:rsid w:val="00B56381"/>
    <w:rsid w:val="00B6123C"/>
    <w:rsid w:val="00B655D2"/>
    <w:rsid w:val="00B65B81"/>
    <w:rsid w:val="00B70D7E"/>
    <w:rsid w:val="00B7291B"/>
    <w:rsid w:val="00B75B2C"/>
    <w:rsid w:val="00B77DBF"/>
    <w:rsid w:val="00B91325"/>
    <w:rsid w:val="00BA4F68"/>
    <w:rsid w:val="00BB33B9"/>
    <w:rsid w:val="00BB6026"/>
    <w:rsid w:val="00BB6EF1"/>
    <w:rsid w:val="00BB6F5D"/>
    <w:rsid w:val="00BC6BDB"/>
    <w:rsid w:val="00BE4449"/>
    <w:rsid w:val="00BE7261"/>
    <w:rsid w:val="00BF7201"/>
    <w:rsid w:val="00C0049C"/>
    <w:rsid w:val="00C1191F"/>
    <w:rsid w:val="00C12A34"/>
    <w:rsid w:val="00C12AC0"/>
    <w:rsid w:val="00C1352B"/>
    <w:rsid w:val="00C15C0E"/>
    <w:rsid w:val="00C16D9C"/>
    <w:rsid w:val="00C25832"/>
    <w:rsid w:val="00C25AFE"/>
    <w:rsid w:val="00C2758F"/>
    <w:rsid w:val="00C275FF"/>
    <w:rsid w:val="00C27B8D"/>
    <w:rsid w:val="00C30334"/>
    <w:rsid w:val="00C311ED"/>
    <w:rsid w:val="00C32037"/>
    <w:rsid w:val="00C33D3D"/>
    <w:rsid w:val="00C37E39"/>
    <w:rsid w:val="00C41496"/>
    <w:rsid w:val="00C420B7"/>
    <w:rsid w:val="00C43D3C"/>
    <w:rsid w:val="00C46548"/>
    <w:rsid w:val="00C576E3"/>
    <w:rsid w:val="00C601E2"/>
    <w:rsid w:val="00C72E2C"/>
    <w:rsid w:val="00C75214"/>
    <w:rsid w:val="00C75F76"/>
    <w:rsid w:val="00C76BD9"/>
    <w:rsid w:val="00C801EA"/>
    <w:rsid w:val="00C811ED"/>
    <w:rsid w:val="00C82067"/>
    <w:rsid w:val="00C8396C"/>
    <w:rsid w:val="00C85461"/>
    <w:rsid w:val="00C91957"/>
    <w:rsid w:val="00C92C8F"/>
    <w:rsid w:val="00C94E30"/>
    <w:rsid w:val="00C95CF0"/>
    <w:rsid w:val="00CA3D8D"/>
    <w:rsid w:val="00CA40E2"/>
    <w:rsid w:val="00CB5097"/>
    <w:rsid w:val="00CB51B2"/>
    <w:rsid w:val="00CB7A73"/>
    <w:rsid w:val="00CC7D73"/>
    <w:rsid w:val="00CD2A39"/>
    <w:rsid w:val="00CD65EC"/>
    <w:rsid w:val="00CD68F3"/>
    <w:rsid w:val="00CE0AFF"/>
    <w:rsid w:val="00CE46CA"/>
    <w:rsid w:val="00CE5B79"/>
    <w:rsid w:val="00CE67AF"/>
    <w:rsid w:val="00CE6B71"/>
    <w:rsid w:val="00CF03A2"/>
    <w:rsid w:val="00CF3D04"/>
    <w:rsid w:val="00CF4EBE"/>
    <w:rsid w:val="00CF4EC1"/>
    <w:rsid w:val="00CF5CDE"/>
    <w:rsid w:val="00CF74CA"/>
    <w:rsid w:val="00D030F5"/>
    <w:rsid w:val="00D0394A"/>
    <w:rsid w:val="00D06893"/>
    <w:rsid w:val="00D0690E"/>
    <w:rsid w:val="00D1068F"/>
    <w:rsid w:val="00D11E70"/>
    <w:rsid w:val="00D16E25"/>
    <w:rsid w:val="00D25F54"/>
    <w:rsid w:val="00D317A3"/>
    <w:rsid w:val="00D3576C"/>
    <w:rsid w:val="00D36F85"/>
    <w:rsid w:val="00D40F1B"/>
    <w:rsid w:val="00D46DBA"/>
    <w:rsid w:val="00D54044"/>
    <w:rsid w:val="00D54A1B"/>
    <w:rsid w:val="00D55C42"/>
    <w:rsid w:val="00D579C7"/>
    <w:rsid w:val="00D63679"/>
    <w:rsid w:val="00D64A54"/>
    <w:rsid w:val="00D657C9"/>
    <w:rsid w:val="00D67BE7"/>
    <w:rsid w:val="00D731A8"/>
    <w:rsid w:val="00D73694"/>
    <w:rsid w:val="00D73A57"/>
    <w:rsid w:val="00D73D5E"/>
    <w:rsid w:val="00D74B13"/>
    <w:rsid w:val="00D759BD"/>
    <w:rsid w:val="00D80118"/>
    <w:rsid w:val="00D816A8"/>
    <w:rsid w:val="00D82861"/>
    <w:rsid w:val="00D8312B"/>
    <w:rsid w:val="00D906F8"/>
    <w:rsid w:val="00D91024"/>
    <w:rsid w:val="00D936B8"/>
    <w:rsid w:val="00D944B4"/>
    <w:rsid w:val="00DA088B"/>
    <w:rsid w:val="00DA2F8E"/>
    <w:rsid w:val="00DA5975"/>
    <w:rsid w:val="00DA7738"/>
    <w:rsid w:val="00DB3B9C"/>
    <w:rsid w:val="00DC2169"/>
    <w:rsid w:val="00DC717E"/>
    <w:rsid w:val="00DD1D65"/>
    <w:rsid w:val="00DD56BA"/>
    <w:rsid w:val="00DD590E"/>
    <w:rsid w:val="00DE399E"/>
    <w:rsid w:val="00DE4906"/>
    <w:rsid w:val="00DF3296"/>
    <w:rsid w:val="00DF4937"/>
    <w:rsid w:val="00DF5AB6"/>
    <w:rsid w:val="00DF6345"/>
    <w:rsid w:val="00E022C9"/>
    <w:rsid w:val="00E069D6"/>
    <w:rsid w:val="00E11A54"/>
    <w:rsid w:val="00E15B62"/>
    <w:rsid w:val="00E212FA"/>
    <w:rsid w:val="00E224E2"/>
    <w:rsid w:val="00E309C2"/>
    <w:rsid w:val="00E37784"/>
    <w:rsid w:val="00E45E76"/>
    <w:rsid w:val="00E46D7C"/>
    <w:rsid w:val="00E479CE"/>
    <w:rsid w:val="00E5467A"/>
    <w:rsid w:val="00E72FA9"/>
    <w:rsid w:val="00E81C39"/>
    <w:rsid w:val="00E8241C"/>
    <w:rsid w:val="00E861B5"/>
    <w:rsid w:val="00E8634B"/>
    <w:rsid w:val="00E86E6C"/>
    <w:rsid w:val="00E874E5"/>
    <w:rsid w:val="00E9309E"/>
    <w:rsid w:val="00E94357"/>
    <w:rsid w:val="00E95A66"/>
    <w:rsid w:val="00E97134"/>
    <w:rsid w:val="00EA16AE"/>
    <w:rsid w:val="00EA2D72"/>
    <w:rsid w:val="00EA7B0B"/>
    <w:rsid w:val="00EB397C"/>
    <w:rsid w:val="00EB66D1"/>
    <w:rsid w:val="00EB7E91"/>
    <w:rsid w:val="00EC112B"/>
    <w:rsid w:val="00EC3C12"/>
    <w:rsid w:val="00EC5128"/>
    <w:rsid w:val="00ED03CB"/>
    <w:rsid w:val="00ED3A9B"/>
    <w:rsid w:val="00ED6FF8"/>
    <w:rsid w:val="00EE1A52"/>
    <w:rsid w:val="00EE4568"/>
    <w:rsid w:val="00EE587B"/>
    <w:rsid w:val="00EE7F11"/>
    <w:rsid w:val="00EF141B"/>
    <w:rsid w:val="00EF6667"/>
    <w:rsid w:val="00F04135"/>
    <w:rsid w:val="00F11C2B"/>
    <w:rsid w:val="00F13069"/>
    <w:rsid w:val="00F147D2"/>
    <w:rsid w:val="00F163FE"/>
    <w:rsid w:val="00F17422"/>
    <w:rsid w:val="00F20543"/>
    <w:rsid w:val="00F2468B"/>
    <w:rsid w:val="00F41017"/>
    <w:rsid w:val="00F44202"/>
    <w:rsid w:val="00F4643D"/>
    <w:rsid w:val="00F47CF6"/>
    <w:rsid w:val="00F501EE"/>
    <w:rsid w:val="00F53E9D"/>
    <w:rsid w:val="00F56B12"/>
    <w:rsid w:val="00F57ACD"/>
    <w:rsid w:val="00F62A48"/>
    <w:rsid w:val="00F642C0"/>
    <w:rsid w:val="00F64323"/>
    <w:rsid w:val="00F66B28"/>
    <w:rsid w:val="00F70907"/>
    <w:rsid w:val="00F70F50"/>
    <w:rsid w:val="00F7656E"/>
    <w:rsid w:val="00F8675A"/>
    <w:rsid w:val="00F87B55"/>
    <w:rsid w:val="00F92199"/>
    <w:rsid w:val="00F9262B"/>
    <w:rsid w:val="00FA0577"/>
    <w:rsid w:val="00FA254F"/>
    <w:rsid w:val="00FB3C88"/>
    <w:rsid w:val="00FB4042"/>
    <w:rsid w:val="00FB7D52"/>
    <w:rsid w:val="00FC7601"/>
    <w:rsid w:val="00FD0157"/>
    <w:rsid w:val="00FD04C8"/>
    <w:rsid w:val="00FD4035"/>
    <w:rsid w:val="00FD4763"/>
    <w:rsid w:val="00FD611C"/>
    <w:rsid w:val="00FE257C"/>
    <w:rsid w:val="00FE6C94"/>
    <w:rsid w:val="00FF44AB"/>
    <w:rsid w:val="00FF7E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03A77FA"/>
  <w15:chartTrackingRefBased/>
  <w15:docId w15:val="{030DBF22-A68E-47C4-AA39-61BF9772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224A8"/>
  </w:style>
  <w:style w:type="paragraph" w:styleId="Kop1">
    <w:name w:val="heading 1"/>
    <w:basedOn w:val="Standaard"/>
    <w:next w:val="Standaard"/>
    <w:link w:val="Kop1Char"/>
    <w:uiPriority w:val="9"/>
    <w:qFormat/>
    <w:rsid w:val="000E0D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20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311729"/>
    <w:pPr>
      <w:keepNext/>
      <w:keepLines/>
      <w:spacing w:before="40" w:after="0"/>
      <w:ind w:left="708"/>
      <w:outlineLvl w:val="2"/>
    </w:pPr>
    <w:rPr>
      <w:rFonts w:asciiTheme="majorHAnsi" w:eastAsiaTheme="majorEastAsia" w:hAnsiTheme="majorHAnsi" w:cstheme="majorBidi"/>
      <w:color w:val="2E74B5" w:themeColor="accent1" w:themeShade="BF"/>
      <w:sz w:val="24"/>
      <w:szCs w:val="24"/>
    </w:rPr>
  </w:style>
  <w:style w:type="paragraph" w:styleId="Kop4">
    <w:name w:val="heading 4"/>
    <w:basedOn w:val="Standaard"/>
    <w:next w:val="Standaard"/>
    <w:link w:val="Kop4Char"/>
    <w:uiPriority w:val="9"/>
    <w:unhideWhenUsed/>
    <w:qFormat/>
    <w:rsid w:val="007224A8"/>
    <w:pPr>
      <w:keepNext/>
      <w:keepLines/>
      <w:spacing w:before="40" w:after="0"/>
      <w:outlineLvl w:val="3"/>
    </w:pPr>
    <w:rPr>
      <w:rFonts w:asciiTheme="majorHAnsi" w:eastAsiaTheme="majorEastAsia" w:hAnsiTheme="majorHAnsi" w:cstheme="majorBidi"/>
      <w:iCs/>
      <w:color w:val="2E74B5" w:themeColor="accent1" w:themeShade="BF"/>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DBC"/>
    <w:rPr>
      <w:rFonts w:asciiTheme="majorHAnsi" w:eastAsiaTheme="majorEastAsia" w:hAnsiTheme="majorHAnsi" w:cstheme="majorBidi"/>
      <w:color w:val="2E74B5" w:themeColor="accent1" w:themeShade="BF"/>
      <w:sz w:val="32"/>
      <w:szCs w:val="32"/>
    </w:rPr>
  </w:style>
  <w:style w:type="paragraph" w:styleId="Inhopg1">
    <w:name w:val="toc 1"/>
    <w:basedOn w:val="Standaard"/>
    <w:next w:val="Standaard"/>
    <w:autoRedefine/>
    <w:uiPriority w:val="39"/>
    <w:unhideWhenUsed/>
    <w:rsid w:val="000E0DBC"/>
    <w:pPr>
      <w:spacing w:after="100"/>
    </w:pPr>
  </w:style>
  <w:style w:type="character" w:styleId="Hyperlink">
    <w:name w:val="Hyperlink"/>
    <w:basedOn w:val="Standaardalinea-lettertype"/>
    <w:uiPriority w:val="99"/>
    <w:unhideWhenUsed/>
    <w:rsid w:val="000E0DBC"/>
    <w:rPr>
      <w:color w:val="0563C1" w:themeColor="hyperlink"/>
      <w:u w:val="single"/>
    </w:rPr>
  </w:style>
  <w:style w:type="paragraph" w:styleId="Kopvaninhoudsopgave">
    <w:name w:val="TOC Heading"/>
    <w:basedOn w:val="Kop1"/>
    <w:next w:val="Standaard"/>
    <w:uiPriority w:val="39"/>
    <w:unhideWhenUsed/>
    <w:qFormat/>
    <w:rsid w:val="000E0DBC"/>
    <w:pPr>
      <w:outlineLvl w:val="9"/>
    </w:pPr>
    <w:rPr>
      <w:lang w:eastAsia="nl-NL"/>
    </w:rPr>
  </w:style>
  <w:style w:type="paragraph" w:styleId="Lijstalinea">
    <w:name w:val="List Paragraph"/>
    <w:basedOn w:val="Standaard"/>
    <w:uiPriority w:val="34"/>
    <w:qFormat/>
    <w:rsid w:val="005A26C4"/>
    <w:pPr>
      <w:ind w:left="720"/>
      <w:contextualSpacing/>
    </w:pPr>
  </w:style>
  <w:style w:type="character" w:customStyle="1" w:styleId="Kop2Char">
    <w:name w:val="Kop 2 Char"/>
    <w:basedOn w:val="Standaardalinea-lettertype"/>
    <w:link w:val="Kop2"/>
    <w:uiPriority w:val="9"/>
    <w:rsid w:val="00B2043A"/>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DA2F8E"/>
    <w:rPr>
      <w:sz w:val="16"/>
      <w:szCs w:val="16"/>
    </w:rPr>
  </w:style>
  <w:style w:type="paragraph" w:styleId="Tekstopmerking">
    <w:name w:val="annotation text"/>
    <w:basedOn w:val="Standaard"/>
    <w:link w:val="TekstopmerkingChar"/>
    <w:uiPriority w:val="99"/>
    <w:semiHidden/>
    <w:unhideWhenUsed/>
    <w:rsid w:val="00DA2F8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A2F8E"/>
    <w:rPr>
      <w:sz w:val="20"/>
      <w:szCs w:val="20"/>
    </w:rPr>
  </w:style>
  <w:style w:type="paragraph" w:styleId="Onderwerpvanopmerking">
    <w:name w:val="annotation subject"/>
    <w:basedOn w:val="Tekstopmerking"/>
    <w:next w:val="Tekstopmerking"/>
    <w:link w:val="OnderwerpvanopmerkingChar"/>
    <w:uiPriority w:val="99"/>
    <w:semiHidden/>
    <w:unhideWhenUsed/>
    <w:rsid w:val="00DA2F8E"/>
    <w:rPr>
      <w:b/>
      <w:bCs/>
    </w:rPr>
  </w:style>
  <w:style w:type="character" w:customStyle="1" w:styleId="OnderwerpvanopmerkingChar">
    <w:name w:val="Onderwerp van opmerking Char"/>
    <w:basedOn w:val="TekstopmerkingChar"/>
    <w:link w:val="Onderwerpvanopmerking"/>
    <w:uiPriority w:val="99"/>
    <w:semiHidden/>
    <w:rsid w:val="00DA2F8E"/>
    <w:rPr>
      <w:b/>
      <w:bCs/>
      <w:sz w:val="20"/>
      <w:szCs w:val="20"/>
    </w:rPr>
  </w:style>
  <w:style w:type="paragraph" w:styleId="Ballontekst">
    <w:name w:val="Balloon Text"/>
    <w:basedOn w:val="Standaard"/>
    <w:link w:val="BallontekstChar"/>
    <w:uiPriority w:val="99"/>
    <w:semiHidden/>
    <w:unhideWhenUsed/>
    <w:rsid w:val="00DA2F8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2F8E"/>
    <w:rPr>
      <w:rFonts w:ascii="Segoe UI" w:hAnsi="Segoe UI" w:cs="Segoe UI"/>
      <w:sz w:val="18"/>
      <w:szCs w:val="18"/>
    </w:rPr>
  </w:style>
  <w:style w:type="character" w:customStyle="1" w:styleId="Kop3Char">
    <w:name w:val="Kop 3 Char"/>
    <w:basedOn w:val="Standaardalinea-lettertype"/>
    <w:link w:val="Kop3"/>
    <w:uiPriority w:val="9"/>
    <w:rsid w:val="00311729"/>
    <w:rPr>
      <w:rFonts w:asciiTheme="majorHAnsi" w:eastAsiaTheme="majorEastAsia" w:hAnsiTheme="majorHAnsi" w:cstheme="majorBidi"/>
      <w:color w:val="2E74B5" w:themeColor="accent1" w:themeShade="BF"/>
      <w:sz w:val="24"/>
      <w:szCs w:val="24"/>
    </w:rPr>
  </w:style>
  <w:style w:type="paragraph" w:styleId="Geenafstand">
    <w:name w:val="No Spacing"/>
    <w:link w:val="GeenafstandChar"/>
    <w:uiPriority w:val="1"/>
    <w:qFormat/>
    <w:rsid w:val="00FE6C94"/>
    <w:pPr>
      <w:spacing w:after="0" w:line="240" w:lineRule="auto"/>
    </w:pPr>
  </w:style>
  <w:style w:type="character" w:customStyle="1" w:styleId="GeenafstandChar">
    <w:name w:val="Geen afstand Char"/>
    <w:basedOn w:val="Standaardalinea-lettertype"/>
    <w:link w:val="Geenafstand"/>
    <w:uiPriority w:val="1"/>
    <w:rsid w:val="00FE6C94"/>
  </w:style>
  <w:style w:type="paragraph" w:styleId="Koptekst">
    <w:name w:val="header"/>
    <w:basedOn w:val="Standaard"/>
    <w:link w:val="KoptekstChar"/>
    <w:uiPriority w:val="99"/>
    <w:unhideWhenUsed/>
    <w:rsid w:val="00D67B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7BE7"/>
  </w:style>
  <w:style w:type="paragraph" w:styleId="Voettekst">
    <w:name w:val="footer"/>
    <w:basedOn w:val="Standaard"/>
    <w:link w:val="VoettekstChar"/>
    <w:uiPriority w:val="99"/>
    <w:unhideWhenUsed/>
    <w:rsid w:val="00D67B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7BE7"/>
  </w:style>
  <w:style w:type="paragraph" w:styleId="Inhopg2">
    <w:name w:val="toc 2"/>
    <w:basedOn w:val="Standaard"/>
    <w:next w:val="Standaard"/>
    <w:autoRedefine/>
    <w:uiPriority w:val="39"/>
    <w:unhideWhenUsed/>
    <w:rsid w:val="0015530A"/>
    <w:pPr>
      <w:spacing w:after="100"/>
      <w:ind w:left="220"/>
    </w:pPr>
  </w:style>
  <w:style w:type="paragraph" w:styleId="Inhopg3">
    <w:name w:val="toc 3"/>
    <w:basedOn w:val="Standaard"/>
    <w:next w:val="Standaard"/>
    <w:autoRedefine/>
    <w:uiPriority w:val="39"/>
    <w:unhideWhenUsed/>
    <w:rsid w:val="0015530A"/>
    <w:pPr>
      <w:spacing w:after="100"/>
      <w:ind w:left="440"/>
    </w:pPr>
  </w:style>
  <w:style w:type="character" w:customStyle="1" w:styleId="Kop4Char">
    <w:name w:val="Kop 4 Char"/>
    <w:basedOn w:val="Standaardalinea-lettertype"/>
    <w:link w:val="Kop4"/>
    <w:uiPriority w:val="9"/>
    <w:rsid w:val="007224A8"/>
    <w:rPr>
      <w:rFonts w:asciiTheme="majorHAnsi" w:eastAsiaTheme="majorEastAsia" w:hAnsiTheme="majorHAnsi" w:cstheme="majorBidi"/>
      <w:iCs/>
      <w:color w:val="2E74B5" w:themeColor="accent1" w:themeShade="BF"/>
      <w:u w:val="single"/>
    </w:rPr>
  </w:style>
  <w:style w:type="paragraph" w:styleId="Inhopg4">
    <w:name w:val="toc 4"/>
    <w:basedOn w:val="Standaard"/>
    <w:next w:val="Standaard"/>
    <w:autoRedefine/>
    <w:uiPriority w:val="39"/>
    <w:unhideWhenUsed/>
    <w:rsid w:val="0040594A"/>
    <w:pPr>
      <w:spacing w:after="100"/>
      <w:ind w:left="660"/>
    </w:pPr>
  </w:style>
  <w:style w:type="paragraph" w:customStyle="1" w:styleId="BTStandaardTabel">
    <w:name w:val="BT_StandaardTabel"/>
    <w:basedOn w:val="Standaard"/>
    <w:rsid w:val="00A24D26"/>
    <w:pPr>
      <w:kinsoku w:val="0"/>
      <w:autoSpaceDE w:val="0"/>
      <w:autoSpaceDN w:val="0"/>
      <w:adjustRightInd w:val="0"/>
      <w:spacing w:before="40" w:after="40" w:line="240" w:lineRule="auto"/>
    </w:pPr>
    <w:rPr>
      <w:rFonts w:ascii="Arial" w:eastAsia="Times New Roman" w:hAnsi="Arial" w:cs="Times New Roman"/>
      <w:sz w:val="18"/>
      <w:szCs w:val="24"/>
    </w:rPr>
  </w:style>
  <w:style w:type="table" w:styleId="Gemiddeldearcering1-accent1">
    <w:name w:val="Medium Shading 1 Accent 1"/>
    <w:basedOn w:val="Standaardtabel"/>
    <w:uiPriority w:val="63"/>
    <w:rsid w:val="00A24D26"/>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Tabelraster">
    <w:name w:val="Table Grid"/>
    <w:basedOn w:val="Standaardtabel"/>
    <w:uiPriority w:val="39"/>
    <w:rsid w:val="00282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1">
    <w:name w:val="Light List Accent 1"/>
    <w:basedOn w:val="Standaardtabel"/>
    <w:uiPriority w:val="61"/>
    <w:rsid w:val="00D8286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elrasterlicht">
    <w:name w:val="Grid Table Light"/>
    <w:basedOn w:val="Standaardtabel"/>
    <w:uiPriority w:val="40"/>
    <w:rsid w:val="00D828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93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ice.com" TargetMode="External"/><Relationship Id="rId13" Type="http://schemas.openxmlformats.org/officeDocument/2006/relationships/hyperlink" Target="mailto:servicedesk@tenderned.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ned.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oI@bar-organisatie.nl" TargetMode="External"/><Relationship Id="rId5" Type="http://schemas.openxmlformats.org/officeDocument/2006/relationships/webSettings" Target="webSettings.xml"/><Relationship Id="rId15" Type="http://schemas.openxmlformats.org/officeDocument/2006/relationships/hyperlink" Target="http://www.tenderned.nl" TargetMode="External"/><Relationship Id="rId10" Type="http://schemas.openxmlformats.org/officeDocument/2006/relationships/hyperlink" Target="mailto:aanbestedingen@bar-organisatie.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ned.nl" TargetMode="External"/><Relationship Id="rId14" Type="http://schemas.openxmlformats.org/officeDocument/2006/relationships/hyperlink" Target="http://www.tenderned.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F08AF-36B0-4B10-B81D-BB4B8137B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8211</Words>
  <Characters>45166</Characters>
  <Application>Microsoft Office Word</Application>
  <DocSecurity>0</DocSecurity>
  <Lines>376</Lines>
  <Paragraphs>106</Paragraphs>
  <ScaleCrop>false</ScaleCrop>
  <HeadingPairs>
    <vt:vector size="2" baseType="variant">
      <vt:variant>
        <vt:lpstr>Titel</vt:lpstr>
      </vt:variant>
      <vt:variant>
        <vt:i4>1</vt:i4>
      </vt:variant>
    </vt:vector>
  </HeadingPairs>
  <TitlesOfParts>
    <vt:vector size="1" baseType="lpstr">
      <vt:lpstr/>
    </vt:vector>
  </TitlesOfParts>
  <Company>BAR organisatie</Company>
  <LinksUpToDate>false</LinksUpToDate>
  <CharactersWithSpaces>53271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Flourence Supit</dc:creator>
  <cp:keywords/>
  <dc:description/>
  <cp:lastModifiedBy>Monique Groenheide</cp:lastModifiedBy>
  <cp:revision>2</cp:revision>
  <dcterms:created xsi:type="dcterms:W3CDTF">2021-06-14T14:54:00Z</dcterms:created>
  <dcterms:modified xsi:type="dcterms:W3CDTF">2021-06-14T14:54:00Z</dcterms:modified>
</cp:coreProperties>
</file>