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D1418" w14:textId="5D4101E6" w:rsidR="00A832B4" w:rsidRDefault="00A832B4" w:rsidP="00A832B4">
      <w:pPr>
        <w:pStyle w:val="Titel"/>
        <w:jc w:val="left"/>
      </w:pPr>
    </w:p>
    <w:p w14:paraId="3D98DEA5" w14:textId="77777777" w:rsidR="00A832B4" w:rsidRPr="00F26A3B" w:rsidRDefault="00A832B4" w:rsidP="00A832B4">
      <w:pPr>
        <w:pBdr>
          <w:top w:val="single" w:sz="36" w:space="1" w:color="00387D"/>
          <w:bottom w:val="single" w:sz="36" w:space="1" w:color="00387D"/>
        </w:pBdr>
        <w:spacing w:line="280" w:lineRule="atLeast"/>
        <w:jc w:val="center"/>
        <w:rPr>
          <w:rFonts w:eastAsia="Times New Roman"/>
          <w:b/>
          <w:kern w:val="28"/>
          <w:sz w:val="32"/>
          <w:szCs w:val="32"/>
        </w:rPr>
      </w:pPr>
    </w:p>
    <w:p w14:paraId="2CA23895" w14:textId="2119C9CC" w:rsidR="00A832B4" w:rsidRPr="00F13BF2" w:rsidRDefault="00A832B4" w:rsidP="00A832B4">
      <w:pPr>
        <w:pBdr>
          <w:top w:val="single" w:sz="36" w:space="1" w:color="00387D"/>
          <w:bottom w:val="single" w:sz="36" w:space="1" w:color="00387D"/>
        </w:pBdr>
        <w:spacing w:line="280" w:lineRule="atLeast"/>
        <w:jc w:val="center"/>
        <w:rPr>
          <w:rFonts w:eastAsia="Times New Roman"/>
          <w:b/>
          <w:kern w:val="28"/>
          <w:sz w:val="32"/>
          <w:szCs w:val="32"/>
        </w:rPr>
      </w:pPr>
      <w:bookmarkStart w:id="0" w:name="_Hlk72133822"/>
      <w:r w:rsidRPr="00F13BF2">
        <w:rPr>
          <w:rFonts w:eastAsia="Times New Roman"/>
          <w:b/>
          <w:kern w:val="28"/>
          <w:sz w:val="32"/>
          <w:szCs w:val="32"/>
        </w:rPr>
        <w:t xml:space="preserve">Bijlage </w:t>
      </w:r>
      <w:r>
        <w:rPr>
          <w:rFonts w:eastAsia="Times New Roman"/>
          <w:b/>
          <w:kern w:val="28"/>
          <w:sz w:val="32"/>
          <w:szCs w:val="32"/>
        </w:rPr>
        <w:t>20</w:t>
      </w:r>
      <w:r w:rsidRPr="00F13BF2">
        <w:rPr>
          <w:rFonts w:eastAsia="Times New Roman"/>
          <w:b/>
          <w:kern w:val="28"/>
          <w:sz w:val="32"/>
          <w:szCs w:val="32"/>
        </w:rPr>
        <w:t xml:space="preserve"> </w:t>
      </w:r>
      <w:r>
        <w:rPr>
          <w:rFonts w:eastAsia="Times New Roman"/>
          <w:b/>
          <w:kern w:val="28"/>
          <w:sz w:val="32"/>
          <w:szCs w:val="32"/>
        </w:rPr>
        <w:t>–</w:t>
      </w:r>
      <w:r w:rsidRPr="00F13BF2">
        <w:rPr>
          <w:rFonts w:eastAsia="Times New Roman"/>
          <w:b/>
          <w:kern w:val="28"/>
          <w:sz w:val="32"/>
          <w:szCs w:val="32"/>
        </w:rPr>
        <w:t xml:space="preserve"> </w:t>
      </w:r>
      <w:r w:rsidR="00973EE0">
        <w:rPr>
          <w:rFonts w:eastAsia="Times New Roman"/>
          <w:b/>
          <w:kern w:val="28"/>
          <w:sz w:val="32"/>
          <w:szCs w:val="32"/>
        </w:rPr>
        <w:t>Beantwoording</w:t>
      </w:r>
      <w:r>
        <w:rPr>
          <w:rFonts w:eastAsia="Times New Roman"/>
          <w:b/>
          <w:kern w:val="28"/>
          <w:sz w:val="32"/>
          <w:szCs w:val="32"/>
        </w:rPr>
        <w:t xml:space="preserve"> </w:t>
      </w:r>
      <w:r w:rsidR="00963D5C">
        <w:rPr>
          <w:rFonts w:eastAsia="Times New Roman"/>
          <w:b/>
          <w:kern w:val="28"/>
          <w:sz w:val="32"/>
          <w:szCs w:val="32"/>
        </w:rPr>
        <w:t>gunningscriterium</w:t>
      </w:r>
      <w:r>
        <w:rPr>
          <w:rFonts w:eastAsia="Times New Roman"/>
          <w:b/>
          <w:kern w:val="28"/>
          <w:sz w:val="32"/>
          <w:szCs w:val="32"/>
        </w:rPr>
        <w:t xml:space="preserve"> SGC7</w:t>
      </w:r>
      <w:r w:rsidRPr="00F13BF2">
        <w:rPr>
          <w:rFonts w:eastAsia="Times New Roman"/>
          <w:b/>
          <w:kern w:val="28"/>
          <w:sz w:val="32"/>
          <w:szCs w:val="32"/>
        </w:rPr>
        <w:t xml:space="preserve"> ten behoeve van de Europese Aanbesteding</w:t>
      </w:r>
    </w:p>
    <w:p w14:paraId="66618165" w14:textId="77777777" w:rsidR="00A832B4" w:rsidRPr="00F13BF2" w:rsidRDefault="00A832B4" w:rsidP="00A832B4">
      <w:pPr>
        <w:pBdr>
          <w:top w:val="single" w:sz="36" w:space="1" w:color="00387D"/>
          <w:bottom w:val="single" w:sz="36" w:space="1" w:color="00387D"/>
        </w:pBdr>
        <w:spacing w:after="120" w:line="280" w:lineRule="atLeast"/>
        <w:rPr>
          <w:rFonts w:ascii="Calibri,Bold" w:eastAsia="Calibri" w:hAnsi="Calibri,Bold" w:cs="Calibri,Bold"/>
          <w:b/>
          <w:bCs/>
          <w:sz w:val="44"/>
          <w:szCs w:val="44"/>
          <w:lang w:eastAsia="nl-NL"/>
        </w:rPr>
      </w:pPr>
    </w:p>
    <w:p w14:paraId="45ADF4A8" w14:textId="77777777" w:rsidR="00A832B4" w:rsidRPr="00F13BF2" w:rsidRDefault="00A832B4" w:rsidP="00A832B4">
      <w:pPr>
        <w:pBdr>
          <w:top w:val="single" w:sz="36" w:space="1" w:color="00387D"/>
          <w:bottom w:val="single" w:sz="36" w:space="1" w:color="00387D"/>
        </w:pBdr>
        <w:spacing w:after="120" w:line="280" w:lineRule="atLeast"/>
        <w:jc w:val="center"/>
        <w:rPr>
          <w:rFonts w:eastAsia="Times New Roman"/>
          <w:b/>
          <w:kern w:val="28"/>
          <w:sz w:val="32"/>
          <w:szCs w:val="32"/>
        </w:rPr>
      </w:pPr>
      <w:r w:rsidRPr="00F13BF2">
        <w:rPr>
          <w:rFonts w:ascii="Calibri,Bold" w:eastAsia="Calibri" w:hAnsi="Calibri,Bold" w:cs="Calibri,Bold"/>
          <w:b/>
          <w:bCs/>
          <w:sz w:val="44"/>
          <w:szCs w:val="44"/>
          <w:lang w:eastAsia="nl-NL"/>
        </w:rPr>
        <w:t>Enterprise Service Management</w:t>
      </w:r>
    </w:p>
    <w:p w14:paraId="3D8F9943" w14:textId="77777777" w:rsidR="00A832B4" w:rsidRPr="00F13BF2" w:rsidRDefault="00A832B4" w:rsidP="00A832B4">
      <w:pPr>
        <w:pBdr>
          <w:top w:val="single" w:sz="36" w:space="1" w:color="00387D"/>
          <w:bottom w:val="single" w:sz="36" w:space="1" w:color="00387D"/>
        </w:pBdr>
        <w:spacing w:after="120" w:line="280" w:lineRule="atLeast"/>
        <w:jc w:val="center"/>
        <w:rPr>
          <w:rFonts w:eastAsia="Times New Roman"/>
          <w:b/>
          <w:kern w:val="28"/>
          <w:sz w:val="32"/>
          <w:szCs w:val="32"/>
        </w:rPr>
      </w:pPr>
    </w:p>
    <w:p w14:paraId="48F77D13" w14:textId="77777777" w:rsidR="00A832B4" w:rsidRPr="00F13BF2" w:rsidRDefault="00A832B4" w:rsidP="00A832B4">
      <w:pPr>
        <w:pBdr>
          <w:top w:val="single" w:sz="36" w:space="1" w:color="00387D"/>
          <w:bottom w:val="single" w:sz="36" w:space="1" w:color="00387D"/>
        </w:pBdr>
        <w:spacing w:after="120" w:line="280" w:lineRule="atLeast"/>
        <w:jc w:val="center"/>
        <w:rPr>
          <w:rFonts w:eastAsia="Times New Roman"/>
          <w:b/>
          <w:kern w:val="28"/>
          <w:sz w:val="32"/>
          <w:szCs w:val="32"/>
        </w:rPr>
      </w:pPr>
      <w:r w:rsidRPr="00F13BF2">
        <w:rPr>
          <w:rFonts w:eastAsia="Times New Roman"/>
          <w:b/>
          <w:kern w:val="28"/>
          <w:sz w:val="32"/>
          <w:szCs w:val="32"/>
        </w:rPr>
        <w:t>Kadaster</w:t>
      </w:r>
    </w:p>
    <w:bookmarkEnd w:id="0"/>
    <w:p w14:paraId="598624A8" w14:textId="77777777" w:rsidR="00A832B4" w:rsidRPr="00F13BF2" w:rsidRDefault="00A832B4" w:rsidP="00A832B4">
      <w:pPr>
        <w:pBdr>
          <w:top w:val="single" w:sz="36" w:space="1" w:color="00387D"/>
          <w:bottom w:val="single" w:sz="36" w:space="1" w:color="00387D"/>
        </w:pBdr>
        <w:spacing w:after="120" w:line="280" w:lineRule="atLeast"/>
        <w:jc w:val="center"/>
        <w:rPr>
          <w:rFonts w:eastAsia="Times New Roman"/>
          <w:b/>
          <w:kern w:val="28"/>
          <w:sz w:val="32"/>
          <w:szCs w:val="32"/>
        </w:rPr>
      </w:pPr>
    </w:p>
    <w:p w14:paraId="0A392A4F" w14:textId="77777777" w:rsidR="00A832B4" w:rsidRPr="00F13BF2" w:rsidRDefault="00A832B4" w:rsidP="00A832B4">
      <w:pPr>
        <w:spacing w:line="280" w:lineRule="atLeast"/>
        <w:rPr>
          <w:rFonts w:eastAsia="Times New Roman"/>
          <w:kern w:val="28"/>
        </w:rPr>
      </w:pPr>
    </w:p>
    <w:p w14:paraId="4E18D40B" w14:textId="77777777" w:rsidR="00A832B4" w:rsidRPr="00F13BF2" w:rsidRDefault="00A832B4" w:rsidP="00A832B4">
      <w:pPr>
        <w:ind w:left="2268"/>
        <w:rPr>
          <w:sz w:val="24"/>
        </w:rPr>
      </w:pPr>
    </w:p>
    <w:p w14:paraId="298B7E71" w14:textId="77777777" w:rsidR="00A832B4" w:rsidRPr="00F13BF2" w:rsidRDefault="00A832B4" w:rsidP="00A832B4">
      <w:pPr>
        <w:rPr>
          <w:i/>
        </w:rPr>
      </w:pPr>
    </w:p>
    <w:p w14:paraId="0574F664" w14:textId="6994E6F9" w:rsidR="00A832B4" w:rsidRDefault="00A832B4">
      <w:r>
        <w:br w:type="page"/>
      </w:r>
    </w:p>
    <w:tbl>
      <w:tblPr>
        <w:tblW w:w="8647" w:type="dxa"/>
        <w:tblBorders>
          <w:insideH w:val="single" w:sz="4" w:space="0" w:color="auto"/>
        </w:tblBorders>
        <w:tblCellMar>
          <w:left w:w="70" w:type="dxa"/>
          <w:right w:w="70" w:type="dxa"/>
        </w:tblCellMar>
        <w:tblLook w:val="04A0" w:firstRow="1" w:lastRow="0" w:firstColumn="1" w:lastColumn="0" w:noHBand="0" w:noVBand="1"/>
      </w:tblPr>
      <w:tblGrid>
        <w:gridCol w:w="960"/>
        <w:gridCol w:w="5986"/>
        <w:gridCol w:w="1701"/>
      </w:tblGrid>
      <w:tr w:rsidR="00A832B4" w:rsidRPr="00A832B4" w14:paraId="233EFBED" w14:textId="77777777" w:rsidTr="00A832B4">
        <w:trPr>
          <w:trHeight w:val="288"/>
        </w:trPr>
        <w:tc>
          <w:tcPr>
            <w:tcW w:w="960" w:type="dxa"/>
            <w:shd w:val="clear" w:color="auto" w:fill="auto"/>
            <w:noWrap/>
            <w:hideMark/>
          </w:tcPr>
          <w:p w14:paraId="66FFCC31" w14:textId="33F2D22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lastRenderedPageBreak/>
              <w:t>Nummer</w:t>
            </w:r>
          </w:p>
        </w:tc>
        <w:tc>
          <w:tcPr>
            <w:tcW w:w="5986" w:type="dxa"/>
            <w:shd w:val="clear" w:color="auto" w:fill="auto"/>
            <w:hideMark/>
          </w:tcPr>
          <w:p w14:paraId="7E495667"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Wens</w:t>
            </w:r>
          </w:p>
        </w:tc>
        <w:tc>
          <w:tcPr>
            <w:tcW w:w="1701" w:type="dxa"/>
            <w:shd w:val="clear" w:color="auto" w:fill="auto"/>
            <w:noWrap/>
            <w:hideMark/>
          </w:tcPr>
          <w:p w14:paraId="5E84AF1E"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Inschrijver voldoet Ja/Nee</w:t>
            </w:r>
          </w:p>
        </w:tc>
      </w:tr>
      <w:tr w:rsidR="00A832B4" w:rsidRPr="00A832B4" w14:paraId="5D6186B3" w14:textId="77777777" w:rsidTr="00A832B4">
        <w:trPr>
          <w:trHeight w:val="856"/>
        </w:trPr>
        <w:tc>
          <w:tcPr>
            <w:tcW w:w="960" w:type="dxa"/>
            <w:shd w:val="clear" w:color="auto" w:fill="auto"/>
            <w:noWrap/>
            <w:hideMark/>
          </w:tcPr>
          <w:p w14:paraId="42536766"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1</w:t>
            </w:r>
          </w:p>
        </w:tc>
        <w:tc>
          <w:tcPr>
            <w:tcW w:w="5986" w:type="dxa"/>
            <w:shd w:val="clear" w:color="auto" w:fill="auto"/>
            <w:hideMark/>
          </w:tcPr>
          <w:p w14:paraId="14B285A8" w14:textId="77777777" w:rsidR="00A832B4" w:rsidRPr="00A832B4" w:rsidRDefault="00A832B4" w:rsidP="00A832B4">
            <w:pPr>
              <w:spacing w:after="0" w:line="240" w:lineRule="auto"/>
              <w:rPr>
                <w:rFonts w:ascii="Arial" w:eastAsia="Times New Roman" w:hAnsi="Arial" w:cs="Arial"/>
                <w:color w:val="000000"/>
                <w:sz w:val="18"/>
                <w:szCs w:val="18"/>
                <w:lang w:eastAsia="nl-NL"/>
              </w:rPr>
            </w:pPr>
            <w:bookmarkStart w:id="1" w:name="RANGE!B2"/>
            <w:r w:rsidRPr="00A832B4">
              <w:rPr>
                <w:rFonts w:ascii="Arial" w:eastAsia="Times New Roman" w:hAnsi="Arial" w:cs="Arial"/>
                <w:color w:val="000000"/>
                <w:sz w:val="18"/>
                <w:szCs w:val="18"/>
                <w:lang w:eastAsia="nl-NL"/>
              </w:rPr>
              <w:t xml:space="preserve">De ESM Oplossing ondersteunt bijvoorbeeld door middel van machine learning het geautomatiseerd verbeteren (continuous improvement) van de binnen de ESM Oplossing gebruikte processen (denk bijvoorbeeld aan verbetering van de automatische routering van Meldingen) </w:t>
            </w:r>
            <w:r w:rsidRPr="00A832B4">
              <w:rPr>
                <w:rFonts w:ascii="Arial" w:eastAsia="Times New Roman" w:hAnsi="Arial" w:cs="Arial"/>
                <w:b/>
                <w:bCs/>
                <w:color w:val="000000"/>
                <w:sz w:val="18"/>
                <w:szCs w:val="18"/>
                <w:lang w:eastAsia="nl-NL"/>
              </w:rPr>
              <w:t>(12pt)</w:t>
            </w:r>
            <w:r w:rsidRPr="00A832B4">
              <w:rPr>
                <w:rFonts w:ascii="Arial" w:eastAsia="Times New Roman" w:hAnsi="Arial" w:cs="Arial"/>
                <w:color w:val="000000"/>
                <w:sz w:val="18"/>
                <w:szCs w:val="18"/>
                <w:lang w:eastAsia="nl-NL"/>
              </w:rPr>
              <w:t>;</w:t>
            </w:r>
            <w:bookmarkEnd w:id="1"/>
          </w:p>
        </w:tc>
        <w:tc>
          <w:tcPr>
            <w:tcW w:w="1701" w:type="dxa"/>
            <w:shd w:val="clear" w:color="auto" w:fill="auto"/>
            <w:noWrap/>
            <w:hideMark/>
          </w:tcPr>
          <w:p w14:paraId="1FBE2A17"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159B6E1F" w14:textId="77777777" w:rsidTr="00A832B4">
        <w:trPr>
          <w:trHeight w:val="698"/>
        </w:trPr>
        <w:tc>
          <w:tcPr>
            <w:tcW w:w="960" w:type="dxa"/>
            <w:shd w:val="clear" w:color="auto" w:fill="auto"/>
            <w:noWrap/>
            <w:hideMark/>
          </w:tcPr>
          <w:p w14:paraId="017972C6"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2</w:t>
            </w:r>
          </w:p>
        </w:tc>
        <w:tc>
          <w:tcPr>
            <w:tcW w:w="5986" w:type="dxa"/>
            <w:shd w:val="clear" w:color="auto" w:fill="auto"/>
            <w:hideMark/>
          </w:tcPr>
          <w:p w14:paraId="2B34BF11"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De ESM Oplossing ondersteunt de mogelijkheid om data uit apparaten in te lezen, denk hierbij aan koppelen met sensor data, iOT en barcode </w:t>
            </w:r>
            <w:r w:rsidRPr="00A832B4">
              <w:rPr>
                <w:rFonts w:ascii="Arial" w:eastAsia="Times New Roman" w:hAnsi="Arial" w:cs="Arial"/>
                <w:b/>
                <w:bCs/>
                <w:color w:val="000000"/>
                <w:sz w:val="18"/>
                <w:szCs w:val="18"/>
                <w:lang w:eastAsia="nl-NL"/>
              </w:rPr>
              <w:t>(4pt)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2192BE4E"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6AE8C130" w14:textId="77777777" w:rsidTr="00A832B4">
        <w:trPr>
          <w:trHeight w:val="694"/>
        </w:trPr>
        <w:tc>
          <w:tcPr>
            <w:tcW w:w="960" w:type="dxa"/>
            <w:shd w:val="clear" w:color="auto" w:fill="auto"/>
            <w:noWrap/>
            <w:hideMark/>
          </w:tcPr>
          <w:p w14:paraId="06DC6ACD"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3</w:t>
            </w:r>
          </w:p>
        </w:tc>
        <w:tc>
          <w:tcPr>
            <w:tcW w:w="5986" w:type="dxa"/>
            <w:shd w:val="clear" w:color="auto" w:fill="auto"/>
            <w:hideMark/>
          </w:tcPr>
          <w:p w14:paraId="50F9F9E6"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De ESM Oplossing ondersteunt de mogelijkheid om SLA's te registreren en te managen en de underpinning contracten te relateren aan de service behorende bij de SLA's </w:t>
            </w:r>
            <w:r w:rsidRPr="00A832B4">
              <w:rPr>
                <w:rFonts w:ascii="Arial" w:eastAsia="Times New Roman" w:hAnsi="Arial" w:cs="Arial"/>
                <w:b/>
                <w:bCs/>
                <w:color w:val="000000"/>
                <w:sz w:val="18"/>
                <w:szCs w:val="18"/>
                <w:lang w:eastAsia="nl-NL"/>
              </w:rPr>
              <w:t>(8pt)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20F4D053"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03364BB1" w14:textId="77777777" w:rsidTr="00A832B4">
        <w:trPr>
          <w:trHeight w:val="1129"/>
        </w:trPr>
        <w:tc>
          <w:tcPr>
            <w:tcW w:w="960" w:type="dxa"/>
            <w:shd w:val="clear" w:color="auto" w:fill="auto"/>
            <w:noWrap/>
            <w:hideMark/>
          </w:tcPr>
          <w:p w14:paraId="7E4841C0"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4</w:t>
            </w:r>
          </w:p>
        </w:tc>
        <w:tc>
          <w:tcPr>
            <w:tcW w:w="5986" w:type="dxa"/>
            <w:shd w:val="clear" w:color="auto" w:fill="auto"/>
            <w:hideMark/>
          </w:tcPr>
          <w:p w14:paraId="350F5192"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De ESM Oplossing ondersteunt de mogelijkheid om een periode van bestelbaarheid per service aan te geven. Buiten deze termijn kan het middel dan niet aangevraagd/gereserveerd worden. Daarnaast de mogelijkheid om een (specifieke) prijs aan deze periode te koppelen </w:t>
            </w:r>
            <w:r w:rsidRPr="00A832B4">
              <w:rPr>
                <w:rFonts w:ascii="Arial" w:eastAsia="Times New Roman" w:hAnsi="Arial" w:cs="Arial"/>
                <w:b/>
                <w:bCs/>
                <w:color w:val="000000"/>
                <w:sz w:val="18"/>
                <w:szCs w:val="18"/>
                <w:lang w:eastAsia="nl-NL"/>
              </w:rPr>
              <w:t>(6pt)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27B91A65"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74888971" w14:textId="77777777" w:rsidTr="00A832B4">
        <w:trPr>
          <w:trHeight w:val="691"/>
        </w:trPr>
        <w:tc>
          <w:tcPr>
            <w:tcW w:w="960" w:type="dxa"/>
            <w:shd w:val="clear" w:color="auto" w:fill="auto"/>
            <w:noWrap/>
            <w:hideMark/>
          </w:tcPr>
          <w:p w14:paraId="55028537"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5</w:t>
            </w:r>
          </w:p>
        </w:tc>
        <w:tc>
          <w:tcPr>
            <w:tcW w:w="5986" w:type="dxa"/>
            <w:shd w:val="clear" w:color="auto" w:fill="auto"/>
            <w:hideMark/>
          </w:tcPr>
          <w:p w14:paraId="5CBD667F"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Notificaties kunnen afhankelijk van het notificatiekanaal opgemaakt worden (bijv lettertype, bold, underline), daarnaast wordt het gebruik van hyperlink s ondersteunt </w:t>
            </w:r>
            <w:r w:rsidRPr="00A832B4">
              <w:rPr>
                <w:rFonts w:ascii="Arial" w:eastAsia="Times New Roman" w:hAnsi="Arial" w:cs="Arial"/>
                <w:b/>
                <w:bCs/>
                <w:color w:val="000000"/>
                <w:sz w:val="18"/>
                <w:szCs w:val="18"/>
                <w:lang w:eastAsia="nl-NL"/>
              </w:rPr>
              <w:t>(4pt)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69120CF9"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57B5DC3E" w14:textId="77777777" w:rsidTr="00A832B4">
        <w:trPr>
          <w:trHeight w:val="1126"/>
        </w:trPr>
        <w:tc>
          <w:tcPr>
            <w:tcW w:w="960" w:type="dxa"/>
            <w:shd w:val="clear" w:color="auto" w:fill="auto"/>
            <w:noWrap/>
            <w:hideMark/>
          </w:tcPr>
          <w:p w14:paraId="350D9DDA"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6</w:t>
            </w:r>
          </w:p>
        </w:tc>
        <w:tc>
          <w:tcPr>
            <w:tcW w:w="5986" w:type="dxa"/>
            <w:shd w:val="clear" w:color="auto" w:fill="auto"/>
            <w:hideMark/>
          </w:tcPr>
          <w:p w14:paraId="666D79F4"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De ESM Oplossing ondersteunt de mogelijkheid voor eindgebruikers om digitaal te tekenen voor de ontvangst van een gereserveerd of aangevraagd object (bijv auto, laptop). Deze handtekening kan in het systeem worden ingevoerd en door daartoe gemachtigde gebruikers worden ingezien </w:t>
            </w:r>
            <w:r w:rsidRPr="00A832B4">
              <w:rPr>
                <w:rFonts w:ascii="Arial" w:eastAsia="Times New Roman" w:hAnsi="Arial" w:cs="Arial"/>
                <w:b/>
                <w:bCs/>
                <w:color w:val="000000"/>
                <w:sz w:val="18"/>
                <w:szCs w:val="18"/>
                <w:lang w:eastAsia="nl-NL"/>
              </w:rPr>
              <w:t>(4pt)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10EC639B"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4CE3ED9A" w14:textId="77777777" w:rsidTr="00A832B4">
        <w:trPr>
          <w:trHeight w:val="703"/>
        </w:trPr>
        <w:tc>
          <w:tcPr>
            <w:tcW w:w="960" w:type="dxa"/>
            <w:shd w:val="clear" w:color="auto" w:fill="auto"/>
            <w:noWrap/>
            <w:hideMark/>
          </w:tcPr>
          <w:p w14:paraId="76CF136E"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7</w:t>
            </w:r>
          </w:p>
        </w:tc>
        <w:tc>
          <w:tcPr>
            <w:tcW w:w="5986" w:type="dxa"/>
            <w:shd w:val="clear" w:color="auto" w:fill="auto"/>
            <w:hideMark/>
          </w:tcPr>
          <w:p w14:paraId="01296C29"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Het Kadaster heeft de voorkeur voor uitwisseling van data middels een API. REST heeft hierbij onze voorkeur. Geef aan in of uw oplossing dit ondersteunt </w:t>
            </w:r>
            <w:r w:rsidRPr="00A832B4">
              <w:rPr>
                <w:rFonts w:ascii="Arial" w:eastAsia="Times New Roman" w:hAnsi="Arial" w:cs="Arial"/>
                <w:b/>
                <w:bCs/>
                <w:color w:val="000000"/>
                <w:sz w:val="18"/>
                <w:szCs w:val="18"/>
                <w:lang w:eastAsia="nl-NL"/>
              </w:rPr>
              <w:t>(8pt)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2D27047D"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51C778DC" w14:textId="77777777" w:rsidTr="00A832B4">
        <w:trPr>
          <w:trHeight w:val="699"/>
        </w:trPr>
        <w:tc>
          <w:tcPr>
            <w:tcW w:w="960" w:type="dxa"/>
            <w:shd w:val="clear" w:color="auto" w:fill="auto"/>
            <w:noWrap/>
            <w:hideMark/>
          </w:tcPr>
          <w:p w14:paraId="5F1F0925"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8</w:t>
            </w:r>
          </w:p>
        </w:tc>
        <w:tc>
          <w:tcPr>
            <w:tcW w:w="5986" w:type="dxa"/>
            <w:shd w:val="clear" w:color="auto" w:fill="auto"/>
            <w:hideMark/>
          </w:tcPr>
          <w:p w14:paraId="44AEAAA8"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De ESM Oplossing ondersteunt communicatie met platformen van derden. Denk hierbij aan SIAM-oplossingen van een eventuele SIAM-partner </w:t>
            </w:r>
            <w:r w:rsidRPr="00A832B4">
              <w:rPr>
                <w:rFonts w:ascii="Arial" w:eastAsia="Times New Roman" w:hAnsi="Arial" w:cs="Arial"/>
                <w:b/>
                <w:bCs/>
                <w:color w:val="000000"/>
                <w:sz w:val="18"/>
                <w:szCs w:val="18"/>
                <w:lang w:eastAsia="nl-NL"/>
              </w:rPr>
              <w:t>(12pt)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7BD5BD2E"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10AA4A33" w14:textId="77777777" w:rsidTr="00A832B4">
        <w:trPr>
          <w:trHeight w:val="979"/>
        </w:trPr>
        <w:tc>
          <w:tcPr>
            <w:tcW w:w="960" w:type="dxa"/>
            <w:shd w:val="clear" w:color="auto" w:fill="auto"/>
            <w:noWrap/>
            <w:hideMark/>
          </w:tcPr>
          <w:p w14:paraId="6C74602B"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9</w:t>
            </w:r>
          </w:p>
        </w:tc>
        <w:tc>
          <w:tcPr>
            <w:tcW w:w="5986" w:type="dxa"/>
            <w:shd w:val="clear" w:color="auto" w:fill="auto"/>
            <w:hideMark/>
          </w:tcPr>
          <w:p w14:paraId="479A4011"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Voor het aanmaken van accounts in de ESM Oplossing is een minimale vereiste om dit via API te doen. Kadaster heeft hierbij een sterke voorkeur voor het SCIM-protocol. De ESM Oplossing ondersteunt dit </w:t>
            </w:r>
            <w:r w:rsidRPr="00A832B4">
              <w:rPr>
                <w:rFonts w:ascii="Arial" w:eastAsia="Times New Roman" w:hAnsi="Arial" w:cs="Arial"/>
                <w:b/>
                <w:bCs/>
                <w:color w:val="000000"/>
                <w:sz w:val="18"/>
                <w:szCs w:val="18"/>
                <w:lang w:eastAsia="nl-NL"/>
              </w:rPr>
              <w:t>(8pt)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03989C21"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51961722" w14:textId="77777777" w:rsidTr="00A832B4">
        <w:trPr>
          <w:trHeight w:val="695"/>
        </w:trPr>
        <w:tc>
          <w:tcPr>
            <w:tcW w:w="960" w:type="dxa"/>
            <w:shd w:val="clear" w:color="auto" w:fill="auto"/>
            <w:noWrap/>
            <w:hideMark/>
          </w:tcPr>
          <w:p w14:paraId="6FED4072"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10</w:t>
            </w:r>
          </w:p>
        </w:tc>
        <w:tc>
          <w:tcPr>
            <w:tcW w:w="5986" w:type="dxa"/>
            <w:shd w:val="clear" w:color="auto" w:fill="auto"/>
            <w:hideMark/>
          </w:tcPr>
          <w:p w14:paraId="7BCE3EE9"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Rapportages over tijdvakken in relatie tot performance indicatoren van services worden ondersteund door de ESM Oplossing. Deze rapportages kunnen ook geconsolideerd worden </w:t>
            </w:r>
            <w:r w:rsidRPr="00A832B4">
              <w:rPr>
                <w:rFonts w:ascii="Arial" w:eastAsia="Times New Roman" w:hAnsi="Arial" w:cs="Arial"/>
                <w:b/>
                <w:bCs/>
                <w:color w:val="000000"/>
                <w:sz w:val="18"/>
                <w:szCs w:val="18"/>
                <w:lang w:eastAsia="nl-NL"/>
              </w:rPr>
              <w:t>(4pt)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32506742"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24B12D3F" w14:textId="77777777" w:rsidTr="00A832B4">
        <w:trPr>
          <w:trHeight w:val="1130"/>
        </w:trPr>
        <w:tc>
          <w:tcPr>
            <w:tcW w:w="960" w:type="dxa"/>
            <w:shd w:val="clear" w:color="auto" w:fill="auto"/>
            <w:noWrap/>
            <w:hideMark/>
          </w:tcPr>
          <w:p w14:paraId="06024A1F"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11</w:t>
            </w:r>
          </w:p>
        </w:tc>
        <w:tc>
          <w:tcPr>
            <w:tcW w:w="5986" w:type="dxa"/>
            <w:shd w:val="clear" w:color="auto" w:fill="auto"/>
            <w:hideMark/>
          </w:tcPr>
          <w:p w14:paraId="20E247C7"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De ESM Oplossing ondersteunt de uitdagingen die een pandemie als Covid-19 met zich meebrengt voor een organisatie als het Kadaster. Aanwezig zijn mogelijkheden voor:</w:t>
            </w:r>
            <w:r w:rsidRPr="00A832B4">
              <w:rPr>
                <w:rFonts w:ascii="Arial" w:eastAsia="Times New Roman" w:hAnsi="Arial" w:cs="Arial"/>
                <w:color w:val="000000"/>
                <w:sz w:val="18"/>
                <w:szCs w:val="18"/>
                <w:lang w:eastAsia="nl-NL"/>
              </w:rPr>
              <w:br/>
              <w:t xml:space="preserve">a.      Werkplek beheer </w:t>
            </w:r>
            <w:r w:rsidRPr="00A832B4">
              <w:rPr>
                <w:rFonts w:ascii="Arial" w:eastAsia="Times New Roman" w:hAnsi="Arial" w:cs="Arial"/>
                <w:b/>
                <w:bCs/>
                <w:color w:val="000000"/>
                <w:sz w:val="18"/>
                <w:szCs w:val="18"/>
                <w:lang w:eastAsia="nl-NL"/>
              </w:rPr>
              <w:t>(4pt)</w:t>
            </w:r>
            <w:r w:rsidRPr="00A832B4">
              <w:rPr>
                <w:rFonts w:ascii="Arial" w:eastAsia="Times New Roman" w:hAnsi="Arial" w:cs="Arial"/>
                <w:color w:val="000000"/>
                <w:sz w:val="18"/>
                <w:szCs w:val="18"/>
                <w:lang w:eastAsia="nl-NL"/>
              </w:rPr>
              <w:t>;</w:t>
            </w:r>
            <w:r w:rsidRPr="00A832B4">
              <w:rPr>
                <w:rFonts w:ascii="Arial" w:eastAsia="Times New Roman" w:hAnsi="Arial" w:cs="Arial"/>
                <w:color w:val="000000"/>
                <w:sz w:val="18"/>
                <w:szCs w:val="18"/>
                <w:lang w:eastAsia="nl-NL"/>
              </w:rPr>
              <w:br/>
              <w:t xml:space="preserve">b.      Protocollen/workflows tbv nood respons </w:t>
            </w:r>
            <w:r w:rsidRPr="00A832B4">
              <w:rPr>
                <w:rFonts w:ascii="Arial" w:eastAsia="Times New Roman" w:hAnsi="Arial" w:cs="Arial"/>
                <w:b/>
                <w:bCs/>
                <w:color w:val="000000"/>
                <w:sz w:val="18"/>
                <w:szCs w:val="18"/>
                <w:lang w:eastAsia="nl-NL"/>
              </w:rPr>
              <w:t>(4pt)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41E2DD14" w14:textId="77777777" w:rsidR="00A832B4" w:rsidRDefault="00A832B4" w:rsidP="00A832B4">
            <w:pPr>
              <w:spacing w:after="0" w:line="240" w:lineRule="auto"/>
              <w:rPr>
                <w:rFonts w:ascii="Arial" w:eastAsia="Times New Roman" w:hAnsi="Arial" w:cs="Arial"/>
                <w:color w:val="000000"/>
                <w:sz w:val="18"/>
                <w:szCs w:val="18"/>
                <w:lang w:eastAsia="nl-NL"/>
              </w:rPr>
            </w:pPr>
          </w:p>
          <w:p w14:paraId="6628CDC7" w14:textId="77777777" w:rsidR="00A832B4" w:rsidRDefault="00A832B4" w:rsidP="00A832B4">
            <w:pPr>
              <w:spacing w:after="0" w:line="240" w:lineRule="auto"/>
              <w:rPr>
                <w:rFonts w:ascii="Arial" w:eastAsia="Times New Roman" w:hAnsi="Arial" w:cs="Arial"/>
                <w:color w:val="000000"/>
                <w:sz w:val="18"/>
                <w:szCs w:val="18"/>
                <w:lang w:eastAsia="nl-NL"/>
              </w:rPr>
            </w:pPr>
          </w:p>
          <w:p w14:paraId="1CD77D56" w14:textId="77777777" w:rsidR="00A832B4" w:rsidRDefault="00A832B4" w:rsidP="00A832B4">
            <w:pPr>
              <w:spacing w:after="0" w:line="240" w:lineRule="auto"/>
              <w:rPr>
                <w:rFonts w:ascii="Arial" w:eastAsia="Times New Roman" w:hAnsi="Arial" w:cs="Arial"/>
                <w:color w:val="000000"/>
                <w:sz w:val="18"/>
                <w:szCs w:val="18"/>
                <w:lang w:eastAsia="nl-NL"/>
              </w:rPr>
            </w:pPr>
          </w:p>
          <w:p w14:paraId="59C3C62C" w14:textId="77777777" w:rsidR="00A832B4" w:rsidRDefault="00A832B4" w:rsidP="00A832B4">
            <w:pPr>
              <w:pStyle w:val="Lijstalinea"/>
              <w:numPr>
                <w:ilvl w:val="0"/>
                <w:numId w:val="2"/>
              </w:numPr>
              <w:spacing w:after="0" w:line="240" w:lineRule="auto"/>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 </w:t>
            </w:r>
          </w:p>
          <w:p w14:paraId="23E85FD5" w14:textId="2BEDB84A" w:rsidR="00A832B4" w:rsidRPr="00A832B4" w:rsidRDefault="00A832B4" w:rsidP="00A832B4">
            <w:pPr>
              <w:pStyle w:val="Lijstalinea"/>
              <w:numPr>
                <w:ilvl w:val="0"/>
                <w:numId w:val="2"/>
              </w:numPr>
              <w:spacing w:after="0" w:line="240" w:lineRule="auto"/>
              <w:rPr>
                <w:rFonts w:ascii="Arial" w:eastAsia="Times New Roman" w:hAnsi="Arial" w:cs="Arial"/>
                <w:color w:val="000000"/>
                <w:sz w:val="18"/>
                <w:szCs w:val="18"/>
                <w:lang w:eastAsia="nl-NL"/>
              </w:rPr>
            </w:pPr>
          </w:p>
        </w:tc>
      </w:tr>
      <w:tr w:rsidR="00A832B4" w:rsidRPr="00A832B4" w14:paraId="79EFEF93" w14:textId="77777777" w:rsidTr="00A832B4">
        <w:trPr>
          <w:trHeight w:val="694"/>
        </w:trPr>
        <w:tc>
          <w:tcPr>
            <w:tcW w:w="960" w:type="dxa"/>
            <w:shd w:val="clear" w:color="auto" w:fill="auto"/>
            <w:noWrap/>
            <w:hideMark/>
          </w:tcPr>
          <w:p w14:paraId="3C218C93"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12</w:t>
            </w:r>
          </w:p>
        </w:tc>
        <w:tc>
          <w:tcPr>
            <w:tcW w:w="5986" w:type="dxa"/>
            <w:shd w:val="clear" w:color="auto" w:fill="auto"/>
            <w:hideMark/>
          </w:tcPr>
          <w:p w14:paraId="6E1AB034"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De in de ESM Oplossing aanwezig chatbot is in staat te begrijpen wat de vraag is en kan door middel van machine learning acteren en bepaalde vragen zelf beantwoorden en acties ondernemen. </w:t>
            </w:r>
            <w:r w:rsidRPr="00A832B4">
              <w:rPr>
                <w:rFonts w:ascii="Arial" w:eastAsia="Times New Roman" w:hAnsi="Arial" w:cs="Arial"/>
                <w:b/>
                <w:bCs/>
                <w:color w:val="000000"/>
                <w:sz w:val="18"/>
                <w:szCs w:val="18"/>
                <w:lang w:eastAsia="nl-NL"/>
              </w:rPr>
              <w:t>(8pt)</w:t>
            </w:r>
          </w:p>
        </w:tc>
        <w:tc>
          <w:tcPr>
            <w:tcW w:w="1701" w:type="dxa"/>
            <w:shd w:val="clear" w:color="auto" w:fill="auto"/>
            <w:noWrap/>
            <w:hideMark/>
          </w:tcPr>
          <w:p w14:paraId="10E69BB4"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13DA1C36" w14:textId="77777777" w:rsidTr="00A832B4">
        <w:trPr>
          <w:trHeight w:val="703"/>
        </w:trPr>
        <w:tc>
          <w:tcPr>
            <w:tcW w:w="960" w:type="dxa"/>
            <w:shd w:val="clear" w:color="auto" w:fill="auto"/>
            <w:noWrap/>
            <w:hideMark/>
          </w:tcPr>
          <w:p w14:paraId="04C6DA89"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13</w:t>
            </w:r>
          </w:p>
        </w:tc>
        <w:tc>
          <w:tcPr>
            <w:tcW w:w="5986" w:type="dxa"/>
            <w:shd w:val="clear" w:color="auto" w:fill="auto"/>
            <w:hideMark/>
          </w:tcPr>
          <w:p w14:paraId="5BBA5E42"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De ESM Oplossing heeft een chatbot functionaliteit waarvan het zelflerend vermogen (AI) </w:t>
            </w:r>
            <w:r w:rsidRPr="00A832B4">
              <w:rPr>
                <w:rFonts w:ascii="Arial" w:eastAsia="Times New Roman" w:hAnsi="Arial" w:cs="Arial"/>
                <w:color w:val="000000"/>
                <w:sz w:val="18"/>
                <w:szCs w:val="18"/>
                <w:u w:val="single"/>
                <w:lang w:eastAsia="nl-NL"/>
              </w:rPr>
              <w:t>ook in de Nederlandse taal</w:t>
            </w:r>
            <w:r w:rsidRPr="00A832B4">
              <w:rPr>
                <w:rFonts w:ascii="Arial" w:eastAsia="Times New Roman" w:hAnsi="Arial" w:cs="Arial"/>
                <w:color w:val="000000"/>
                <w:sz w:val="18"/>
                <w:szCs w:val="18"/>
                <w:lang w:eastAsia="nl-NL"/>
              </w:rPr>
              <w:t xml:space="preserve"> beschikbaar is of aantoonbaar in uw roadmap beschikbaar zal komen </w:t>
            </w:r>
            <w:r w:rsidRPr="00A832B4">
              <w:rPr>
                <w:rFonts w:ascii="Arial" w:eastAsia="Times New Roman" w:hAnsi="Arial" w:cs="Arial"/>
                <w:b/>
                <w:bCs/>
                <w:color w:val="000000"/>
                <w:sz w:val="18"/>
                <w:szCs w:val="18"/>
                <w:lang w:eastAsia="nl-NL"/>
              </w:rPr>
              <w:t>(8pt)</w:t>
            </w:r>
            <w:r w:rsidRPr="00A832B4">
              <w:rPr>
                <w:rFonts w:ascii="Arial" w:eastAsia="Times New Roman" w:hAnsi="Arial" w:cs="Arial"/>
                <w:color w:val="000000"/>
                <w:sz w:val="18"/>
                <w:szCs w:val="18"/>
                <w:lang w:eastAsia="nl-NL"/>
              </w:rPr>
              <w:t>;</w:t>
            </w:r>
          </w:p>
        </w:tc>
        <w:tc>
          <w:tcPr>
            <w:tcW w:w="1701" w:type="dxa"/>
            <w:shd w:val="clear" w:color="auto" w:fill="auto"/>
            <w:noWrap/>
            <w:hideMark/>
          </w:tcPr>
          <w:p w14:paraId="17BEF56D"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r w:rsidR="00A832B4" w:rsidRPr="00A832B4" w14:paraId="674FC481" w14:textId="77777777" w:rsidTr="00A832B4">
        <w:trPr>
          <w:trHeight w:val="468"/>
        </w:trPr>
        <w:tc>
          <w:tcPr>
            <w:tcW w:w="960" w:type="dxa"/>
            <w:shd w:val="clear" w:color="auto" w:fill="auto"/>
            <w:noWrap/>
            <w:hideMark/>
          </w:tcPr>
          <w:p w14:paraId="3178ED47" w14:textId="77777777" w:rsidR="00A832B4" w:rsidRPr="00A832B4" w:rsidRDefault="00A832B4" w:rsidP="00A832B4">
            <w:pPr>
              <w:spacing w:after="0" w:line="240" w:lineRule="auto"/>
              <w:jc w:val="center"/>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14</w:t>
            </w:r>
          </w:p>
        </w:tc>
        <w:tc>
          <w:tcPr>
            <w:tcW w:w="5986" w:type="dxa"/>
            <w:shd w:val="clear" w:color="auto" w:fill="auto"/>
            <w:hideMark/>
          </w:tcPr>
          <w:p w14:paraId="07339656" w14:textId="77777777" w:rsidR="00A832B4" w:rsidRPr="00A832B4" w:rsidRDefault="00A832B4" w:rsidP="00A832B4">
            <w:pPr>
              <w:spacing w:after="0" w:line="240" w:lineRule="auto"/>
              <w:rPr>
                <w:rFonts w:ascii="Arial" w:eastAsia="Times New Roman" w:hAnsi="Arial" w:cs="Arial"/>
                <w:color w:val="000000"/>
                <w:sz w:val="18"/>
                <w:szCs w:val="18"/>
                <w:lang w:eastAsia="nl-NL"/>
              </w:rPr>
            </w:pPr>
            <w:r w:rsidRPr="00A832B4">
              <w:rPr>
                <w:rFonts w:ascii="Arial" w:eastAsia="Times New Roman" w:hAnsi="Arial" w:cs="Arial"/>
                <w:color w:val="000000"/>
                <w:sz w:val="18"/>
                <w:szCs w:val="18"/>
                <w:lang w:eastAsia="nl-NL"/>
              </w:rPr>
              <w:t xml:space="preserve">De ESM Oplossing biedt de mogelijkheid om (bij afwezigheid) een vervanger in te stellen voor het goedkeuren/afwijzen van Meldingen. </w:t>
            </w:r>
            <w:r w:rsidRPr="00A832B4">
              <w:rPr>
                <w:rFonts w:ascii="Arial" w:eastAsia="Times New Roman" w:hAnsi="Arial" w:cs="Arial"/>
                <w:b/>
                <w:bCs/>
                <w:color w:val="000000"/>
                <w:sz w:val="18"/>
                <w:szCs w:val="18"/>
                <w:lang w:eastAsia="nl-NL"/>
              </w:rPr>
              <w:t>(6pt)</w:t>
            </w:r>
          </w:p>
        </w:tc>
        <w:tc>
          <w:tcPr>
            <w:tcW w:w="1701" w:type="dxa"/>
            <w:shd w:val="clear" w:color="auto" w:fill="auto"/>
            <w:noWrap/>
            <w:hideMark/>
          </w:tcPr>
          <w:p w14:paraId="611B170A" w14:textId="77777777" w:rsidR="00A832B4" w:rsidRPr="00A832B4" w:rsidRDefault="00A832B4" w:rsidP="00A832B4">
            <w:pPr>
              <w:spacing w:after="0" w:line="240" w:lineRule="auto"/>
              <w:rPr>
                <w:rFonts w:ascii="Arial" w:eastAsia="Times New Roman" w:hAnsi="Arial" w:cs="Arial"/>
                <w:color w:val="000000"/>
                <w:sz w:val="18"/>
                <w:szCs w:val="18"/>
                <w:lang w:eastAsia="nl-NL"/>
              </w:rPr>
            </w:pPr>
          </w:p>
        </w:tc>
      </w:tr>
    </w:tbl>
    <w:p w14:paraId="6BA3EDDD" w14:textId="77777777" w:rsidR="00A832B4" w:rsidRDefault="00A832B4"/>
    <w:sectPr w:rsidR="00A832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C81067"/>
    <w:multiLevelType w:val="hybridMultilevel"/>
    <w:tmpl w:val="BCA23A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450C9E"/>
    <w:multiLevelType w:val="hybridMultilevel"/>
    <w:tmpl w:val="B1B0356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B4"/>
    <w:rsid w:val="006F1A1E"/>
    <w:rsid w:val="00963D5C"/>
    <w:rsid w:val="00973EE0"/>
    <w:rsid w:val="00A832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91996"/>
  <w15:chartTrackingRefBased/>
  <w15:docId w15:val="{39917366-5B4E-4A2A-A495-1596DF78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832B4"/>
    <w:pPr>
      <w:ind w:left="720"/>
      <w:contextualSpacing/>
    </w:pPr>
  </w:style>
  <w:style w:type="paragraph" w:styleId="Titel">
    <w:name w:val="Title"/>
    <w:basedOn w:val="Standaard"/>
    <w:next w:val="Ondertitel"/>
    <w:link w:val="TitelChar"/>
    <w:qFormat/>
    <w:rsid w:val="00A832B4"/>
    <w:pPr>
      <w:spacing w:before="160" w:after="120" w:line="240" w:lineRule="auto"/>
      <w:jc w:val="center"/>
    </w:pPr>
    <w:rPr>
      <w:rFonts w:ascii="Arial" w:eastAsia="Times New Roman" w:hAnsi="Arial" w:cs="Arial"/>
      <w:b/>
      <w:bCs/>
      <w:sz w:val="32"/>
      <w:szCs w:val="24"/>
      <w:lang w:eastAsia="nl-NL"/>
    </w:rPr>
  </w:style>
  <w:style w:type="character" w:customStyle="1" w:styleId="TitelChar">
    <w:name w:val="Titel Char"/>
    <w:basedOn w:val="Standaardalinea-lettertype"/>
    <w:link w:val="Titel"/>
    <w:rsid w:val="00A832B4"/>
    <w:rPr>
      <w:rFonts w:ascii="Arial" w:eastAsia="Times New Roman" w:hAnsi="Arial" w:cs="Arial"/>
      <w:b/>
      <w:bCs/>
      <w:sz w:val="32"/>
      <w:szCs w:val="24"/>
      <w:lang w:eastAsia="nl-NL"/>
    </w:rPr>
  </w:style>
  <w:style w:type="paragraph" w:styleId="Ondertitel">
    <w:name w:val="Subtitle"/>
    <w:basedOn w:val="Standaard"/>
    <w:next w:val="Standaard"/>
    <w:link w:val="OndertitelChar"/>
    <w:uiPriority w:val="11"/>
    <w:qFormat/>
    <w:rsid w:val="00A832B4"/>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A832B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05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464</Words>
  <Characters>2558</Characters>
  <Application>Microsoft Office Word</Application>
  <DocSecurity>0</DocSecurity>
  <Lines>21</Lines>
  <Paragraphs>6</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Tetering, Jasper van</dc:creator>
  <cp:keywords/>
  <dc:description/>
  <cp:lastModifiedBy>Tetering, Jasper van</cp:lastModifiedBy>
  <cp:revision>3</cp:revision>
  <dcterms:created xsi:type="dcterms:W3CDTF">2021-06-11T07:25:00Z</dcterms:created>
  <dcterms:modified xsi:type="dcterms:W3CDTF">2021-06-11T07:34:00Z</dcterms:modified>
</cp:coreProperties>
</file>