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4AFF1" w14:textId="77777777" w:rsidR="007F06B0" w:rsidRPr="007F06B0" w:rsidRDefault="007F06B0" w:rsidP="007F06B0">
      <w:pPr>
        <w:pStyle w:val="Kop10"/>
        <w:ind w:left="2160" w:hanging="2160"/>
        <w:rPr>
          <w:color w:val="auto"/>
          <w:lang w:val="nl"/>
        </w:rPr>
      </w:pPr>
      <w:bookmarkStart w:id="0" w:name="_Toc350865346"/>
      <w:bookmarkStart w:id="1" w:name="_Toc352924888"/>
      <w:bookmarkStart w:id="2" w:name="_Toc72936013"/>
      <w:bookmarkStart w:id="3" w:name="_Toc285541208"/>
      <w:bookmarkStart w:id="4" w:name="_Toc285541677"/>
      <w:bookmarkStart w:id="5" w:name="_Toc285547218"/>
      <w:bookmarkStart w:id="6" w:name="_Toc289803634"/>
      <w:bookmarkStart w:id="7" w:name="_Toc313527873"/>
      <w:bookmarkStart w:id="8" w:name="_Toc313528576"/>
      <w:bookmarkStart w:id="9" w:name="_Toc313528648"/>
      <w:bookmarkStart w:id="10" w:name="_Toc313535547"/>
      <w:bookmarkStart w:id="11" w:name="_Toc338065476"/>
      <w:bookmarkStart w:id="12" w:name="_Toc338081645"/>
      <w:bookmarkStart w:id="13" w:name="_Toc347476624"/>
      <w:bookmarkStart w:id="14" w:name="_Toc350513676"/>
      <w:bookmarkStart w:id="15" w:name="_Toc350514016"/>
      <w:bookmarkStart w:id="16" w:name="_Toc350514115"/>
      <w:bookmarkStart w:id="17" w:name="_Toc350860232"/>
      <w:r w:rsidRPr="007F06B0">
        <w:rPr>
          <w:color w:val="auto"/>
          <w:lang w:val="nl"/>
        </w:rPr>
        <w:t>Bijlage 3</w:t>
      </w:r>
      <w:r w:rsidRPr="007F06B0">
        <w:rPr>
          <w:color w:val="auto"/>
          <w:lang w:val="nl"/>
        </w:rPr>
        <w:tab/>
        <w:t>Technische specificaties</w:t>
      </w:r>
      <w:bookmarkEnd w:id="0"/>
      <w:bookmarkEnd w:id="1"/>
      <w:bookmarkEnd w:id="2"/>
      <w:r w:rsidRPr="007F06B0">
        <w:rPr>
          <w:color w:val="auto"/>
          <w:lang w:val="nl"/>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447E7A48" w14:textId="77777777" w:rsidR="007F06B0" w:rsidRPr="003D2184" w:rsidRDefault="007F06B0" w:rsidP="007F06B0">
      <w:r w:rsidRPr="007308C2">
        <w:t xml:space="preserve">In deze Bijlage </w:t>
      </w:r>
      <w:r>
        <w:t>zijn de T</w:t>
      </w:r>
      <w:r w:rsidRPr="007308C2">
        <w:t xml:space="preserve">echnische specificaties </w:t>
      </w:r>
      <w:r>
        <w:t xml:space="preserve">opgenomen. </w:t>
      </w:r>
      <w:r w:rsidRPr="007308C2">
        <w:t xml:space="preserve">Van Inschrijver wordt verwacht dat hij </w:t>
      </w:r>
      <w:r>
        <w:t>de eisen accepteert door deze Bijlage te ondertekenen en bij te voegen bij de Inschrijving.</w:t>
      </w:r>
    </w:p>
    <w:tbl>
      <w:tblPr>
        <w:tblW w:w="839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64"/>
        <w:gridCol w:w="7428"/>
      </w:tblGrid>
      <w:tr w:rsidR="007F06B0" w:rsidRPr="004A4317" w14:paraId="0418B3F6" w14:textId="77777777" w:rsidTr="00AE4993">
        <w:tc>
          <w:tcPr>
            <w:tcW w:w="964" w:type="dxa"/>
            <w:tcBorders>
              <w:bottom w:val="single" w:sz="8" w:space="0" w:color="4F81BD"/>
            </w:tcBorders>
            <w:shd w:val="clear" w:color="auto" w:fill="548DD4"/>
          </w:tcPr>
          <w:p w14:paraId="4325EBCE" w14:textId="77777777" w:rsidR="007F06B0" w:rsidRPr="00BC59CB" w:rsidRDefault="007F06B0" w:rsidP="00AE4993">
            <w:pPr>
              <w:spacing w:before="90" w:after="54" w:line="312" w:lineRule="auto"/>
              <w:jc w:val="center"/>
              <w:rPr>
                <w:b/>
                <w:bCs/>
                <w:color w:val="FFFFFF"/>
              </w:rPr>
            </w:pPr>
            <w:r w:rsidRPr="00BC59CB">
              <w:rPr>
                <w:b/>
                <w:bCs/>
                <w:color w:val="FFFFFF"/>
              </w:rPr>
              <w:t>Nummer</w:t>
            </w:r>
          </w:p>
        </w:tc>
        <w:tc>
          <w:tcPr>
            <w:tcW w:w="7428" w:type="dxa"/>
            <w:shd w:val="clear" w:color="auto" w:fill="548DD4"/>
          </w:tcPr>
          <w:p w14:paraId="20D41AE6" w14:textId="77777777" w:rsidR="007F06B0" w:rsidRPr="00BC59CB" w:rsidRDefault="007F06B0" w:rsidP="00AE4993">
            <w:pPr>
              <w:spacing w:before="90" w:after="54" w:line="312" w:lineRule="auto"/>
              <w:jc w:val="center"/>
              <w:rPr>
                <w:b/>
                <w:bCs/>
                <w:color w:val="FFFFFF"/>
              </w:rPr>
            </w:pPr>
            <w:r w:rsidRPr="00BC59CB">
              <w:rPr>
                <w:b/>
                <w:bCs/>
                <w:color w:val="FFFFFF"/>
              </w:rPr>
              <w:t>Eis</w:t>
            </w:r>
          </w:p>
        </w:tc>
      </w:tr>
      <w:tr w:rsidR="007F06B0" w:rsidRPr="004A4317" w14:paraId="30DC2925" w14:textId="77777777" w:rsidTr="00AE4993">
        <w:tc>
          <w:tcPr>
            <w:tcW w:w="964" w:type="dxa"/>
            <w:shd w:val="clear" w:color="auto" w:fill="8DB3E2"/>
          </w:tcPr>
          <w:p w14:paraId="42BCA601" w14:textId="77777777" w:rsidR="007F06B0" w:rsidRPr="004A4317" w:rsidRDefault="007F06B0" w:rsidP="007F06B0">
            <w:pPr>
              <w:numPr>
                <w:ilvl w:val="0"/>
                <w:numId w:val="1"/>
              </w:numPr>
              <w:tabs>
                <w:tab w:val="clear" w:pos="-567"/>
              </w:tabs>
              <w:spacing w:before="90" w:after="54" w:line="312" w:lineRule="auto"/>
            </w:pPr>
          </w:p>
        </w:tc>
        <w:tc>
          <w:tcPr>
            <w:tcW w:w="7428" w:type="dxa"/>
          </w:tcPr>
          <w:p w14:paraId="5A3952B2" w14:textId="77777777" w:rsidR="007F06B0" w:rsidRPr="00153D54" w:rsidRDefault="007F06B0" w:rsidP="00AE4993">
            <w:pPr>
              <w:rPr>
                <w:spacing w:val="-2"/>
              </w:rPr>
            </w:pPr>
            <w:r>
              <w:rPr>
                <w:spacing w:val="-2"/>
              </w:rPr>
              <w:t>Contractant</w:t>
            </w:r>
            <w:r w:rsidRPr="00153D54">
              <w:rPr>
                <w:spacing w:val="-2"/>
              </w:rPr>
              <w:t xml:space="preserve"> is gehouden om</w:t>
            </w:r>
            <w:r>
              <w:rPr>
                <w:spacing w:val="-2"/>
              </w:rPr>
              <w:t xml:space="preserve"> zich bij de uitvoering van de O</w:t>
            </w:r>
            <w:r w:rsidRPr="00153D54">
              <w:rPr>
                <w:spacing w:val="-2"/>
              </w:rPr>
              <w:t xml:space="preserve">pdracht te houden aan alle geldende regelgeving. Eventuele schade die volgt uit het niet naleven van wetgeving zal door de </w:t>
            </w:r>
            <w:r>
              <w:rPr>
                <w:spacing w:val="-2"/>
              </w:rPr>
              <w:t>Contractant worden vergoed aan de G</w:t>
            </w:r>
            <w:r w:rsidRPr="00153D54">
              <w:rPr>
                <w:spacing w:val="-2"/>
              </w:rPr>
              <w:t xml:space="preserve">emeente. </w:t>
            </w:r>
          </w:p>
          <w:p w14:paraId="64266ACD" w14:textId="77777777" w:rsidR="007F06B0" w:rsidRPr="009353A6" w:rsidRDefault="007F06B0" w:rsidP="00AE4993">
            <w:pPr>
              <w:rPr>
                <w:spacing w:val="-2"/>
              </w:rPr>
            </w:pPr>
            <w:proofErr w:type="gramStart"/>
            <w:r w:rsidRPr="00153D54">
              <w:rPr>
                <w:spacing w:val="-2"/>
              </w:rPr>
              <w:t>Indien</w:t>
            </w:r>
            <w:proofErr w:type="gramEnd"/>
            <w:r w:rsidRPr="00153D54">
              <w:rPr>
                <w:spacing w:val="-2"/>
              </w:rPr>
              <w:t xml:space="preserve"> tijdens de uitvoering van de opdracht gebruik </w:t>
            </w:r>
            <w:r>
              <w:rPr>
                <w:spacing w:val="-2"/>
              </w:rPr>
              <w:t>wordt</w:t>
            </w:r>
            <w:r w:rsidRPr="00153D54">
              <w:rPr>
                <w:spacing w:val="-2"/>
              </w:rPr>
              <w:t xml:space="preserve"> gemaakt van werknemers die volgens de Wet Arbeid Vreemdelingen (WAV) niet bevoegd zijn om in Nederland te werken en de </w:t>
            </w:r>
            <w:r>
              <w:rPr>
                <w:spacing w:val="-2"/>
              </w:rPr>
              <w:t>G</w:t>
            </w:r>
            <w:r w:rsidRPr="00153D54">
              <w:rPr>
                <w:spacing w:val="-2"/>
              </w:rPr>
              <w:t xml:space="preserve">emeente wegens het brede werkgeversbegrip in deze wet wordt beboet, zal </w:t>
            </w:r>
            <w:r>
              <w:rPr>
                <w:spacing w:val="-2"/>
              </w:rPr>
              <w:t>Contractant de boete welke de G</w:t>
            </w:r>
            <w:r w:rsidRPr="00153D54">
              <w:rPr>
                <w:spacing w:val="-2"/>
              </w:rPr>
              <w:t xml:space="preserve">emeente wordt opgelegd vergoeden. </w:t>
            </w:r>
          </w:p>
        </w:tc>
      </w:tr>
      <w:tr w:rsidR="007F06B0" w:rsidRPr="004A4317" w14:paraId="4D273988" w14:textId="77777777" w:rsidTr="00AE4993">
        <w:tc>
          <w:tcPr>
            <w:tcW w:w="964" w:type="dxa"/>
            <w:shd w:val="clear" w:color="auto" w:fill="8DB3E2"/>
          </w:tcPr>
          <w:p w14:paraId="09232EC9"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25C68D4B" w14:textId="77777777" w:rsidR="007F06B0" w:rsidRPr="00A90DE5" w:rsidRDefault="007F06B0" w:rsidP="00AE4993">
            <w:r w:rsidRPr="008E6998">
              <w:rPr>
                <w:rFonts w:cs="Arial"/>
              </w:rPr>
              <w:t xml:space="preserve">In het kader van Wet Aanpak Schijnconstructies (WAS) houdt </w:t>
            </w:r>
            <w:r>
              <w:rPr>
                <w:rFonts w:cs="Arial"/>
              </w:rPr>
              <w:t>Contractant</w:t>
            </w:r>
            <w:r w:rsidRPr="008E6998">
              <w:rPr>
                <w:rFonts w:cs="Arial"/>
              </w:rPr>
              <w:t xml:space="preserve"> zich bij de uitvoering van de Opdracht aan de geldende wet- en regelgeving op het gebied van arbeidsvoorwaarden en aan de CAO die voor zijn medewerkers van toepassing zijn. </w:t>
            </w:r>
            <w:r>
              <w:rPr>
                <w:rFonts w:cs="Arial"/>
              </w:rPr>
              <w:t>Contractant</w:t>
            </w:r>
            <w:r w:rsidRPr="008E6998">
              <w:rPr>
                <w:rFonts w:cs="Arial"/>
              </w:rPr>
              <w:t xml:space="preserve"> vrijwaart </w:t>
            </w:r>
            <w:r>
              <w:rPr>
                <w:rFonts w:cs="Arial"/>
              </w:rPr>
              <w:t>de Gemeente</w:t>
            </w:r>
            <w:r w:rsidRPr="008E6998">
              <w:rPr>
                <w:rFonts w:cs="Arial"/>
              </w:rPr>
              <w:t xml:space="preserve"> voor alle aanspraken van derden die zij op grond van de Wet Aanpak Schijnconstructies heeft ingesteld.</w:t>
            </w:r>
          </w:p>
        </w:tc>
      </w:tr>
      <w:tr w:rsidR="007F06B0" w:rsidRPr="004A4317" w14:paraId="37EAAEFF" w14:textId="77777777" w:rsidTr="00AE4993">
        <w:tc>
          <w:tcPr>
            <w:tcW w:w="964" w:type="dxa"/>
            <w:shd w:val="clear" w:color="auto" w:fill="8DB3E2"/>
          </w:tcPr>
          <w:p w14:paraId="74D6F497" w14:textId="77777777" w:rsidR="007F06B0" w:rsidRPr="004A4317" w:rsidRDefault="007F06B0" w:rsidP="007F06B0">
            <w:pPr>
              <w:numPr>
                <w:ilvl w:val="0"/>
                <w:numId w:val="1"/>
              </w:numPr>
              <w:tabs>
                <w:tab w:val="clear" w:pos="-567"/>
              </w:tabs>
              <w:spacing w:before="90" w:after="54" w:line="312" w:lineRule="auto"/>
            </w:pPr>
          </w:p>
        </w:tc>
        <w:tc>
          <w:tcPr>
            <w:tcW w:w="7428" w:type="dxa"/>
          </w:tcPr>
          <w:p w14:paraId="75722B0E" w14:textId="77777777" w:rsidR="007F06B0" w:rsidRPr="004A4317" w:rsidRDefault="007F06B0" w:rsidP="00AE4993">
            <w:pPr>
              <w:tabs>
                <w:tab w:val="left" w:pos="1080"/>
              </w:tabs>
            </w:pPr>
            <w:r w:rsidRPr="00C65DA2">
              <w:rPr>
                <w:spacing w:val="-2"/>
              </w:rPr>
              <w:t>Contractant zal na opdrachtverlening een startoverleg voeren met de Gemeente betreffende implementatie van het project.</w:t>
            </w:r>
          </w:p>
        </w:tc>
      </w:tr>
      <w:tr w:rsidR="007F06B0" w:rsidRPr="004A4317" w14:paraId="000A35CC" w14:textId="77777777" w:rsidTr="00AE4993">
        <w:tc>
          <w:tcPr>
            <w:tcW w:w="964" w:type="dxa"/>
            <w:shd w:val="clear" w:color="auto" w:fill="8DB3E2"/>
          </w:tcPr>
          <w:p w14:paraId="414850AB"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0E4B7668" w14:textId="77777777" w:rsidR="007F06B0" w:rsidRPr="00A848AD" w:rsidRDefault="007F06B0" w:rsidP="00AE4993">
            <w:pPr>
              <w:tabs>
                <w:tab w:val="left" w:pos="1080"/>
              </w:tabs>
              <w:rPr>
                <w:spacing w:val="-2"/>
              </w:rPr>
            </w:pPr>
            <w:r>
              <w:rPr>
                <w:spacing w:val="-2"/>
              </w:rPr>
              <w:t>Het door ondernemer te leveren steenzout voldoet aan de samenstellingseisen genoemd in de standaard RAW-bepalingen 50.46.01 en de NEN-EN 16811 (meest recente versie).</w:t>
            </w:r>
          </w:p>
        </w:tc>
      </w:tr>
      <w:tr w:rsidR="007F06B0" w:rsidRPr="004A4317" w14:paraId="384664DD" w14:textId="77777777" w:rsidTr="00AE4993">
        <w:tc>
          <w:tcPr>
            <w:tcW w:w="964" w:type="dxa"/>
            <w:shd w:val="clear" w:color="auto" w:fill="8DB3E2"/>
          </w:tcPr>
          <w:p w14:paraId="22BE8790"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0263587D" w14:textId="77777777" w:rsidR="007F06B0" w:rsidRPr="00A848AD" w:rsidRDefault="007F06B0" w:rsidP="00AE4993">
            <w:pPr>
              <w:tabs>
                <w:tab w:val="left" w:pos="1080"/>
              </w:tabs>
              <w:rPr>
                <w:spacing w:val="-2"/>
              </w:rPr>
            </w:pPr>
            <w:r w:rsidRPr="00EA2F2E">
              <w:rPr>
                <w:spacing w:val="-2"/>
              </w:rPr>
              <w:t xml:space="preserve">Het door u te leveren steenzout is geschikt voor nat strooien en voor gebruik in de </w:t>
            </w:r>
            <w:proofErr w:type="spellStart"/>
            <w:r w:rsidRPr="00EA2F2E">
              <w:rPr>
                <w:spacing w:val="-2"/>
              </w:rPr>
              <w:t>natzout</w:t>
            </w:r>
            <w:proofErr w:type="spellEnd"/>
            <w:r w:rsidRPr="00EA2F2E">
              <w:rPr>
                <w:spacing w:val="-2"/>
              </w:rPr>
              <w:t xml:space="preserve"> menginstallatie zoals in gebruik bij/door </w:t>
            </w:r>
            <w:r>
              <w:rPr>
                <w:spacing w:val="-2"/>
              </w:rPr>
              <w:t>Opdrachtgever</w:t>
            </w:r>
            <w:r w:rsidRPr="00EA2F2E">
              <w:rPr>
                <w:spacing w:val="-2"/>
              </w:rPr>
              <w:t xml:space="preserve"> (</w:t>
            </w:r>
            <w:proofErr w:type="spellStart"/>
            <w:r w:rsidRPr="00EA2F2E">
              <w:rPr>
                <w:spacing w:val="-2"/>
              </w:rPr>
              <w:t>Saltmix</w:t>
            </w:r>
            <w:proofErr w:type="spellEnd"/>
            <w:r w:rsidRPr="00EA2F2E">
              <w:rPr>
                <w:spacing w:val="-2"/>
              </w:rPr>
              <w:t xml:space="preserve"> 3/6, type ZOT 12/24/2, 1/5).</w:t>
            </w:r>
          </w:p>
        </w:tc>
      </w:tr>
      <w:tr w:rsidR="007F06B0" w:rsidRPr="004A4317" w14:paraId="0B6D98EF" w14:textId="77777777" w:rsidTr="00AE4993">
        <w:tc>
          <w:tcPr>
            <w:tcW w:w="964" w:type="dxa"/>
            <w:shd w:val="clear" w:color="auto" w:fill="8DB3E2"/>
          </w:tcPr>
          <w:p w14:paraId="7F9847A1"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1000D810" w14:textId="77777777" w:rsidR="007F06B0" w:rsidRPr="00C65DA2" w:rsidRDefault="007F06B0" w:rsidP="00AE4993">
            <w:pPr>
              <w:tabs>
                <w:tab w:val="left" w:pos="1080"/>
              </w:tabs>
              <w:rPr>
                <w:spacing w:val="-2"/>
              </w:rPr>
            </w:pPr>
            <w:r w:rsidRPr="00C65DA2">
              <w:rPr>
                <w:spacing w:val="-2"/>
              </w:rPr>
              <w:t xml:space="preserve">Opdrachtnemer verklaart ermee akkoord te zijn dat Opdrachtgever te allen tijde een controle kan laten uitvoeren op de samenstelling van het steenzout door een geaccrediteerd onafhankelijk extern bureau. </w:t>
            </w:r>
          </w:p>
        </w:tc>
      </w:tr>
      <w:tr w:rsidR="007F06B0" w:rsidRPr="004A4317" w14:paraId="3138D6BB" w14:textId="77777777" w:rsidTr="00AE4993">
        <w:tc>
          <w:tcPr>
            <w:tcW w:w="964" w:type="dxa"/>
            <w:shd w:val="clear" w:color="auto" w:fill="8DB3E2"/>
          </w:tcPr>
          <w:p w14:paraId="0690C85E"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7B6372D2" w14:textId="77777777" w:rsidR="007F06B0" w:rsidRPr="003938E5" w:rsidRDefault="007F06B0" w:rsidP="00AE4993">
            <w:pPr>
              <w:tabs>
                <w:tab w:val="left" w:pos="1080"/>
              </w:tabs>
              <w:rPr>
                <w:spacing w:val="-2"/>
              </w:rPr>
            </w:pPr>
            <w:r w:rsidRPr="003938E5">
              <w:rPr>
                <w:spacing w:val="-2"/>
              </w:rPr>
              <w:t>Opdrachtgever garandeert over de contractperiode gemiddeld 250 ton per jaar af te nemen. Dit is bij een contractperiode van 4 jaar (inclusief verlenging van 1 jaar) 1.000 ton. Door weersomstandigheden kunnen de tonnages per jaar fluctueren. Opdrachtnemer kan hieraan geen rechten ontlenen.</w:t>
            </w:r>
          </w:p>
        </w:tc>
      </w:tr>
      <w:tr w:rsidR="007F06B0" w:rsidRPr="004A4317" w14:paraId="29D5BC29" w14:textId="77777777" w:rsidTr="00AE4993">
        <w:tc>
          <w:tcPr>
            <w:tcW w:w="964" w:type="dxa"/>
            <w:shd w:val="clear" w:color="auto" w:fill="8DB3E2"/>
          </w:tcPr>
          <w:p w14:paraId="6C9281E6"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4B8E36B6" w14:textId="77777777" w:rsidR="007F06B0" w:rsidRPr="003938E5" w:rsidRDefault="007F06B0" w:rsidP="00AE4993">
            <w:pPr>
              <w:tabs>
                <w:tab w:val="left" w:pos="1080"/>
              </w:tabs>
              <w:rPr>
                <w:spacing w:val="-2"/>
              </w:rPr>
            </w:pPr>
            <w:proofErr w:type="gramStart"/>
            <w:r w:rsidRPr="003938E5">
              <w:rPr>
                <w:spacing w:val="-2"/>
              </w:rPr>
              <w:t>Indien</w:t>
            </w:r>
            <w:proofErr w:type="gramEnd"/>
            <w:r w:rsidRPr="003938E5">
              <w:rPr>
                <w:spacing w:val="-2"/>
              </w:rPr>
              <w:t xml:space="preserve"> we door weersomstandigheden minder afnemen dan in eis 7 genoemd, kan inschrijver opslagkosten per ton in rekening brengen over de tonnen die niet geleverd zijn na beëindiging contract. Hierbij hanteren we hetzelfde tarief als van de strategische voorraad.</w:t>
            </w:r>
          </w:p>
        </w:tc>
      </w:tr>
      <w:tr w:rsidR="007F06B0" w:rsidRPr="004A4317" w14:paraId="6188D484" w14:textId="77777777" w:rsidTr="00AE4993">
        <w:tc>
          <w:tcPr>
            <w:tcW w:w="964" w:type="dxa"/>
            <w:shd w:val="clear" w:color="auto" w:fill="8DB3E2"/>
          </w:tcPr>
          <w:p w14:paraId="07A034C9"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2815A5DD" w14:textId="77777777" w:rsidR="007F06B0" w:rsidRPr="003938E5" w:rsidRDefault="007F06B0" w:rsidP="00AE4993">
            <w:pPr>
              <w:tabs>
                <w:tab w:val="left" w:pos="1080"/>
              </w:tabs>
              <w:rPr>
                <w:spacing w:val="-2"/>
              </w:rPr>
            </w:pPr>
            <w:proofErr w:type="gramStart"/>
            <w:r w:rsidRPr="003938E5">
              <w:rPr>
                <w:spacing w:val="-2"/>
              </w:rPr>
              <w:t>Indien</w:t>
            </w:r>
            <w:proofErr w:type="gramEnd"/>
            <w:r w:rsidRPr="003938E5">
              <w:rPr>
                <w:spacing w:val="-2"/>
              </w:rPr>
              <w:t xml:space="preserve"> door weersomstandigheden meer ton wordt afgeroepen dan 2.000 ton in de contractperiode van 4 jaar (inclusief verlenging van 1 jaar), rekent u meerkosten per ton. In bijlage </w:t>
            </w:r>
            <w:r>
              <w:rPr>
                <w:spacing w:val="-2"/>
              </w:rPr>
              <w:t>5</w:t>
            </w:r>
            <w:r w:rsidRPr="003938E5">
              <w:rPr>
                <w:spacing w:val="-2"/>
              </w:rPr>
              <w:t xml:space="preserve"> prijsopgave vermeld u de meerkosten per ton. </w:t>
            </w:r>
          </w:p>
        </w:tc>
      </w:tr>
      <w:tr w:rsidR="007F06B0" w:rsidRPr="004A4317" w14:paraId="4E60A177" w14:textId="77777777" w:rsidTr="00AE4993">
        <w:tc>
          <w:tcPr>
            <w:tcW w:w="964" w:type="dxa"/>
            <w:shd w:val="clear" w:color="auto" w:fill="8DB3E2"/>
          </w:tcPr>
          <w:p w14:paraId="594DC5DC"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17AC7712" w14:textId="77777777" w:rsidR="007F06B0" w:rsidRPr="003938E5" w:rsidRDefault="007F06B0" w:rsidP="00AE4993">
            <w:pPr>
              <w:tabs>
                <w:tab w:val="left" w:pos="1080"/>
              </w:tabs>
              <w:rPr>
                <w:spacing w:val="-2"/>
              </w:rPr>
            </w:pPr>
            <w:r w:rsidRPr="003938E5">
              <w:rPr>
                <w:spacing w:val="-2"/>
              </w:rPr>
              <w:t xml:space="preserve">Uitgangspunt contractduur is 4 jaar, bij keuze 3 jaar worden tonnages genoemd bij eis </w:t>
            </w:r>
            <w:r>
              <w:rPr>
                <w:spacing w:val="-2"/>
              </w:rPr>
              <w:t>7</w:t>
            </w:r>
            <w:r w:rsidRPr="003938E5">
              <w:rPr>
                <w:spacing w:val="-2"/>
              </w:rPr>
              <w:t xml:space="preserve">, </w:t>
            </w:r>
            <w:r>
              <w:rPr>
                <w:spacing w:val="-2"/>
              </w:rPr>
              <w:t>8</w:t>
            </w:r>
            <w:r w:rsidRPr="003938E5">
              <w:rPr>
                <w:spacing w:val="-2"/>
              </w:rPr>
              <w:t xml:space="preserve"> en </w:t>
            </w:r>
            <w:r>
              <w:rPr>
                <w:spacing w:val="-2"/>
              </w:rPr>
              <w:t>9</w:t>
            </w:r>
            <w:r w:rsidRPr="003938E5">
              <w:rPr>
                <w:spacing w:val="-2"/>
              </w:rPr>
              <w:t xml:space="preserve"> naar rato bijgesteld.</w:t>
            </w:r>
          </w:p>
        </w:tc>
      </w:tr>
      <w:tr w:rsidR="007F06B0" w:rsidRPr="004A4317" w14:paraId="55F161F8" w14:textId="77777777" w:rsidTr="00AE4993">
        <w:tc>
          <w:tcPr>
            <w:tcW w:w="964" w:type="dxa"/>
            <w:shd w:val="clear" w:color="auto" w:fill="8DB3E2"/>
          </w:tcPr>
          <w:p w14:paraId="6C1F2759"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0235685D" w14:textId="77777777" w:rsidR="007F06B0" w:rsidRPr="00A848AD" w:rsidRDefault="007F06B0" w:rsidP="00AE4993">
            <w:pPr>
              <w:tabs>
                <w:tab w:val="clear" w:pos="-567"/>
                <w:tab w:val="left" w:pos="1080"/>
              </w:tabs>
              <w:ind w:right="114"/>
              <w:jc w:val="both"/>
              <w:rPr>
                <w:spacing w:val="-2"/>
              </w:rPr>
            </w:pPr>
            <w:r w:rsidRPr="006E69DE">
              <w:t xml:space="preserve">Afroepen/opdrachten van </w:t>
            </w:r>
            <w:r>
              <w:t>Opdrachtgever</w:t>
            </w:r>
            <w:r w:rsidRPr="006E69DE">
              <w:t xml:space="preserve"> tot levering van</w:t>
            </w:r>
            <w:r>
              <w:t xml:space="preserve"> </w:t>
            </w:r>
            <w:r w:rsidRPr="006E69DE">
              <w:t>dooimiddelen</w:t>
            </w:r>
            <w:r>
              <w:rPr>
                <w:spacing w:val="-2"/>
              </w:rPr>
              <w:t xml:space="preserve"> worden door Opdrachtnemer per e-mail aan (de contactpersoon van) Opdrachtgever bevestigd. In de opdrachtbevestiging wordt </w:t>
            </w:r>
            <w:proofErr w:type="gramStart"/>
            <w:r>
              <w:rPr>
                <w:spacing w:val="-2"/>
              </w:rPr>
              <w:t>tevens</w:t>
            </w:r>
            <w:proofErr w:type="gramEnd"/>
            <w:r>
              <w:rPr>
                <w:spacing w:val="-2"/>
              </w:rPr>
              <w:t xml:space="preserve"> melding gemaakt van het moment van levering.</w:t>
            </w:r>
          </w:p>
        </w:tc>
      </w:tr>
      <w:tr w:rsidR="007F06B0" w:rsidRPr="004A4317" w14:paraId="16654B11" w14:textId="77777777" w:rsidTr="00AE4993">
        <w:tc>
          <w:tcPr>
            <w:tcW w:w="964" w:type="dxa"/>
            <w:shd w:val="clear" w:color="auto" w:fill="8DB3E2"/>
          </w:tcPr>
          <w:p w14:paraId="28484B0D"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78740809" w14:textId="77777777" w:rsidR="007F06B0" w:rsidRPr="00A848AD" w:rsidRDefault="007F06B0" w:rsidP="00AE4993">
            <w:pPr>
              <w:tabs>
                <w:tab w:val="left" w:pos="1080"/>
              </w:tabs>
              <w:rPr>
                <w:spacing w:val="-2"/>
              </w:rPr>
            </w:pPr>
            <w:r>
              <w:rPr>
                <w:spacing w:val="-2"/>
              </w:rPr>
              <w:t>Afroepen/opdrachten van Opdrachtgever kunnen telefonisch worden geplaatst, waarna deze per e-mail door Opdrachtgever worden bevestigd.</w:t>
            </w:r>
          </w:p>
        </w:tc>
      </w:tr>
      <w:tr w:rsidR="007F06B0" w:rsidRPr="004A4317" w14:paraId="18778ED0" w14:textId="77777777" w:rsidTr="00AE4993">
        <w:tc>
          <w:tcPr>
            <w:tcW w:w="964" w:type="dxa"/>
            <w:shd w:val="clear" w:color="auto" w:fill="8DB3E2"/>
          </w:tcPr>
          <w:p w14:paraId="46FD8026"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062A1BC2" w14:textId="77777777" w:rsidR="007F06B0" w:rsidRPr="00A848AD" w:rsidRDefault="007F06B0" w:rsidP="00AE4993">
            <w:pPr>
              <w:tabs>
                <w:tab w:val="left" w:pos="1080"/>
              </w:tabs>
              <w:rPr>
                <w:spacing w:val="-2"/>
              </w:rPr>
            </w:pPr>
            <w:r>
              <w:rPr>
                <w:spacing w:val="-2"/>
              </w:rPr>
              <w:t>Opdrachtnemer is 24 uur per dag en 7 dagen per week bereikbaar voor het afroepen van zoutleveringen.</w:t>
            </w:r>
          </w:p>
        </w:tc>
      </w:tr>
      <w:tr w:rsidR="007F06B0" w:rsidRPr="004A4317" w14:paraId="638C13BD" w14:textId="77777777" w:rsidTr="00AE4993">
        <w:tc>
          <w:tcPr>
            <w:tcW w:w="964" w:type="dxa"/>
            <w:shd w:val="clear" w:color="auto" w:fill="8DB3E2"/>
          </w:tcPr>
          <w:p w14:paraId="3DAE70EB"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682EB96A" w14:textId="77777777" w:rsidR="007F06B0" w:rsidRPr="00A848AD" w:rsidRDefault="007F06B0" w:rsidP="00AE4993">
            <w:pPr>
              <w:tabs>
                <w:tab w:val="left" w:pos="1080"/>
              </w:tabs>
              <w:rPr>
                <w:spacing w:val="-2"/>
              </w:rPr>
            </w:pPr>
            <w:r>
              <w:rPr>
                <w:spacing w:val="-2"/>
              </w:rPr>
              <w:t>De door u op afroep te leveren dooimiddelen worden tijdens openingstijden op werkdagen afgeleverd op de locatie van de afdeling Afvalinzameling, Argonstraat 45, 2718SM Zoetermeer. De openingstijden zijn van 07.30 uur tot 16.00 uur.</w:t>
            </w:r>
          </w:p>
        </w:tc>
      </w:tr>
      <w:tr w:rsidR="007F06B0" w:rsidRPr="004A4317" w14:paraId="1EA54769" w14:textId="77777777" w:rsidTr="00AE4993">
        <w:tc>
          <w:tcPr>
            <w:tcW w:w="964" w:type="dxa"/>
            <w:shd w:val="clear" w:color="auto" w:fill="8DB3E2"/>
          </w:tcPr>
          <w:p w14:paraId="0FDE19A6"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568A9C91" w14:textId="77777777" w:rsidR="007F06B0" w:rsidRPr="00A848AD" w:rsidRDefault="007F06B0" w:rsidP="00AE4993">
            <w:pPr>
              <w:tabs>
                <w:tab w:val="left" w:pos="1080"/>
              </w:tabs>
              <w:rPr>
                <w:spacing w:val="-2"/>
              </w:rPr>
            </w:pPr>
            <w:r>
              <w:rPr>
                <w:spacing w:val="-2"/>
              </w:rPr>
              <w:t>Tijdens het winterseizoen verzorgt Opdrachtnemer op verzoek van en op afroep door Opdrachtgever noodleveringen, eventueel buiten de openingstijden van Opdrachtgever.</w:t>
            </w:r>
          </w:p>
        </w:tc>
      </w:tr>
      <w:tr w:rsidR="007F06B0" w:rsidRPr="004A4317" w14:paraId="160770D6" w14:textId="77777777" w:rsidTr="00AE4993">
        <w:tc>
          <w:tcPr>
            <w:tcW w:w="964" w:type="dxa"/>
            <w:shd w:val="clear" w:color="auto" w:fill="8DB3E2"/>
          </w:tcPr>
          <w:p w14:paraId="45B14DBA"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3DFFB675" w14:textId="77777777" w:rsidR="007F06B0" w:rsidRPr="00A848AD" w:rsidRDefault="007F06B0" w:rsidP="00AE4993">
            <w:pPr>
              <w:tabs>
                <w:tab w:val="left" w:pos="1080"/>
              </w:tabs>
              <w:rPr>
                <w:spacing w:val="-2"/>
              </w:rPr>
            </w:pPr>
            <w:r>
              <w:rPr>
                <w:spacing w:val="-2"/>
              </w:rPr>
              <w:t>Bij bulkleveringen van steenzout dient het zout gestort te worden in het zoutdepot, dat voorzien is van een drempel. Storten van zout voor de drempel van het depot is niet toegestaan. Het depot is toegankelijk voor normale kippers. Opdrachtgever verzorgt zelf de opwerking van het zout in het depot.</w:t>
            </w:r>
          </w:p>
        </w:tc>
      </w:tr>
      <w:tr w:rsidR="007F06B0" w:rsidRPr="004A4317" w14:paraId="5E6AA358" w14:textId="77777777" w:rsidTr="00AE4993">
        <w:tc>
          <w:tcPr>
            <w:tcW w:w="964" w:type="dxa"/>
            <w:shd w:val="clear" w:color="auto" w:fill="8DB3E2"/>
          </w:tcPr>
          <w:p w14:paraId="36807C69"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7A31AA99" w14:textId="77777777" w:rsidR="007F06B0" w:rsidRPr="00A848AD" w:rsidRDefault="007F06B0" w:rsidP="00AE4993">
            <w:pPr>
              <w:tabs>
                <w:tab w:val="left" w:pos="1080"/>
              </w:tabs>
              <w:rPr>
                <w:spacing w:val="-2"/>
              </w:rPr>
            </w:pPr>
            <w:r>
              <w:rPr>
                <w:spacing w:val="-2"/>
              </w:rPr>
              <w:t>Opdrachtnemer bevestigt, dat jaarlijks in de periode van 15 april tot 15 oktober, in ieder geval voor ingang van het nieuwe winterseizoen, de zoutvoorraad van Opdrachtgever aanvult. De aan te vullen hoeveelheid is afhankelijk van het verbruik in het voorgaande seizoen.</w:t>
            </w:r>
          </w:p>
        </w:tc>
      </w:tr>
      <w:tr w:rsidR="007F06B0" w:rsidRPr="004A4317" w14:paraId="210D1AC2" w14:textId="77777777" w:rsidTr="00AE4993">
        <w:tc>
          <w:tcPr>
            <w:tcW w:w="964" w:type="dxa"/>
            <w:shd w:val="clear" w:color="auto" w:fill="8DB3E2"/>
          </w:tcPr>
          <w:p w14:paraId="3C09593C"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4DB12CB6" w14:textId="77777777" w:rsidR="007F06B0" w:rsidRPr="00A848AD" w:rsidRDefault="007F06B0" w:rsidP="00AE4993">
            <w:pPr>
              <w:tabs>
                <w:tab w:val="left" w:pos="1080"/>
              </w:tabs>
              <w:rPr>
                <w:spacing w:val="-2"/>
              </w:rPr>
            </w:pPr>
            <w:r>
              <w:rPr>
                <w:spacing w:val="-2"/>
              </w:rPr>
              <w:t>Ten aanzien van leveringen tijdens de periode van 15 april tot 15 oktober hanteert Inschrijver een ‘zomerprijs’ per geleverde ton steenzout.</w:t>
            </w:r>
          </w:p>
        </w:tc>
      </w:tr>
      <w:tr w:rsidR="007F06B0" w:rsidRPr="004A4317" w14:paraId="0B702C25" w14:textId="77777777" w:rsidTr="00AE4993">
        <w:tc>
          <w:tcPr>
            <w:tcW w:w="964" w:type="dxa"/>
            <w:shd w:val="clear" w:color="auto" w:fill="8DB3E2"/>
          </w:tcPr>
          <w:p w14:paraId="0EC859C0"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3727C2FD" w14:textId="77777777" w:rsidR="007F06B0" w:rsidRPr="00A848AD" w:rsidRDefault="007F06B0" w:rsidP="00AE4993">
            <w:pPr>
              <w:tabs>
                <w:tab w:val="left" w:pos="1080"/>
              </w:tabs>
              <w:rPr>
                <w:spacing w:val="-2"/>
              </w:rPr>
            </w:pPr>
            <w:r w:rsidRPr="003028DD">
              <w:rPr>
                <w:spacing w:val="-2"/>
              </w:rPr>
              <w:t>Ten behoeve van extra noodleveringen</w:t>
            </w:r>
            <w:r>
              <w:rPr>
                <w:spacing w:val="-2"/>
              </w:rPr>
              <w:t xml:space="preserve"> houdt Opdrachtnemer voor Opdrachtgever vanaf 15 november tot uiterlijk 15 maart een strategische voorraad steenzout aan van </w:t>
            </w:r>
            <w:r w:rsidRPr="003028DD">
              <w:rPr>
                <w:spacing w:val="-2"/>
              </w:rPr>
              <w:t>minimaal 250 ton</w:t>
            </w:r>
            <w:r>
              <w:rPr>
                <w:spacing w:val="-2"/>
              </w:rPr>
              <w:t>.</w:t>
            </w:r>
          </w:p>
        </w:tc>
      </w:tr>
      <w:tr w:rsidR="007F06B0" w:rsidRPr="004A4317" w14:paraId="1DCED0B4" w14:textId="77777777" w:rsidTr="00AE4993">
        <w:tc>
          <w:tcPr>
            <w:tcW w:w="964" w:type="dxa"/>
            <w:shd w:val="clear" w:color="auto" w:fill="8DB3E2"/>
          </w:tcPr>
          <w:p w14:paraId="695A3ED0"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46289451" w14:textId="77777777" w:rsidR="007F06B0" w:rsidRPr="003938E5" w:rsidRDefault="007F06B0" w:rsidP="00AE4993">
            <w:pPr>
              <w:tabs>
                <w:tab w:val="clear" w:pos="-567"/>
                <w:tab w:val="left" w:pos="1080"/>
              </w:tabs>
              <w:ind w:right="114"/>
              <w:jc w:val="both"/>
              <w:rPr>
                <w:spacing w:val="-2"/>
              </w:rPr>
            </w:pPr>
            <w:r w:rsidRPr="003938E5">
              <w:rPr>
                <w:spacing w:val="-2"/>
              </w:rPr>
              <w:t xml:space="preserve">De kosten welke gemoeid gaan met het in voorraad houden van de strategische voorraad worden door Opdrachtnemer opgenomen in Bijlage </w:t>
            </w:r>
            <w:r>
              <w:rPr>
                <w:spacing w:val="-2"/>
              </w:rPr>
              <w:t>5</w:t>
            </w:r>
            <w:r w:rsidRPr="003938E5">
              <w:rPr>
                <w:spacing w:val="-2"/>
              </w:rPr>
              <w:t xml:space="preserve"> Prijsopgave. Het tarief per ton uit de strategische voorraad</w:t>
            </w:r>
            <w:r>
              <w:rPr>
                <w:spacing w:val="-2"/>
              </w:rPr>
              <w:t>,</w:t>
            </w:r>
            <w:r w:rsidRPr="003938E5">
              <w:rPr>
                <w:spacing w:val="-2"/>
              </w:rPr>
              <w:t xml:space="preserve"> indien geleverd wordt, is hetzelfde als de winterprijs.</w:t>
            </w:r>
          </w:p>
        </w:tc>
      </w:tr>
      <w:tr w:rsidR="007F06B0" w:rsidRPr="004A4317" w14:paraId="14A8ABB3" w14:textId="77777777" w:rsidTr="00AE4993">
        <w:tc>
          <w:tcPr>
            <w:tcW w:w="964" w:type="dxa"/>
            <w:shd w:val="clear" w:color="auto" w:fill="8DB3E2"/>
          </w:tcPr>
          <w:p w14:paraId="222944BC"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243EB4BE" w14:textId="77777777" w:rsidR="007F06B0" w:rsidRPr="003938E5" w:rsidRDefault="007F06B0" w:rsidP="00AE4993">
            <w:pPr>
              <w:tabs>
                <w:tab w:val="clear" w:pos="-567"/>
                <w:tab w:val="left" w:pos="1080"/>
              </w:tabs>
              <w:ind w:right="114"/>
              <w:jc w:val="both"/>
              <w:rPr>
                <w:spacing w:val="-2"/>
              </w:rPr>
            </w:pPr>
            <w:r w:rsidRPr="003938E5">
              <w:rPr>
                <w:spacing w:val="-2"/>
              </w:rPr>
              <w:t xml:space="preserve">Opdrachtgever geeft duidelijk aan indien geleverd moet worden uit de strategische voorraad. Dit kan gedurende het seizoen een strategische keuze zijn. </w:t>
            </w:r>
          </w:p>
        </w:tc>
      </w:tr>
      <w:tr w:rsidR="007F06B0" w:rsidRPr="004A4317" w14:paraId="3511C7B5" w14:textId="77777777" w:rsidTr="00AE4993">
        <w:tc>
          <w:tcPr>
            <w:tcW w:w="964" w:type="dxa"/>
            <w:shd w:val="clear" w:color="auto" w:fill="8DB3E2"/>
          </w:tcPr>
          <w:p w14:paraId="25CFC13A"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2E34A7B0" w14:textId="77777777" w:rsidR="007F06B0" w:rsidRDefault="007F06B0" w:rsidP="00AE4993">
            <w:pPr>
              <w:tabs>
                <w:tab w:val="clear" w:pos="-567"/>
                <w:tab w:val="left" w:pos="1080"/>
              </w:tabs>
              <w:ind w:right="114"/>
              <w:jc w:val="both"/>
              <w:rPr>
                <w:spacing w:val="-2"/>
              </w:rPr>
            </w:pPr>
            <w:r>
              <w:rPr>
                <w:spacing w:val="-2"/>
              </w:rPr>
              <w:t>Opdrachtnemer is</w:t>
            </w:r>
            <w:r w:rsidRPr="00647BA7">
              <w:rPr>
                <w:spacing w:val="-2"/>
              </w:rPr>
              <w:t xml:space="preserve"> bereid en in staat om zakken steenzout met een inhoud van 5 kg. per zak en met een inhoud van 25 kg. per zak op pallet te leveren</w:t>
            </w:r>
            <w:r w:rsidRPr="003249A2">
              <w:rPr>
                <w:spacing w:val="-2"/>
              </w:rPr>
              <w:t xml:space="preserve">. In Bijlage </w:t>
            </w:r>
            <w:r>
              <w:rPr>
                <w:spacing w:val="-2"/>
              </w:rPr>
              <w:t>5</w:t>
            </w:r>
            <w:r w:rsidRPr="003249A2">
              <w:rPr>
                <w:spacing w:val="-2"/>
              </w:rPr>
              <w:t xml:space="preserve"> Prijsopgave vermeld u</w:t>
            </w:r>
            <w:r>
              <w:rPr>
                <w:spacing w:val="-2"/>
              </w:rPr>
              <w:t>,</w:t>
            </w:r>
            <w:r w:rsidRPr="00B67CD3">
              <w:rPr>
                <w:color w:val="FF0000"/>
                <w:spacing w:val="-2"/>
              </w:rPr>
              <w:t xml:space="preserve"> </w:t>
            </w:r>
            <w:r w:rsidRPr="003249A2">
              <w:rPr>
                <w:spacing w:val="-2"/>
              </w:rPr>
              <w:t>de prijs per z</w:t>
            </w:r>
            <w:r w:rsidRPr="00647BA7">
              <w:rPr>
                <w:spacing w:val="-2"/>
              </w:rPr>
              <w:t>ak à 5 kg. en de prijs per zak à 25 kg.</w:t>
            </w:r>
          </w:p>
        </w:tc>
      </w:tr>
      <w:tr w:rsidR="007F06B0" w:rsidRPr="004A4317" w14:paraId="3E9D9CD0" w14:textId="77777777" w:rsidTr="00AE4993">
        <w:tc>
          <w:tcPr>
            <w:tcW w:w="964" w:type="dxa"/>
            <w:shd w:val="clear" w:color="auto" w:fill="8DB3E2"/>
          </w:tcPr>
          <w:p w14:paraId="06272A26"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27889A8B" w14:textId="77777777" w:rsidR="007F06B0" w:rsidRDefault="007F06B0" w:rsidP="00AE4993">
            <w:pPr>
              <w:tabs>
                <w:tab w:val="clear" w:pos="-567"/>
                <w:tab w:val="left" w:pos="1080"/>
              </w:tabs>
              <w:ind w:right="114"/>
              <w:jc w:val="both"/>
              <w:rPr>
                <w:spacing w:val="-2"/>
              </w:rPr>
            </w:pPr>
            <w:r>
              <w:rPr>
                <w:spacing w:val="-2"/>
              </w:rPr>
              <w:t>Opdrachtnemer is bereid en in staat om zakken ureum met een inhoud van 25 kg. per zak op pallet te leveren</w:t>
            </w:r>
            <w:r w:rsidRPr="003249A2">
              <w:rPr>
                <w:spacing w:val="-2"/>
              </w:rPr>
              <w:t xml:space="preserve">. In Bijlage </w:t>
            </w:r>
            <w:r>
              <w:rPr>
                <w:spacing w:val="-2"/>
              </w:rPr>
              <w:t>5</w:t>
            </w:r>
            <w:r w:rsidRPr="003249A2">
              <w:rPr>
                <w:spacing w:val="-2"/>
              </w:rPr>
              <w:t xml:space="preserve"> Prijsopgave vermeld</w:t>
            </w:r>
            <w:r>
              <w:rPr>
                <w:spacing w:val="-2"/>
              </w:rPr>
              <w:t xml:space="preserve"> </w:t>
            </w:r>
            <w:r w:rsidRPr="00B461CF">
              <w:rPr>
                <w:spacing w:val="-2"/>
              </w:rPr>
              <w:t>u de prijs per zak.</w:t>
            </w:r>
          </w:p>
        </w:tc>
      </w:tr>
      <w:tr w:rsidR="007F06B0" w:rsidRPr="004A4317" w14:paraId="4863D3C0" w14:textId="77777777" w:rsidTr="00AE4993">
        <w:tc>
          <w:tcPr>
            <w:tcW w:w="964" w:type="dxa"/>
            <w:shd w:val="clear" w:color="auto" w:fill="8DB3E2"/>
          </w:tcPr>
          <w:p w14:paraId="3F95BAFE"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6E337D89" w14:textId="77777777" w:rsidR="007F06B0" w:rsidRDefault="007F06B0" w:rsidP="00AE4993">
            <w:pPr>
              <w:tabs>
                <w:tab w:val="clear" w:pos="-567"/>
                <w:tab w:val="left" w:pos="1080"/>
              </w:tabs>
              <w:ind w:right="114"/>
              <w:jc w:val="both"/>
              <w:rPr>
                <w:spacing w:val="-2"/>
              </w:rPr>
            </w:pPr>
            <w:r>
              <w:rPr>
                <w:spacing w:val="-2"/>
              </w:rPr>
              <w:t>Leveringen door Opdrachtnemer vinden plaats met voertuigen die minimaal voldoen aan de Euro 5 emissienorm.</w:t>
            </w:r>
          </w:p>
        </w:tc>
      </w:tr>
      <w:tr w:rsidR="007F06B0" w:rsidRPr="004A4317" w14:paraId="05A2B347" w14:textId="77777777" w:rsidTr="00AE4993">
        <w:tc>
          <w:tcPr>
            <w:tcW w:w="964" w:type="dxa"/>
            <w:shd w:val="clear" w:color="auto" w:fill="8DB3E2"/>
          </w:tcPr>
          <w:p w14:paraId="38BF44A4"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1CB923E4" w14:textId="77777777" w:rsidR="007F06B0" w:rsidRDefault="007F06B0" w:rsidP="00AE4993">
            <w:pPr>
              <w:tabs>
                <w:tab w:val="clear" w:pos="-567"/>
                <w:tab w:val="left" w:pos="1080"/>
              </w:tabs>
              <w:ind w:right="114"/>
              <w:jc w:val="both"/>
              <w:rPr>
                <w:spacing w:val="-2"/>
              </w:rPr>
            </w:pPr>
            <w:r>
              <w:rPr>
                <w:spacing w:val="-2"/>
              </w:rPr>
              <w:t xml:space="preserve">Opdrachtnemer stemt ermee in en staat ervoor in, dat bulkleveringen uiterlijk </w:t>
            </w:r>
            <w:r w:rsidRPr="003249A2">
              <w:rPr>
                <w:spacing w:val="-2"/>
              </w:rPr>
              <w:t>binnen 120 klokuren</w:t>
            </w:r>
            <w:r>
              <w:rPr>
                <w:spacing w:val="-2"/>
              </w:rPr>
              <w:t xml:space="preserve"> na Opdracht bij Opdrachtgever, afdeling Afvalinzameling worden afgeleverd.</w:t>
            </w:r>
          </w:p>
        </w:tc>
      </w:tr>
      <w:tr w:rsidR="007F06B0" w:rsidRPr="004A4317" w14:paraId="5586673B" w14:textId="77777777" w:rsidTr="00AE4993">
        <w:tc>
          <w:tcPr>
            <w:tcW w:w="964" w:type="dxa"/>
            <w:shd w:val="clear" w:color="auto" w:fill="8DB3E2"/>
          </w:tcPr>
          <w:p w14:paraId="4DC46F47"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03EDD163" w14:textId="77777777" w:rsidR="007F06B0" w:rsidRDefault="007F06B0" w:rsidP="00AE4993">
            <w:pPr>
              <w:tabs>
                <w:tab w:val="clear" w:pos="-567"/>
                <w:tab w:val="left" w:pos="1080"/>
              </w:tabs>
              <w:ind w:right="114"/>
              <w:jc w:val="both"/>
              <w:rPr>
                <w:spacing w:val="-2"/>
              </w:rPr>
            </w:pPr>
            <w:r>
              <w:rPr>
                <w:spacing w:val="-2"/>
              </w:rPr>
              <w:t xml:space="preserve">Opdrachtnemer stemt ermee in en staat ervoor in, </w:t>
            </w:r>
            <w:r w:rsidRPr="00647BA7">
              <w:rPr>
                <w:spacing w:val="-2"/>
              </w:rPr>
              <w:t xml:space="preserve">dat zowel zakken </w:t>
            </w:r>
            <w:r>
              <w:rPr>
                <w:spacing w:val="-2"/>
              </w:rPr>
              <w:t>steenzout à 5 kg</w:t>
            </w:r>
            <w:r w:rsidRPr="00647BA7">
              <w:rPr>
                <w:spacing w:val="-2"/>
              </w:rPr>
              <w:t xml:space="preserve">. en zakken steenzout à 25 kg. op </w:t>
            </w:r>
            <w:r w:rsidRPr="00611F95">
              <w:rPr>
                <w:spacing w:val="-2"/>
              </w:rPr>
              <w:t xml:space="preserve">pallet </w:t>
            </w:r>
            <w:r>
              <w:rPr>
                <w:spacing w:val="-2"/>
              </w:rPr>
              <w:t xml:space="preserve">uiterlijk </w:t>
            </w:r>
            <w:r w:rsidRPr="003249A2">
              <w:rPr>
                <w:spacing w:val="-2"/>
              </w:rPr>
              <w:t>binnen 168 klokuren na</w:t>
            </w:r>
            <w:r>
              <w:rPr>
                <w:spacing w:val="-2"/>
              </w:rPr>
              <w:t xml:space="preserve"> Opdracht worden geleverd.</w:t>
            </w:r>
          </w:p>
        </w:tc>
      </w:tr>
      <w:tr w:rsidR="007F06B0" w:rsidRPr="004A4317" w14:paraId="5BF53AA5" w14:textId="77777777" w:rsidTr="00AE4993">
        <w:tc>
          <w:tcPr>
            <w:tcW w:w="964" w:type="dxa"/>
            <w:shd w:val="clear" w:color="auto" w:fill="8DB3E2"/>
          </w:tcPr>
          <w:p w14:paraId="203318FA"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635200CA" w14:textId="77777777" w:rsidR="007F06B0" w:rsidRDefault="007F06B0" w:rsidP="00AE4993">
            <w:pPr>
              <w:tabs>
                <w:tab w:val="clear" w:pos="-567"/>
                <w:tab w:val="left" w:pos="1080"/>
              </w:tabs>
              <w:ind w:right="114"/>
              <w:jc w:val="both"/>
              <w:rPr>
                <w:spacing w:val="-2"/>
              </w:rPr>
            </w:pPr>
            <w:r>
              <w:rPr>
                <w:spacing w:val="-2"/>
              </w:rPr>
              <w:t>Ureum wordt besteld in de zomerperiode, zodat voldoende voorraad in de winter aanwezig is.</w:t>
            </w:r>
          </w:p>
        </w:tc>
      </w:tr>
      <w:tr w:rsidR="007F06B0" w:rsidRPr="004A4317" w14:paraId="56CF8140" w14:textId="77777777" w:rsidTr="00AE4993">
        <w:tc>
          <w:tcPr>
            <w:tcW w:w="964" w:type="dxa"/>
            <w:shd w:val="clear" w:color="auto" w:fill="8DB3E2"/>
          </w:tcPr>
          <w:p w14:paraId="69D7B00B"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1289899D" w14:textId="77777777" w:rsidR="007F06B0" w:rsidRDefault="007F06B0" w:rsidP="00AE4993">
            <w:pPr>
              <w:tabs>
                <w:tab w:val="clear" w:pos="-567"/>
              </w:tabs>
              <w:spacing w:line="240" w:lineRule="auto"/>
              <w:ind w:right="114"/>
              <w:jc w:val="both"/>
              <w:rPr>
                <w:spacing w:val="-2"/>
              </w:rPr>
            </w:pPr>
            <w:r>
              <w:rPr>
                <w:spacing w:val="-2"/>
              </w:rPr>
              <w:t>Elke levering gaat gepaard met een aflever- of pakbon in tweevoud, waarop in ieder geval staan vermeld:</w:t>
            </w:r>
          </w:p>
          <w:p w14:paraId="417109ED" w14:textId="77777777" w:rsidR="007F06B0" w:rsidRDefault="007F06B0" w:rsidP="007F06B0">
            <w:pPr>
              <w:pStyle w:val="Lijstalinea"/>
              <w:numPr>
                <w:ilvl w:val="0"/>
                <w:numId w:val="2"/>
              </w:numPr>
              <w:tabs>
                <w:tab w:val="clear" w:pos="-567"/>
              </w:tabs>
              <w:spacing w:line="240" w:lineRule="auto"/>
              <w:ind w:left="596" w:right="114" w:hanging="284"/>
              <w:jc w:val="both"/>
              <w:rPr>
                <w:spacing w:val="-2"/>
              </w:rPr>
            </w:pPr>
            <w:r>
              <w:rPr>
                <w:spacing w:val="-2"/>
              </w:rPr>
              <w:t>Datum en kenmerk van de bestelling;</w:t>
            </w:r>
          </w:p>
          <w:p w14:paraId="2896A44A" w14:textId="77777777" w:rsidR="007F06B0" w:rsidRDefault="007F06B0" w:rsidP="007F06B0">
            <w:pPr>
              <w:pStyle w:val="Lijstalinea"/>
              <w:numPr>
                <w:ilvl w:val="0"/>
                <w:numId w:val="2"/>
              </w:numPr>
              <w:tabs>
                <w:tab w:val="clear" w:pos="-567"/>
              </w:tabs>
              <w:spacing w:line="240" w:lineRule="auto"/>
              <w:ind w:left="596" w:right="114" w:hanging="284"/>
              <w:jc w:val="both"/>
              <w:rPr>
                <w:spacing w:val="-2"/>
              </w:rPr>
            </w:pPr>
            <w:r>
              <w:rPr>
                <w:spacing w:val="-2"/>
              </w:rPr>
              <w:t>Leveringsdatum;</w:t>
            </w:r>
          </w:p>
          <w:p w14:paraId="36296088" w14:textId="77777777" w:rsidR="007F06B0" w:rsidRDefault="007F06B0" w:rsidP="007F06B0">
            <w:pPr>
              <w:pStyle w:val="Lijstalinea"/>
              <w:numPr>
                <w:ilvl w:val="0"/>
                <w:numId w:val="2"/>
              </w:numPr>
              <w:tabs>
                <w:tab w:val="clear" w:pos="-567"/>
              </w:tabs>
              <w:spacing w:line="240" w:lineRule="auto"/>
              <w:ind w:left="596" w:right="114" w:hanging="284"/>
              <w:jc w:val="both"/>
              <w:rPr>
                <w:spacing w:val="-2"/>
              </w:rPr>
            </w:pPr>
            <w:r>
              <w:rPr>
                <w:spacing w:val="-2"/>
              </w:rPr>
              <w:t>Naam van de producent;</w:t>
            </w:r>
          </w:p>
          <w:p w14:paraId="6C691D57" w14:textId="77777777" w:rsidR="007F06B0" w:rsidRDefault="007F06B0" w:rsidP="007F06B0">
            <w:pPr>
              <w:pStyle w:val="Lijstalinea"/>
              <w:numPr>
                <w:ilvl w:val="0"/>
                <w:numId w:val="2"/>
              </w:numPr>
              <w:tabs>
                <w:tab w:val="clear" w:pos="-567"/>
              </w:tabs>
              <w:spacing w:line="240" w:lineRule="auto"/>
              <w:ind w:left="596" w:right="114" w:hanging="284"/>
              <w:jc w:val="both"/>
              <w:rPr>
                <w:spacing w:val="-2"/>
              </w:rPr>
            </w:pPr>
            <w:r>
              <w:rPr>
                <w:spacing w:val="-2"/>
              </w:rPr>
              <w:t>Naam van de leverancier;</w:t>
            </w:r>
          </w:p>
          <w:p w14:paraId="17978DF1" w14:textId="77777777" w:rsidR="007F06B0" w:rsidRPr="002F0A4F" w:rsidRDefault="007F06B0" w:rsidP="007F06B0">
            <w:pPr>
              <w:pStyle w:val="Lijstalinea"/>
              <w:numPr>
                <w:ilvl w:val="0"/>
                <w:numId w:val="2"/>
              </w:numPr>
              <w:tabs>
                <w:tab w:val="clear" w:pos="-567"/>
              </w:tabs>
              <w:spacing w:line="240" w:lineRule="auto"/>
              <w:ind w:left="596" w:right="114" w:hanging="284"/>
              <w:jc w:val="both"/>
              <w:rPr>
                <w:spacing w:val="-2"/>
              </w:rPr>
            </w:pPr>
            <w:r>
              <w:rPr>
                <w:spacing w:val="-2"/>
              </w:rPr>
              <w:t>Soort en hoeveelheid van de levering.</w:t>
            </w:r>
          </w:p>
          <w:p w14:paraId="2C2D096E" w14:textId="77777777" w:rsidR="007F06B0" w:rsidRDefault="007F06B0" w:rsidP="00AE4993">
            <w:pPr>
              <w:tabs>
                <w:tab w:val="clear" w:pos="-567"/>
                <w:tab w:val="left" w:pos="1080"/>
              </w:tabs>
              <w:ind w:right="114"/>
              <w:jc w:val="both"/>
              <w:rPr>
                <w:spacing w:val="-2"/>
              </w:rPr>
            </w:pPr>
            <w:r>
              <w:rPr>
                <w:spacing w:val="-2"/>
              </w:rPr>
              <w:t>Beide bonnen worden, na goedkeuring door een daartoe bevoegde van De gemeente Zoetermeer</w:t>
            </w:r>
            <w:r w:rsidRPr="00BB5D6C">
              <w:rPr>
                <w:spacing w:val="-2"/>
              </w:rPr>
              <w:t xml:space="preserve"> voor</w:t>
            </w:r>
            <w:r>
              <w:rPr>
                <w:spacing w:val="-2"/>
              </w:rPr>
              <w:t xml:space="preserve"> akkoord ondertekend. Eén exemplaar wordt door de leverancier retour genomen, het andere exemplaar wordt aan de medewerker van de gemeente overhandigd.</w:t>
            </w:r>
          </w:p>
        </w:tc>
      </w:tr>
      <w:tr w:rsidR="007F06B0" w:rsidRPr="004A4317" w14:paraId="61BEFE4A" w14:textId="77777777" w:rsidTr="00AE4993">
        <w:tc>
          <w:tcPr>
            <w:tcW w:w="964" w:type="dxa"/>
            <w:shd w:val="clear" w:color="auto" w:fill="8DB3E2"/>
          </w:tcPr>
          <w:p w14:paraId="719E483E"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6046641D" w14:textId="77777777" w:rsidR="007F06B0" w:rsidRDefault="007F06B0" w:rsidP="00AE4993">
            <w:pPr>
              <w:tabs>
                <w:tab w:val="clear" w:pos="-567"/>
              </w:tabs>
              <w:spacing w:line="240" w:lineRule="auto"/>
              <w:ind w:right="114"/>
              <w:jc w:val="both"/>
              <w:rPr>
                <w:spacing w:val="-2"/>
              </w:rPr>
            </w:pPr>
            <w:r>
              <w:rPr>
                <w:spacing w:val="-2"/>
              </w:rPr>
              <w:t xml:space="preserve">Elke levering gaat vergezeld van een </w:t>
            </w:r>
            <w:proofErr w:type="spellStart"/>
            <w:r>
              <w:rPr>
                <w:spacing w:val="-2"/>
              </w:rPr>
              <w:t>weegbon</w:t>
            </w:r>
            <w:proofErr w:type="spellEnd"/>
            <w:r>
              <w:rPr>
                <w:spacing w:val="-2"/>
              </w:rPr>
              <w:t xml:space="preserve"> waarop in ieder geval worden vermeld:</w:t>
            </w:r>
          </w:p>
          <w:p w14:paraId="077B9477" w14:textId="77777777" w:rsidR="007F06B0" w:rsidRDefault="007F06B0" w:rsidP="007F06B0">
            <w:pPr>
              <w:pStyle w:val="Lijstalinea"/>
              <w:numPr>
                <w:ilvl w:val="0"/>
                <w:numId w:val="2"/>
              </w:numPr>
              <w:tabs>
                <w:tab w:val="clear" w:pos="-567"/>
              </w:tabs>
              <w:spacing w:line="240" w:lineRule="auto"/>
              <w:ind w:left="596" w:right="114" w:hanging="284"/>
              <w:jc w:val="both"/>
              <w:rPr>
                <w:spacing w:val="-2"/>
              </w:rPr>
            </w:pPr>
            <w:r>
              <w:rPr>
                <w:spacing w:val="-2"/>
              </w:rPr>
              <w:t>Het kenteken van het voertuig waarmee geleverd wordt;</w:t>
            </w:r>
          </w:p>
          <w:p w14:paraId="2AFB4A3C" w14:textId="77777777" w:rsidR="007F06B0" w:rsidRDefault="007F06B0" w:rsidP="007F06B0">
            <w:pPr>
              <w:pStyle w:val="Lijstalinea"/>
              <w:numPr>
                <w:ilvl w:val="0"/>
                <w:numId w:val="2"/>
              </w:numPr>
              <w:tabs>
                <w:tab w:val="clear" w:pos="-567"/>
              </w:tabs>
              <w:spacing w:line="240" w:lineRule="auto"/>
              <w:ind w:left="596" w:right="114" w:hanging="284"/>
              <w:jc w:val="both"/>
              <w:rPr>
                <w:spacing w:val="-2"/>
              </w:rPr>
            </w:pPr>
            <w:r>
              <w:rPr>
                <w:spacing w:val="-2"/>
              </w:rPr>
              <w:lastRenderedPageBreak/>
              <w:t>Het leeggewicht van het voertuig, zoals gewogen voorafgaand aan het beladen;</w:t>
            </w:r>
          </w:p>
          <w:p w14:paraId="055BB1B3" w14:textId="77777777" w:rsidR="007F06B0" w:rsidRDefault="007F06B0" w:rsidP="007F06B0">
            <w:pPr>
              <w:pStyle w:val="Lijstalinea"/>
              <w:numPr>
                <w:ilvl w:val="0"/>
                <w:numId w:val="2"/>
              </w:numPr>
              <w:tabs>
                <w:tab w:val="clear" w:pos="-567"/>
              </w:tabs>
              <w:spacing w:line="240" w:lineRule="auto"/>
              <w:ind w:left="596" w:right="114" w:hanging="284"/>
              <w:jc w:val="both"/>
              <w:rPr>
                <w:spacing w:val="-2"/>
              </w:rPr>
            </w:pPr>
            <w:r>
              <w:rPr>
                <w:spacing w:val="-2"/>
              </w:rPr>
              <w:t>Het totale gewicht van het voertuig na het laden.</w:t>
            </w:r>
          </w:p>
          <w:p w14:paraId="29BCC199" w14:textId="77777777" w:rsidR="007F06B0" w:rsidRDefault="007F06B0" w:rsidP="00AE4993">
            <w:pPr>
              <w:tabs>
                <w:tab w:val="clear" w:pos="-567"/>
              </w:tabs>
              <w:spacing w:line="240" w:lineRule="auto"/>
              <w:ind w:right="114"/>
              <w:jc w:val="both"/>
              <w:rPr>
                <w:spacing w:val="-2"/>
              </w:rPr>
            </w:pPr>
            <w:r>
              <w:rPr>
                <w:spacing w:val="-2"/>
              </w:rPr>
              <w:t>In- en uitwegen geschiedt op een geijkte weegbrug waarvoor een kalibratiecertificaat is afgegeven door een certificerende instantie die door een nationale accreditatieinstelling is erkend.</w:t>
            </w:r>
          </w:p>
          <w:p w14:paraId="495BCC72" w14:textId="77777777" w:rsidR="007F06B0" w:rsidRDefault="007F06B0" w:rsidP="00AE4993">
            <w:pPr>
              <w:tabs>
                <w:tab w:val="clear" w:pos="-567"/>
                <w:tab w:val="left" w:pos="1080"/>
              </w:tabs>
              <w:ind w:right="114"/>
              <w:jc w:val="both"/>
              <w:rPr>
                <w:spacing w:val="-2"/>
              </w:rPr>
            </w:pPr>
            <w:r>
              <w:rPr>
                <w:spacing w:val="-2"/>
              </w:rPr>
              <w:t>Op verzoek van de gemeente Zoetermeer wordt een (kopie van het) certificaat overlegd.</w:t>
            </w:r>
          </w:p>
        </w:tc>
      </w:tr>
      <w:tr w:rsidR="007F06B0" w:rsidRPr="004A4317" w14:paraId="17B408CB" w14:textId="77777777" w:rsidTr="00AE4993">
        <w:tc>
          <w:tcPr>
            <w:tcW w:w="964" w:type="dxa"/>
            <w:shd w:val="clear" w:color="auto" w:fill="8DB3E2"/>
          </w:tcPr>
          <w:p w14:paraId="772E44A8" w14:textId="77777777" w:rsidR="007F06B0" w:rsidRPr="004A4317" w:rsidRDefault="007F06B0" w:rsidP="007F06B0">
            <w:pPr>
              <w:numPr>
                <w:ilvl w:val="0"/>
                <w:numId w:val="1"/>
              </w:numPr>
              <w:tabs>
                <w:tab w:val="clear" w:pos="-567"/>
              </w:tabs>
              <w:spacing w:before="90" w:after="54" w:line="312" w:lineRule="auto"/>
              <w:rPr>
                <w:rFonts w:cs="Tahoma"/>
              </w:rPr>
            </w:pPr>
          </w:p>
        </w:tc>
        <w:tc>
          <w:tcPr>
            <w:tcW w:w="7428" w:type="dxa"/>
          </w:tcPr>
          <w:p w14:paraId="450CD0D3" w14:textId="77777777" w:rsidR="007F06B0" w:rsidRDefault="007F06B0" w:rsidP="00AE4993">
            <w:pPr>
              <w:tabs>
                <w:tab w:val="clear" w:pos="-567"/>
                <w:tab w:val="left" w:pos="1080"/>
              </w:tabs>
              <w:ind w:right="114"/>
              <w:jc w:val="both"/>
              <w:rPr>
                <w:spacing w:val="-2"/>
              </w:rPr>
            </w:pPr>
            <w:r>
              <w:rPr>
                <w:spacing w:val="-2"/>
              </w:rPr>
              <w:t>Voor de bepaling of de ‘zomerprijs’ dan wel de ‘winterprijs’ van toepassing is, wordt uitgegaan van het moment waarop De gemeente Zoetermeer een opdracht tot levering plaatst.</w:t>
            </w:r>
          </w:p>
        </w:tc>
      </w:tr>
    </w:tbl>
    <w:p w14:paraId="70C21AED" w14:textId="77777777" w:rsidR="007F06B0" w:rsidRDefault="007F06B0" w:rsidP="007F06B0">
      <w:pPr>
        <w:tabs>
          <w:tab w:val="clear" w:pos="-567"/>
          <w:tab w:val="left" w:pos="0"/>
        </w:tabs>
      </w:pPr>
    </w:p>
    <w:p w14:paraId="618FE55D" w14:textId="77777777" w:rsidR="007F06B0" w:rsidRDefault="007F06B0" w:rsidP="007F06B0">
      <w:pPr>
        <w:tabs>
          <w:tab w:val="clear" w:pos="-567"/>
          <w:tab w:val="left" w:pos="0"/>
        </w:tabs>
      </w:pPr>
    </w:p>
    <w:p w14:paraId="685F16F2" w14:textId="77777777" w:rsidR="007F06B0" w:rsidRPr="006305F6" w:rsidRDefault="007F06B0" w:rsidP="007F06B0">
      <w:pPr>
        <w:tabs>
          <w:tab w:val="clear" w:pos="-567"/>
          <w:tab w:val="left" w:pos="0"/>
        </w:tabs>
        <w:rPr>
          <w:rFonts w:cs="Arial"/>
          <w:bCs/>
        </w:rPr>
      </w:pPr>
      <w:r w:rsidRPr="006305F6">
        <w:rPr>
          <w:rFonts w:cs="Arial"/>
          <w:bCs/>
        </w:rPr>
        <w:t xml:space="preserve">Inschrijver verklaart </w:t>
      </w:r>
      <w:r>
        <w:rPr>
          <w:rFonts w:cs="Arial"/>
          <w:bCs/>
        </w:rPr>
        <w:t xml:space="preserve">onvoorwaardelijk </w:t>
      </w:r>
      <w:r w:rsidRPr="006305F6">
        <w:rPr>
          <w:rFonts w:cs="Arial"/>
          <w:bCs/>
        </w:rPr>
        <w:t>akkoord te gaan met bovenstaande eisen</w:t>
      </w:r>
      <w:r>
        <w:rPr>
          <w:rFonts w:cs="Arial"/>
          <w:bCs/>
        </w:rPr>
        <w:t>.</w:t>
      </w:r>
    </w:p>
    <w:p w14:paraId="23002CEA" w14:textId="77777777" w:rsidR="007F06B0" w:rsidRDefault="007F06B0" w:rsidP="007F06B0">
      <w:pPr>
        <w:rPr>
          <w:rFonts w:cs="Arial"/>
          <w:bCs/>
        </w:rPr>
      </w:pPr>
    </w:p>
    <w:tbl>
      <w:tblPr>
        <w:tblW w:w="8364" w:type="dxa"/>
        <w:tblInd w:w="108"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000" w:firstRow="0" w:lastRow="0" w:firstColumn="0" w:lastColumn="0" w:noHBand="0" w:noVBand="0"/>
      </w:tblPr>
      <w:tblGrid>
        <w:gridCol w:w="2167"/>
        <w:gridCol w:w="6197"/>
      </w:tblGrid>
      <w:tr w:rsidR="007F06B0" w:rsidRPr="004F3D37" w14:paraId="1D1645C4" w14:textId="77777777" w:rsidTr="00AE4993">
        <w:trPr>
          <w:trHeight w:val="284"/>
        </w:trPr>
        <w:tc>
          <w:tcPr>
            <w:tcW w:w="2167" w:type="dxa"/>
            <w:shd w:val="clear" w:color="auto" w:fill="ACB9CA" w:themeFill="text2" w:themeFillTint="66"/>
          </w:tcPr>
          <w:p w14:paraId="58C7CF2B" w14:textId="77777777" w:rsidR="007F06B0" w:rsidRPr="004F3D37" w:rsidRDefault="007F06B0" w:rsidP="00AE4993">
            <w:pPr>
              <w:spacing w:line="240" w:lineRule="auto"/>
              <w:rPr>
                <w:rFonts w:cs="Arial"/>
                <w:b/>
              </w:rPr>
            </w:pPr>
            <w:r w:rsidRPr="004F3D37">
              <w:rPr>
                <w:rFonts w:cs="Arial"/>
                <w:b/>
              </w:rPr>
              <w:t>Inschrijver:</w:t>
            </w:r>
          </w:p>
          <w:p w14:paraId="04638D60" w14:textId="77777777" w:rsidR="007F06B0" w:rsidRPr="004F3D37" w:rsidRDefault="007F06B0" w:rsidP="00AE4993">
            <w:pPr>
              <w:spacing w:line="240" w:lineRule="auto"/>
              <w:rPr>
                <w:rFonts w:cs="Arial"/>
                <w:b/>
              </w:rPr>
            </w:pPr>
          </w:p>
        </w:tc>
        <w:tc>
          <w:tcPr>
            <w:tcW w:w="6197" w:type="dxa"/>
          </w:tcPr>
          <w:p w14:paraId="7A334CCD" w14:textId="77777777" w:rsidR="007F06B0" w:rsidRPr="004F3D37" w:rsidRDefault="007F06B0" w:rsidP="00AE4993">
            <w:pPr>
              <w:spacing w:line="240" w:lineRule="auto"/>
              <w:rPr>
                <w:rFonts w:cs="Arial"/>
              </w:rPr>
            </w:pPr>
          </w:p>
        </w:tc>
      </w:tr>
      <w:tr w:rsidR="007F06B0" w:rsidRPr="004F3D37" w14:paraId="3008B2C8" w14:textId="77777777" w:rsidTr="00AE4993">
        <w:trPr>
          <w:trHeight w:val="546"/>
        </w:trPr>
        <w:tc>
          <w:tcPr>
            <w:tcW w:w="2167" w:type="dxa"/>
            <w:shd w:val="clear" w:color="auto" w:fill="ACB9CA" w:themeFill="text2" w:themeFillTint="66"/>
          </w:tcPr>
          <w:p w14:paraId="7A7F3C41" w14:textId="77777777" w:rsidR="007F06B0" w:rsidRPr="004F3D37" w:rsidRDefault="007F06B0" w:rsidP="00AE4993">
            <w:pPr>
              <w:spacing w:line="240" w:lineRule="auto"/>
              <w:rPr>
                <w:rFonts w:cs="Arial"/>
                <w:b/>
              </w:rPr>
            </w:pPr>
            <w:r w:rsidRPr="004F3D37">
              <w:rPr>
                <w:rFonts w:cs="Arial"/>
                <w:b/>
              </w:rPr>
              <w:t>Naam rechtsgeldig vertegenwoordiger:</w:t>
            </w:r>
          </w:p>
        </w:tc>
        <w:tc>
          <w:tcPr>
            <w:tcW w:w="6197" w:type="dxa"/>
          </w:tcPr>
          <w:p w14:paraId="7E377176" w14:textId="77777777" w:rsidR="007F06B0" w:rsidRPr="004F3D37" w:rsidRDefault="007F06B0" w:rsidP="00AE4993">
            <w:pPr>
              <w:spacing w:line="240" w:lineRule="auto"/>
              <w:rPr>
                <w:rFonts w:cs="Arial"/>
              </w:rPr>
            </w:pPr>
          </w:p>
        </w:tc>
      </w:tr>
      <w:tr w:rsidR="007F06B0" w:rsidRPr="004F3D37" w14:paraId="496C88B3" w14:textId="77777777" w:rsidTr="00AE4993">
        <w:trPr>
          <w:trHeight w:val="284"/>
        </w:trPr>
        <w:tc>
          <w:tcPr>
            <w:tcW w:w="2167" w:type="dxa"/>
            <w:shd w:val="clear" w:color="auto" w:fill="ACB9CA" w:themeFill="text2" w:themeFillTint="66"/>
          </w:tcPr>
          <w:p w14:paraId="58BF6052" w14:textId="77777777" w:rsidR="007F06B0" w:rsidRPr="004F3D37" w:rsidRDefault="007F06B0" w:rsidP="00AE4993">
            <w:pPr>
              <w:spacing w:line="240" w:lineRule="auto"/>
              <w:rPr>
                <w:rFonts w:cs="Arial"/>
                <w:b/>
              </w:rPr>
            </w:pPr>
            <w:r w:rsidRPr="004F3D37">
              <w:rPr>
                <w:rFonts w:cs="Arial"/>
                <w:b/>
              </w:rPr>
              <w:t>Functie rechtsgeldig vertegenwoordiger:</w:t>
            </w:r>
          </w:p>
        </w:tc>
        <w:tc>
          <w:tcPr>
            <w:tcW w:w="6197" w:type="dxa"/>
          </w:tcPr>
          <w:p w14:paraId="40DF166F" w14:textId="77777777" w:rsidR="007F06B0" w:rsidRPr="004F3D37" w:rsidRDefault="007F06B0" w:rsidP="00AE4993">
            <w:pPr>
              <w:spacing w:line="240" w:lineRule="auto"/>
              <w:rPr>
                <w:rFonts w:cs="Arial"/>
              </w:rPr>
            </w:pPr>
          </w:p>
        </w:tc>
      </w:tr>
      <w:tr w:rsidR="007F06B0" w:rsidRPr="004F3D37" w14:paraId="2D2F35C2" w14:textId="77777777" w:rsidTr="00AE4993">
        <w:trPr>
          <w:trHeight w:val="580"/>
        </w:trPr>
        <w:tc>
          <w:tcPr>
            <w:tcW w:w="2167" w:type="dxa"/>
            <w:shd w:val="clear" w:color="auto" w:fill="ACB9CA" w:themeFill="text2" w:themeFillTint="66"/>
          </w:tcPr>
          <w:p w14:paraId="63C515D7" w14:textId="77777777" w:rsidR="007F06B0" w:rsidRPr="004F3D37" w:rsidRDefault="007F06B0" w:rsidP="00AE4993">
            <w:pPr>
              <w:spacing w:line="240" w:lineRule="auto"/>
              <w:rPr>
                <w:rFonts w:cs="Arial"/>
                <w:b/>
              </w:rPr>
            </w:pPr>
            <w:r w:rsidRPr="004F3D37">
              <w:rPr>
                <w:rFonts w:cs="Arial"/>
                <w:b/>
              </w:rPr>
              <w:t>Rechtsgeldige ondertekening:</w:t>
            </w:r>
          </w:p>
        </w:tc>
        <w:tc>
          <w:tcPr>
            <w:tcW w:w="6197" w:type="dxa"/>
          </w:tcPr>
          <w:p w14:paraId="1AE3B8A4" w14:textId="77777777" w:rsidR="007F06B0" w:rsidRPr="004F3D37" w:rsidRDefault="007F06B0" w:rsidP="00AE4993">
            <w:pPr>
              <w:spacing w:line="240" w:lineRule="auto"/>
              <w:rPr>
                <w:rFonts w:cs="Arial"/>
              </w:rPr>
            </w:pPr>
          </w:p>
        </w:tc>
      </w:tr>
      <w:tr w:rsidR="007F06B0" w:rsidRPr="004F3D37" w14:paraId="0A6A33F0" w14:textId="77777777" w:rsidTr="00AE4993">
        <w:trPr>
          <w:trHeight w:val="284"/>
        </w:trPr>
        <w:tc>
          <w:tcPr>
            <w:tcW w:w="2167" w:type="dxa"/>
            <w:shd w:val="clear" w:color="auto" w:fill="ACB9CA" w:themeFill="text2" w:themeFillTint="66"/>
          </w:tcPr>
          <w:p w14:paraId="072E2693" w14:textId="77777777" w:rsidR="007F06B0" w:rsidRPr="004F3D37" w:rsidRDefault="007F06B0" w:rsidP="00AE4993">
            <w:pPr>
              <w:spacing w:line="240" w:lineRule="auto"/>
              <w:rPr>
                <w:rFonts w:cs="Arial"/>
                <w:b/>
              </w:rPr>
            </w:pPr>
            <w:r w:rsidRPr="004F3D37">
              <w:rPr>
                <w:rFonts w:cs="Arial"/>
                <w:b/>
              </w:rPr>
              <w:t>Datum:</w:t>
            </w:r>
          </w:p>
          <w:p w14:paraId="108A99BD" w14:textId="77777777" w:rsidR="007F06B0" w:rsidRPr="004F3D37" w:rsidRDefault="007F06B0" w:rsidP="00AE4993">
            <w:pPr>
              <w:spacing w:line="240" w:lineRule="auto"/>
              <w:rPr>
                <w:rFonts w:cs="Arial"/>
                <w:b/>
              </w:rPr>
            </w:pPr>
          </w:p>
        </w:tc>
        <w:tc>
          <w:tcPr>
            <w:tcW w:w="6197" w:type="dxa"/>
          </w:tcPr>
          <w:p w14:paraId="3038B450" w14:textId="77777777" w:rsidR="007F06B0" w:rsidRPr="004F3D37" w:rsidRDefault="007F06B0" w:rsidP="00AE4993">
            <w:pPr>
              <w:spacing w:line="240" w:lineRule="auto"/>
              <w:rPr>
                <w:rFonts w:cs="Arial"/>
              </w:rPr>
            </w:pPr>
          </w:p>
        </w:tc>
      </w:tr>
    </w:tbl>
    <w:p w14:paraId="0AD92C2C" w14:textId="2AA55961" w:rsidR="00E6737A" w:rsidRDefault="007F06B0"/>
    <w:sectPr w:rsidR="00E673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A2303" w14:textId="77777777" w:rsidR="007F06B0" w:rsidRDefault="007F06B0" w:rsidP="007F06B0">
      <w:pPr>
        <w:spacing w:line="240" w:lineRule="auto"/>
      </w:pPr>
      <w:r>
        <w:separator/>
      </w:r>
    </w:p>
  </w:endnote>
  <w:endnote w:type="continuationSeparator" w:id="0">
    <w:p w14:paraId="7CE82E32" w14:textId="77777777" w:rsidR="007F06B0" w:rsidRDefault="007F06B0" w:rsidP="007F0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43A96" w14:textId="77777777" w:rsidR="007F06B0" w:rsidRDefault="007F06B0" w:rsidP="007F06B0">
      <w:pPr>
        <w:spacing w:line="240" w:lineRule="auto"/>
      </w:pPr>
      <w:r>
        <w:separator/>
      </w:r>
    </w:p>
  </w:footnote>
  <w:footnote w:type="continuationSeparator" w:id="0">
    <w:p w14:paraId="761235EE" w14:textId="77777777" w:rsidR="007F06B0" w:rsidRDefault="007F06B0" w:rsidP="007F06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4187"/>
    <w:multiLevelType w:val="hybridMultilevel"/>
    <w:tmpl w:val="9F564A90"/>
    <w:lvl w:ilvl="0" w:tplc="0413000F">
      <w:start w:val="1"/>
      <w:numFmt w:val="decimal"/>
      <w:lvlText w:val="%1."/>
      <w:lvlJc w:val="left"/>
      <w:pPr>
        <w:tabs>
          <w:tab w:val="num" w:pos="720"/>
        </w:tabs>
        <w:ind w:left="720" w:hanging="360"/>
      </w:pPr>
    </w:lvl>
    <w:lvl w:ilvl="1" w:tplc="E85229F8">
      <w:start w:val="1"/>
      <w:numFmt w:val="upperRoman"/>
      <w:lvlText w:val="Bijlage %2."/>
      <w:lvlJc w:val="left"/>
      <w:pPr>
        <w:tabs>
          <w:tab w:val="num" w:pos="1080"/>
        </w:tabs>
        <w:ind w:left="1080" w:firstLine="0"/>
      </w:pPr>
      <w:rPr>
        <w:rFonts w:ascii="Times New Roman" w:hAnsi="Times New Roman"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E3B6AE7"/>
    <w:multiLevelType w:val="hybridMultilevel"/>
    <w:tmpl w:val="D17643F8"/>
    <w:lvl w:ilvl="0" w:tplc="8F2892DC">
      <w:start w:val="3"/>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B0"/>
    <w:rsid w:val="007F06B0"/>
    <w:rsid w:val="00921816"/>
    <w:rsid w:val="00DA3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A4A0"/>
  <w15:chartTrackingRefBased/>
  <w15:docId w15:val="{F7A6B336-EF7B-48A8-A94D-2EDD62EF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06B0"/>
    <w:pPr>
      <w:tabs>
        <w:tab w:val="left" w:pos="-567"/>
      </w:tabs>
      <w:spacing w:after="0" w:line="269"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7F06B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F06B0"/>
    <w:pPr>
      <w:ind w:left="720"/>
      <w:contextualSpacing/>
    </w:pPr>
  </w:style>
  <w:style w:type="paragraph" w:customStyle="1" w:styleId="Kop10">
    <w:name w:val="Kop [1]"/>
    <w:basedOn w:val="Kop1"/>
    <w:link w:val="Kop1Char0"/>
    <w:qFormat/>
    <w:rsid w:val="007F06B0"/>
    <w:pPr>
      <w:keepLines w:val="0"/>
      <w:pageBreakBefore/>
      <w:widowControl w:val="0"/>
      <w:tabs>
        <w:tab w:val="clear" w:pos="-567"/>
        <w:tab w:val="left" w:pos="0"/>
        <w:tab w:val="left" w:pos="567"/>
      </w:tabs>
      <w:spacing w:before="360" w:after="120" w:line="240" w:lineRule="auto"/>
    </w:pPr>
    <w:rPr>
      <w:rFonts w:ascii="Arial" w:eastAsia="Times New Roman" w:hAnsi="Arial" w:cs="Times New Roman"/>
      <w:b/>
      <w:kern w:val="28"/>
    </w:rPr>
  </w:style>
  <w:style w:type="character" w:customStyle="1" w:styleId="Kop1Char0">
    <w:name w:val="Kop [1] Char"/>
    <w:basedOn w:val="Kop1Char"/>
    <w:link w:val="Kop10"/>
    <w:rsid w:val="007F06B0"/>
    <w:rPr>
      <w:rFonts w:ascii="Arial" w:eastAsia="Times New Roman" w:hAnsi="Arial" w:cs="Times New Roman"/>
      <w:b/>
      <w:color w:val="2F5496" w:themeColor="accent1" w:themeShade="BF"/>
      <w:kern w:val="28"/>
      <w:sz w:val="32"/>
      <w:szCs w:val="32"/>
      <w:lang w:eastAsia="nl-NL"/>
    </w:rPr>
  </w:style>
  <w:style w:type="character" w:customStyle="1" w:styleId="Kop1Char">
    <w:name w:val="Kop 1 Char"/>
    <w:basedOn w:val="Standaardalinea-lettertype"/>
    <w:link w:val="Kop1"/>
    <w:uiPriority w:val="9"/>
    <w:rsid w:val="007F06B0"/>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1129</Words>
  <Characters>6215</Characters>
  <Application>Microsoft Office Word</Application>
  <DocSecurity>0</DocSecurity>
  <Lines>51</Lines>
  <Paragraphs>14</Paragraphs>
  <ScaleCrop>false</ScaleCrop>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M.E. (Mylène)</dc:creator>
  <cp:keywords/>
  <dc:description/>
  <cp:lastModifiedBy>Blok M.E. (Mylène)</cp:lastModifiedBy>
  <cp:revision>1</cp:revision>
  <dcterms:created xsi:type="dcterms:W3CDTF">2021-05-27T08:35:00Z</dcterms:created>
  <dcterms:modified xsi:type="dcterms:W3CDTF">2021-05-27T08:37:00Z</dcterms:modified>
</cp:coreProperties>
</file>