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CF7543" w14:textId="77777777" w:rsidR="003D20FE" w:rsidRDefault="003D20FE">
      <w:bookmarkStart w:id="0" w:name="_GoBack"/>
      <w:bookmarkEnd w:id="0"/>
    </w:p>
    <w:tbl>
      <w:tblPr>
        <w:tblW w:w="902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25"/>
      </w:tblGrid>
      <w:tr w:rsidR="003D20FE" w:rsidRPr="003D20FE" w14:paraId="1C48F04B" w14:textId="77777777" w:rsidTr="003D20FE">
        <w:tc>
          <w:tcPr>
            <w:tcW w:w="9025" w:type="dxa"/>
            <w:tcBorders>
              <w:top w:val="nil"/>
              <w:left w:val="single" w:sz="6" w:space="0" w:color="auto"/>
              <w:bottom w:val="single" w:sz="6" w:space="0" w:color="auto"/>
              <w:right w:val="single" w:sz="6" w:space="0" w:color="auto"/>
            </w:tcBorders>
            <w:shd w:val="clear" w:color="auto" w:fill="auto"/>
            <w:hideMark/>
          </w:tcPr>
          <w:p w14:paraId="79D28518" w14:textId="77777777" w:rsidR="003D20FE" w:rsidRPr="003D20FE" w:rsidRDefault="003D20FE" w:rsidP="003D20FE">
            <w:pPr>
              <w:spacing w:after="0" w:line="240" w:lineRule="auto"/>
              <w:textAlignment w:val="baseline"/>
              <w:rPr>
                <w:rFonts w:ascii="Arial" w:eastAsia="Times New Roman" w:hAnsi="Arial" w:cs="Arial"/>
                <w:lang w:eastAsia="nl-NL"/>
              </w:rPr>
            </w:pPr>
          </w:p>
        </w:tc>
      </w:tr>
      <w:tr w:rsidR="003D20FE" w:rsidRPr="003D20FE" w14:paraId="203C9BE1" w14:textId="77777777" w:rsidTr="003D20FE">
        <w:tc>
          <w:tcPr>
            <w:tcW w:w="9025" w:type="dxa"/>
            <w:tcBorders>
              <w:top w:val="nil"/>
              <w:left w:val="single" w:sz="6" w:space="0" w:color="auto"/>
              <w:bottom w:val="single" w:sz="6" w:space="0" w:color="auto"/>
              <w:right w:val="single" w:sz="6" w:space="0" w:color="auto"/>
            </w:tcBorders>
            <w:shd w:val="clear" w:color="auto" w:fill="auto"/>
            <w:hideMark/>
          </w:tcPr>
          <w:p w14:paraId="3537296A" w14:textId="77777777" w:rsidR="003D20FE" w:rsidRPr="003D20FE" w:rsidRDefault="003D20FE" w:rsidP="003D20FE">
            <w:pPr>
              <w:numPr>
                <w:ilvl w:val="0"/>
                <w:numId w:val="2"/>
              </w:numPr>
              <w:spacing w:after="0" w:line="240" w:lineRule="auto"/>
              <w:ind w:left="360" w:firstLine="0"/>
              <w:textAlignment w:val="baseline"/>
              <w:rPr>
                <w:rFonts w:ascii="Arial" w:eastAsia="Times New Roman" w:hAnsi="Arial" w:cs="Arial"/>
                <w:lang w:eastAsia="nl-NL"/>
              </w:rPr>
            </w:pPr>
            <w:r w:rsidRPr="003D20FE">
              <w:rPr>
                <w:rFonts w:ascii="Arial" w:eastAsia="Times New Roman" w:hAnsi="Arial" w:cs="Arial"/>
                <w:sz w:val="20"/>
                <w:szCs w:val="20"/>
                <w:lang w:eastAsia="nl-NL"/>
              </w:rPr>
              <w:t>Escalaties kunnen op verschillende niveaus ontstaan en kunnen verschillende oorzaken hebben. </w:t>
            </w:r>
          </w:p>
        </w:tc>
      </w:tr>
      <w:tr w:rsidR="003D20FE" w:rsidRPr="003D20FE" w14:paraId="14E0BEBD" w14:textId="77777777" w:rsidTr="003D20FE">
        <w:tc>
          <w:tcPr>
            <w:tcW w:w="9025" w:type="dxa"/>
            <w:tcBorders>
              <w:top w:val="nil"/>
              <w:left w:val="single" w:sz="6" w:space="0" w:color="auto"/>
              <w:bottom w:val="single" w:sz="6" w:space="0" w:color="auto"/>
              <w:right w:val="single" w:sz="6" w:space="0" w:color="auto"/>
            </w:tcBorders>
            <w:shd w:val="clear" w:color="auto" w:fill="auto"/>
            <w:hideMark/>
          </w:tcPr>
          <w:p w14:paraId="5034CE72" w14:textId="77777777" w:rsidR="003D20FE" w:rsidRPr="003D20FE" w:rsidRDefault="003D20FE" w:rsidP="003D20FE">
            <w:pPr>
              <w:numPr>
                <w:ilvl w:val="0"/>
                <w:numId w:val="3"/>
              </w:numPr>
              <w:spacing w:after="0" w:line="240" w:lineRule="auto"/>
              <w:ind w:left="360" w:firstLine="0"/>
              <w:textAlignment w:val="baseline"/>
              <w:rPr>
                <w:rFonts w:ascii="Arial" w:eastAsia="Times New Roman" w:hAnsi="Arial" w:cs="Arial"/>
                <w:lang w:eastAsia="nl-NL"/>
              </w:rPr>
            </w:pPr>
            <w:r w:rsidRPr="003D20FE">
              <w:rPr>
                <w:rFonts w:ascii="Arial" w:eastAsia="Times New Roman" w:hAnsi="Arial" w:cs="Arial"/>
                <w:sz w:val="20"/>
                <w:szCs w:val="20"/>
                <w:lang w:eastAsia="nl-NL"/>
              </w:rPr>
              <w:t>Met name voor </w:t>
            </w:r>
            <w:proofErr w:type="spellStart"/>
            <w:r w:rsidRPr="003D20FE">
              <w:rPr>
                <w:rFonts w:ascii="Arial" w:eastAsia="Times New Roman" w:hAnsi="Arial" w:cs="Arial"/>
                <w:sz w:val="20"/>
                <w:szCs w:val="20"/>
                <w:lang w:eastAsia="nl-NL"/>
              </w:rPr>
              <w:t>prio</w:t>
            </w:r>
            <w:proofErr w:type="spellEnd"/>
            <w:r w:rsidRPr="003D20FE">
              <w:rPr>
                <w:rFonts w:ascii="Arial" w:eastAsia="Times New Roman" w:hAnsi="Arial" w:cs="Arial"/>
                <w:sz w:val="20"/>
                <w:szCs w:val="20"/>
                <w:lang w:eastAsia="nl-NL"/>
              </w:rPr>
              <w:t> 1 en </w:t>
            </w:r>
            <w:proofErr w:type="spellStart"/>
            <w:r w:rsidRPr="003D20FE">
              <w:rPr>
                <w:rFonts w:ascii="Arial" w:eastAsia="Times New Roman" w:hAnsi="Arial" w:cs="Arial"/>
                <w:sz w:val="20"/>
                <w:szCs w:val="20"/>
                <w:lang w:eastAsia="nl-NL"/>
              </w:rPr>
              <w:t>prio</w:t>
            </w:r>
            <w:proofErr w:type="spellEnd"/>
            <w:r w:rsidRPr="003D20FE">
              <w:rPr>
                <w:rFonts w:ascii="Arial" w:eastAsia="Times New Roman" w:hAnsi="Arial" w:cs="Arial"/>
                <w:sz w:val="20"/>
                <w:szCs w:val="20"/>
                <w:lang w:eastAsia="nl-NL"/>
              </w:rPr>
              <w:t> 2 incidenten is direct en adequaat handelen van ProRail en de leverancier geëist. </w:t>
            </w:r>
          </w:p>
        </w:tc>
      </w:tr>
      <w:tr w:rsidR="003D20FE" w:rsidRPr="003D20FE" w14:paraId="22816D6C" w14:textId="77777777" w:rsidTr="003D20FE">
        <w:tc>
          <w:tcPr>
            <w:tcW w:w="9025" w:type="dxa"/>
            <w:tcBorders>
              <w:top w:val="nil"/>
              <w:left w:val="single" w:sz="6" w:space="0" w:color="auto"/>
              <w:bottom w:val="single" w:sz="6" w:space="0" w:color="auto"/>
              <w:right w:val="single" w:sz="6" w:space="0" w:color="auto"/>
            </w:tcBorders>
            <w:shd w:val="clear" w:color="auto" w:fill="auto"/>
            <w:hideMark/>
          </w:tcPr>
          <w:p w14:paraId="0D020B8A" w14:textId="77777777" w:rsidR="003D20FE" w:rsidRPr="003D20FE" w:rsidRDefault="003D20FE" w:rsidP="003D20FE">
            <w:pPr>
              <w:numPr>
                <w:ilvl w:val="0"/>
                <w:numId w:val="4"/>
              </w:numPr>
              <w:spacing w:after="0" w:line="240" w:lineRule="auto"/>
              <w:ind w:left="360" w:firstLine="0"/>
              <w:textAlignment w:val="baseline"/>
              <w:rPr>
                <w:rFonts w:ascii="Arial" w:eastAsia="Times New Roman" w:hAnsi="Arial" w:cs="Arial"/>
                <w:lang w:eastAsia="nl-NL"/>
              </w:rPr>
            </w:pPr>
            <w:r w:rsidRPr="003D20FE">
              <w:rPr>
                <w:rFonts w:ascii="Arial" w:eastAsia="Times New Roman" w:hAnsi="Arial" w:cs="Arial"/>
                <w:sz w:val="20"/>
                <w:szCs w:val="20"/>
                <w:lang w:eastAsia="nl-NL"/>
              </w:rPr>
              <w:t>De leverancier dient ProRail 24/ 7/ 365 mogelijkheid te bieden om te escaleren bij de leverancier in het geval de dienstverlening naar oordeel van ProRail niet of onvoldoende tot stand komt. </w:t>
            </w:r>
          </w:p>
        </w:tc>
      </w:tr>
      <w:tr w:rsidR="003D20FE" w:rsidRPr="003D20FE" w14:paraId="3B294EAA" w14:textId="77777777" w:rsidTr="003D20FE">
        <w:tc>
          <w:tcPr>
            <w:tcW w:w="9025" w:type="dxa"/>
            <w:tcBorders>
              <w:top w:val="nil"/>
              <w:left w:val="single" w:sz="6" w:space="0" w:color="auto"/>
              <w:bottom w:val="single" w:sz="6" w:space="0" w:color="auto"/>
              <w:right w:val="single" w:sz="6" w:space="0" w:color="auto"/>
            </w:tcBorders>
            <w:shd w:val="clear" w:color="auto" w:fill="auto"/>
            <w:hideMark/>
          </w:tcPr>
          <w:p w14:paraId="5A4F9C3A" w14:textId="77777777" w:rsidR="003D20FE" w:rsidRPr="003D20FE" w:rsidRDefault="003D20FE" w:rsidP="003D20FE">
            <w:pPr>
              <w:numPr>
                <w:ilvl w:val="0"/>
                <w:numId w:val="5"/>
              </w:numPr>
              <w:spacing w:after="0" w:line="240" w:lineRule="auto"/>
              <w:ind w:left="360" w:firstLine="0"/>
              <w:textAlignment w:val="baseline"/>
              <w:rPr>
                <w:rFonts w:ascii="Arial" w:eastAsia="Times New Roman" w:hAnsi="Arial" w:cs="Arial"/>
                <w:lang w:eastAsia="nl-NL"/>
              </w:rPr>
            </w:pPr>
            <w:r w:rsidRPr="003D20FE">
              <w:rPr>
                <w:rFonts w:ascii="Arial" w:eastAsia="Times New Roman" w:hAnsi="Arial" w:cs="Arial"/>
                <w:sz w:val="20"/>
                <w:szCs w:val="20"/>
                <w:lang w:eastAsia="nl-NL"/>
              </w:rPr>
              <w:t>Voor beide zijden geldt dat duidelijke afspraken over escalatie vastgelegd dienen te zijn. </w:t>
            </w:r>
          </w:p>
        </w:tc>
      </w:tr>
      <w:tr w:rsidR="003D20FE" w:rsidRPr="003D20FE" w14:paraId="48C2CE28" w14:textId="77777777" w:rsidTr="003D20FE">
        <w:tc>
          <w:tcPr>
            <w:tcW w:w="9025" w:type="dxa"/>
            <w:tcBorders>
              <w:top w:val="nil"/>
              <w:left w:val="single" w:sz="6" w:space="0" w:color="auto"/>
              <w:bottom w:val="single" w:sz="6" w:space="0" w:color="auto"/>
              <w:right w:val="single" w:sz="6" w:space="0" w:color="auto"/>
            </w:tcBorders>
            <w:shd w:val="clear" w:color="auto" w:fill="auto"/>
            <w:hideMark/>
          </w:tcPr>
          <w:p w14:paraId="3ABB9152" w14:textId="77777777" w:rsidR="003D20FE" w:rsidRPr="003D20FE" w:rsidRDefault="003D20FE" w:rsidP="003D20FE">
            <w:pPr>
              <w:numPr>
                <w:ilvl w:val="0"/>
                <w:numId w:val="6"/>
              </w:numPr>
              <w:spacing w:after="0" w:line="240" w:lineRule="auto"/>
              <w:ind w:left="360" w:firstLine="0"/>
              <w:textAlignment w:val="baseline"/>
              <w:rPr>
                <w:rFonts w:ascii="Arial" w:eastAsia="Times New Roman" w:hAnsi="Arial" w:cs="Arial"/>
                <w:lang w:eastAsia="nl-NL"/>
              </w:rPr>
            </w:pPr>
            <w:r w:rsidRPr="003D20FE">
              <w:rPr>
                <w:rFonts w:ascii="Arial" w:eastAsia="Times New Roman" w:hAnsi="Arial" w:cs="Arial"/>
                <w:sz w:val="20"/>
                <w:szCs w:val="20"/>
                <w:lang w:eastAsia="nl-NL"/>
              </w:rPr>
              <w:t>Interfaces dienen op drie niveaus tussen ProRail en de leverancier in het DAP-escalatieprocedure beschreven te zijn. </w:t>
            </w:r>
          </w:p>
        </w:tc>
      </w:tr>
      <w:tr w:rsidR="003D20FE" w:rsidRPr="003D20FE" w14:paraId="60DC91E4" w14:textId="77777777" w:rsidTr="003D20FE">
        <w:tc>
          <w:tcPr>
            <w:tcW w:w="9025" w:type="dxa"/>
            <w:tcBorders>
              <w:top w:val="nil"/>
              <w:left w:val="single" w:sz="6" w:space="0" w:color="auto"/>
              <w:bottom w:val="single" w:sz="6" w:space="0" w:color="auto"/>
              <w:right w:val="single" w:sz="6" w:space="0" w:color="auto"/>
            </w:tcBorders>
            <w:shd w:val="clear" w:color="auto" w:fill="auto"/>
            <w:hideMark/>
          </w:tcPr>
          <w:p w14:paraId="746BA66D" w14:textId="77777777" w:rsidR="003D20FE" w:rsidRPr="003D20FE" w:rsidRDefault="003D20FE" w:rsidP="003D20FE">
            <w:pPr>
              <w:numPr>
                <w:ilvl w:val="0"/>
                <w:numId w:val="7"/>
              </w:numPr>
              <w:spacing w:after="0" w:line="240" w:lineRule="auto"/>
              <w:ind w:left="360" w:firstLine="0"/>
              <w:textAlignment w:val="baseline"/>
              <w:rPr>
                <w:rFonts w:ascii="Arial" w:eastAsia="Times New Roman" w:hAnsi="Arial" w:cs="Arial"/>
                <w:lang w:eastAsia="nl-NL"/>
              </w:rPr>
            </w:pPr>
            <w:r w:rsidRPr="003D20FE">
              <w:rPr>
                <w:rFonts w:ascii="Arial" w:eastAsia="Times New Roman" w:hAnsi="Arial" w:cs="Arial"/>
                <w:sz w:val="20"/>
                <w:szCs w:val="20"/>
                <w:lang w:eastAsia="nl-NL"/>
              </w:rPr>
              <w:t>Uiteraard richt ProRail ProRail intern ook een escalatiedienst in, conform </w:t>
            </w:r>
            <w:r w:rsidRPr="003D20FE">
              <w:rPr>
                <w:rFonts w:ascii="Arial" w:eastAsia="Times New Roman" w:hAnsi="Arial" w:cs="Arial"/>
                <w:color w:val="000000"/>
                <w:sz w:val="20"/>
                <w:szCs w:val="20"/>
                <w:shd w:val="clear" w:color="auto" w:fill="E1E3E6"/>
                <w:lang w:eastAsia="nl-NL"/>
              </w:rPr>
              <w:t>Figuur 1: Escalatieprocedure</w:t>
            </w:r>
            <w:r w:rsidRPr="003D20FE">
              <w:rPr>
                <w:rFonts w:ascii="Arial" w:eastAsia="Times New Roman" w:hAnsi="Arial" w:cs="Arial"/>
                <w:sz w:val="20"/>
                <w:szCs w:val="20"/>
                <w:lang w:eastAsia="nl-NL"/>
              </w:rPr>
              <w:t>. ProRail onderkent 3 niveaus: </w:t>
            </w:r>
          </w:p>
        </w:tc>
      </w:tr>
      <w:tr w:rsidR="003D20FE" w:rsidRPr="003D20FE" w14:paraId="0B35A5F7" w14:textId="77777777" w:rsidTr="003D20FE">
        <w:tc>
          <w:tcPr>
            <w:tcW w:w="9025" w:type="dxa"/>
            <w:tcBorders>
              <w:top w:val="nil"/>
              <w:left w:val="single" w:sz="6" w:space="0" w:color="auto"/>
              <w:bottom w:val="single" w:sz="6" w:space="0" w:color="auto"/>
              <w:right w:val="single" w:sz="6" w:space="0" w:color="auto"/>
            </w:tcBorders>
            <w:shd w:val="clear" w:color="auto" w:fill="auto"/>
            <w:hideMark/>
          </w:tcPr>
          <w:p w14:paraId="08D5C00F" w14:textId="77777777" w:rsidR="003D20FE" w:rsidRPr="003D20FE" w:rsidRDefault="003D20FE" w:rsidP="003D20FE">
            <w:pPr>
              <w:numPr>
                <w:ilvl w:val="0"/>
                <w:numId w:val="8"/>
              </w:numPr>
              <w:spacing w:after="0" w:line="240" w:lineRule="auto"/>
              <w:ind w:left="1080" w:firstLine="0"/>
              <w:textAlignment w:val="baseline"/>
              <w:rPr>
                <w:rFonts w:ascii="Arial" w:eastAsia="Times New Roman" w:hAnsi="Arial" w:cs="Arial"/>
                <w:lang w:eastAsia="nl-NL"/>
              </w:rPr>
            </w:pPr>
            <w:r w:rsidRPr="003D20FE">
              <w:rPr>
                <w:rFonts w:ascii="Arial" w:eastAsia="Times New Roman" w:hAnsi="Arial" w:cs="Arial"/>
                <w:sz w:val="20"/>
                <w:szCs w:val="20"/>
                <w:lang w:eastAsia="nl-NL"/>
              </w:rPr>
              <w:t>De Centrale Servicedesk, CSD; </w:t>
            </w:r>
          </w:p>
        </w:tc>
      </w:tr>
      <w:tr w:rsidR="003D20FE" w:rsidRPr="003D20FE" w14:paraId="625472DF" w14:textId="77777777" w:rsidTr="003D20FE">
        <w:tc>
          <w:tcPr>
            <w:tcW w:w="9025" w:type="dxa"/>
            <w:tcBorders>
              <w:top w:val="nil"/>
              <w:left w:val="single" w:sz="6" w:space="0" w:color="auto"/>
              <w:bottom w:val="single" w:sz="6" w:space="0" w:color="auto"/>
              <w:right w:val="single" w:sz="6" w:space="0" w:color="auto"/>
            </w:tcBorders>
            <w:shd w:val="clear" w:color="auto" w:fill="auto"/>
            <w:hideMark/>
          </w:tcPr>
          <w:p w14:paraId="242CB625" w14:textId="77777777" w:rsidR="003D20FE" w:rsidRPr="003D20FE" w:rsidRDefault="003D20FE" w:rsidP="003D20FE">
            <w:pPr>
              <w:numPr>
                <w:ilvl w:val="0"/>
                <w:numId w:val="9"/>
              </w:numPr>
              <w:spacing w:after="0" w:line="240" w:lineRule="auto"/>
              <w:ind w:left="1080" w:firstLine="0"/>
              <w:textAlignment w:val="baseline"/>
              <w:rPr>
                <w:rFonts w:ascii="Arial" w:eastAsia="Times New Roman" w:hAnsi="Arial" w:cs="Arial"/>
                <w:lang w:eastAsia="nl-NL"/>
              </w:rPr>
            </w:pPr>
            <w:r w:rsidRPr="003D20FE">
              <w:rPr>
                <w:rFonts w:ascii="Arial" w:eastAsia="Times New Roman" w:hAnsi="Arial" w:cs="Arial"/>
                <w:sz w:val="20"/>
                <w:szCs w:val="20"/>
                <w:lang w:eastAsia="nl-NL"/>
              </w:rPr>
              <w:t>Incidentcoördinator ProRail; </w:t>
            </w:r>
          </w:p>
        </w:tc>
      </w:tr>
      <w:tr w:rsidR="003D20FE" w:rsidRPr="003D20FE" w14:paraId="73973259" w14:textId="77777777" w:rsidTr="003D20FE">
        <w:tc>
          <w:tcPr>
            <w:tcW w:w="9025" w:type="dxa"/>
            <w:tcBorders>
              <w:top w:val="nil"/>
              <w:left w:val="single" w:sz="6" w:space="0" w:color="auto"/>
              <w:bottom w:val="single" w:sz="6" w:space="0" w:color="auto"/>
              <w:right w:val="single" w:sz="6" w:space="0" w:color="auto"/>
            </w:tcBorders>
            <w:shd w:val="clear" w:color="auto" w:fill="auto"/>
            <w:hideMark/>
          </w:tcPr>
          <w:p w14:paraId="5CC7AF26" w14:textId="77777777" w:rsidR="003D20FE" w:rsidRPr="003D20FE" w:rsidRDefault="003D20FE" w:rsidP="003D20FE">
            <w:pPr>
              <w:numPr>
                <w:ilvl w:val="0"/>
                <w:numId w:val="10"/>
              </w:numPr>
              <w:spacing w:after="0" w:line="240" w:lineRule="auto"/>
              <w:ind w:left="1080" w:firstLine="0"/>
              <w:textAlignment w:val="baseline"/>
              <w:rPr>
                <w:rFonts w:ascii="Arial" w:eastAsia="Times New Roman" w:hAnsi="Arial" w:cs="Arial"/>
                <w:lang w:eastAsia="nl-NL"/>
              </w:rPr>
            </w:pPr>
            <w:r w:rsidRPr="003D20FE">
              <w:rPr>
                <w:rFonts w:ascii="Arial" w:eastAsia="Times New Roman" w:hAnsi="Arial" w:cs="Arial"/>
                <w:sz w:val="20"/>
                <w:szCs w:val="20"/>
                <w:lang w:eastAsia="nl-NL"/>
              </w:rPr>
              <w:t>Wachtdienst MT ProRail. </w:t>
            </w:r>
          </w:p>
        </w:tc>
      </w:tr>
      <w:tr w:rsidR="003D20FE" w:rsidRPr="003D20FE" w14:paraId="098D36BF" w14:textId="77777777" w:rsidTr="003D20FE">
        <w:tc>
          <w:tcPr>
            <w:tcW w:w="9025" w:type="dxa"/>
            <w:tcBorders>
              <w:top w:val="nil"/>
              <w:left w:val="single" w:sz="6" w:space="0" w:color="auto"/>
              <w:bottom w:val="single" w:sz="6" w:space="0" w:color="auto"/>
              <w:right w:val="single" w:sz="6" w:space="0" w:color="auto"/>
            </w:tcBorders>
            <w:shd w:val="clear" w:color="auto" w:fill="auto"/>
            <w:hideMark/>
          </w:tcPr>
          <w:p w14:paraId="0A736F9B" w14:textId="77777777" w:rsidR="003D20FE" w:rsidRPr="003D20FE" w:rsidRDefault="003D20FE" w:rsidP="003D20FE">
            <w:pPr>
              <w:numPr>
                <w:ilvl w:val="0"/>
                <w:numId w:val="11"/>
              </w:numPr>
              <w:spacing w:after="0" w:line="240" w:lineRule="auto"/>
              <w:ind w:left="360" w:firstLine="0"/>
              <w:textAlignment w:val="baseline"/>
              <w:rPr>
                <w:rFonts w:ascii="Arial" w:eastAsia="Times New Roman" w:hAnsi="Arial" w:cs="Arial"/>
                <w:lang w:eastAsia="nl-NL"/>
              </w:rPr>
            </w:pPr>
            <w:r w:rsidRPr="003D20FE">
              <w:rPr>
                <w:rFonts w:ascii="Arial" w:eastAsia="Times New Roman" w:hAnsi="Arial" w:cs="Arial"/>
                <w:sz w:val="20"/>
                <w:szCs w:val="20"/>
                <w:lang w:eastAsia="nl-NL"/>
              </w:rPr>
              <w:t>De escalatie procedure dient ertoe om eenduidig vastgelegd te hebben welk escalatie pad gevolgd dient te worden en wie (functie en naam) er binnen de organisatie van de wederpartij het gelijkwaardig escalatieniveau is. </w:t>
            </w:r>
          </w:p>
        </w:tc>
      </w:tr>
      <w:tr w:rsidR="003D20FE" w:rsidRPr="003D20FE" w14:paraId="28AC6258" w14:textId="77777777" w:rsidTr="003D20FE">
        <w:tc>
          <w:tcPr>
            <w:tcW w:w="9025" w:type="dxa"/>
            <w:tcBorders>
              <w:top w:val="nil"/>
              <w:left w:val="single" w:sz="6" w:space="0" w:color="auto"/>
              <w:bottom w:val="single" w:sz="6" w:space="0" w:color="auto"/>
              <w:right w:val="single" w:sz="6" w:space="0" w:color="auto"/>
            </w:tcBorders>
            <w:shd w:val="clear" w:color="auto" w:fill="auto"/>
            <w:hideMark/>
          </w:tcPr>
          <w:p w14:paraId="097A0206" w14:textId="77777777" w:rsidR="003D20FE" w:rsidRPr="003D20FE" w:rsidRDefault="003D20FE" w:rsidP="003D20FE">
            <w:pPr>
              <w:numPr>
                <w:ilvl w:val="0"/>
                <w:numId w:val="12"/>
              </w:numPr>
              <w:spacing w:after="0" w:line="240" w:lineRule="auto"/>
              <w:ind w:left="360" w:firstLine="0"/>
              <w:textAlignment w:val="baseline"/>
              <w:rPr>
                <w:rFonts w:ascii="Arial" w:eastAsia="Times New Roman" w:hAnsi="Arial" w:cs="Arial"/>
                <w:lang w:eastAsia="nl-NL"/>
              </w:rPr>
            </w:pPr>
            <w:r w:rsidRPr="003D20FE">
              <w:rPr>
                <w:rFonts w:ascii="Arial" w:eastAsia="Times New Roman" w:hAnsi="Arial" w:cs="Arial"/>
                <w:sz w:val="20"/>
                <w:szCs w:val="20"/>
                <w:lang w:eastAsia="nl-NL"/>
              </w:rPr>
              <w:t>Het escalatieniveau dient het mandaat te hebben om het probleem op te kunnen lossen of naar een hoger niveau te kunnen escaleren. </w:t>
            </w:r>
          </w:p>
        </w:tc>
      </w:tr>
      <w:tr w:rsidR="003D20FE" w:rsidRPr="003D20FE" w14:paraId="1F26565A" w14:textId="77777777" w:rsidTr="003D20FE">
        <w:tc>
          <w:tcPr>
            <w:tcW w:w="9025" w:type="dxa"/>
            <w:tcBorders>
              <w:top w:val="nil"/>
              <w:left w:val="single" w:sz="6" w:space="0" w:color="auto"/>
              <w:bottom w:val="single" w:sz="6" w:space="0" w:color="auto"/>
              <w:right w:val="single" w:sz="6" w:space="0" w:color="auto"/>
            </w:tcBorders>
            <w:shd w:val="clear" w:color="auto" w:fill="auto"/>
            <w:hideMark/>
          </w:tcPr>
          <w:p w14:paraId="78458C5A" w14:textId="77777777" w:rsidR="003D20FE" w:rsidRPr="003D20FE" w:rsidRDefault="003D20FE" w:rsidP="003D20FE">
            <w:pPr>
              <w:numPr>
                <w:ilvl w:val="0"/>
                <w:numId w:val="13"/>
              </w:numPr>
              <w:spacing w:after="0" w:line="240" w:lineRule="auto"/>
              <w:ind w:left="360" w:firstLine="0"/>
              <w:textAlignment w:val="baseline"/>
              <w:rPr>
                <w:rFonts w:ascii="Arial" w:eastAsia="Times New Roman" w:hAnsi="Arial" w:cs="Arial"/>
                <w:lang w:eastAsia="nl-NL"/>
              </w:rPr>
            </w:pPr>
            <w:r w:rsidRPr="003D20FE">
              <w:rPr>
                <w:rFonts w:ascii="Arial" w:eastAsia="Times New Roman" w:hAnsi="Arial" w:cs="Arial"/>
                <w:sz w:val="20"/>
                <w:szCs w:val="20"/>
                <w:lang w:eastAsia="nl-NL"/>
              </w:rPr>
              <w:t>Indien een der partijen de escalatieprocedure in gang zet, volgt automatisch escalatie bij de wederpartij. </w:t>
            </w:r>
          </w:p>
        </w:tc>
      </w:tr>
      <w:tr w:rsidR="003D20FE" w:rsidRPr="003D20FE" w14:paraId="46D4F70C" w14:textId="77777777" w:rsidTr="003D20FE">
        <w:tc>
          <w:tcPr>
            <w:tcW w:w="9025" w:type="dxa"/>
            <w:tcBorders>
              <w:top w:val="nil"/>
              <w:left w:val="single" w:sz="6" w:space="0" w:color="auto"/>
              <w:bottom w:val="single" w:sz="6" w:space="0" w:color="auto"/>
              <w:right w:val="single" w:sz="6" w:space="0" w:color="auto"/>
            </w:tcBorders>
            <w:shd w:val="clear" w:color="auto" w:fill="auto"/>
            <w:hideMark/>
          </w:tcPr>
          <w:p w14:paraId="1CCB85B3" w14:textId="77777777" w:rsidR="003D20FE" w:rsidRPr="003D20FE" w:rsidRDefault="003D20FE" w:rsidP="003D20FE">
            <w:pPr>
              <w:spacing w:after="0" w:line="240" w:lineRule="auto"/>
              <w:textAlignment w:val="baseline"/>
              <w:rPr>
                <w:rFonts w:ascii="Segoe UI" w:eastAsia="Times New Roman" w:hAnsi="Segoe UI" w:cs="Segoe UI"/>
                <w:sz w:val="18"/>
                <w:szCs w:val="18"/>
                <w:lang w:eastAsia="nl-NL"/>
              </w:rPr>
            </w:pPr>
            <w:r w:rsidRPr="003D20FE">
              <w:rPr>
                <w:rFonts w:ascii="Arial" w:hAnsi="Arial" w:cs="Arial"/>
                <w:noProof/>
                <w:sz w:val="20"/>
                <w:szCs w:val="20"/>
              </w:rPr>
              <w:drawing>
                <wp:inline distT="0" distB="0" distL="0" distR="0" wp14:anchorId="3E172221" wp14:editId="18851EA3">
                  <wp:extent cx="5581650" cy="4906010"/>
                  <wp:effectExtent l="0" t="0" r="0" b="8890"/>
                  <wp:docPr id="1" name="Afbeelding 1" descr="C:\Users\Siebolt.vanderLinde\AppData\Local\Microsoft\Windows\INetCache\Content.MSO\ED30570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ebolt.vanderLinde\AppData\Local\Microsoft\Windows\INetCache\Content.MSO\ED30570C.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1650" cy="4906010"/>
                          </a:xfrm>
                          <a:prstGeom prst="rect">
                            <a:avLst/>
                          </a:prstGeom>
                          <a:noFill/>
                          <a:ln>
                            <a:noFill/>
                          </a:ln>
                        </pic:spPr>
                      </pic:pic>
                    </a:graphicData>
                  </a:graphic>
                </wp:inline>
              </w:drawing>
            </w:r>
            <w:r w:rsidRPr="003D20FE">
              <w:rPr>
                <w:rFonts w:ascii="Arial" w:eastAsia="Times New Roman" w:hAnsi="Arial" w:cs="Arial"/>
                <w:sz w:val="20"/>
                <w:szCs w:val="20"/>
                <w:lang w:eastAsia="nl-NL"/>
              </w:rPr>
              <w:t> </w:t>
            </w:r>
          </w:p>
        </w:tc>
      </w:tr>
    </w:tbl>
    <w:p w14:paraId="73166B16" w14:textId="77777777" w:rsidR="00D254C7" w:rsidRPr="00496036" w:rsidRDefault="00D254C7">
      <w:pPr>
        <w:rPr>
          <w:rFonts w:ascii="Arial" w:hAnsi="Arial" w:cs="Arial"/>
          <w:sz w:val="20"/>
          <w:szCs w:val="20"/>
        </w:rPr>
      </w:pPr>
    </w:p>
    <w:sectPr w:rsidR="00D254C7" w:rsidRPr="004960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87866"/>
    <w:multiLevelType w:val="multilevel"/>
    <w:tmpl w:val="455AE38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D6359"/>
    <w:multiLevelType w:val="multilevel"/>
    <w:tmpl w:val="507898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4C769C"/>
    <w:multiLevelType w:val="multilevel"/>
    <w:tmpl w:val="2E8E4C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314565A8"/>
    <w:multiLevelType w:val="multilevel"/>
    <w:tmpl w:val="5E427A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425450"/>
    <w:multiLevelType w:val="multilevel"/>
    <w:tmpl w:val="76CCE7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5D4ABC"/>
    <w:multiLevelType w:val="multilevel"/>
    <w:tmpl w:val="B9E2B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5D3582"/>
    <w:multiLevelType w:val="multilevel"/>
    <w:tmpl w:val="0DBC657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D945965"/>
    <w:multiLevelType w:val="multilevel"/>
    <w:tmpl w:val="7F3CB5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4B25F0"/>
    <w:multiLevelType w:val="multilevel"/>
    <w:tmpl w:val="421EE6A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5A507194"/>
    <w:multiLevelType w:val="multilevel"/>
    <w:tmpl w:val="01A68C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32A5352"/>
    <w:multiLevelType w:val="multilevel"/>
    <w:tmpl w:val="81646B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99171E9"/>
    <w:multiLevelType w:val="multilevel"/>
    <w:tmpl w:val="7278E24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7DFD31B7"/>
    <w:multiLevelType w:val="multilevel"/>
    <w:tmpl w:val="E0E071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1"/>
  </w:num>
  <w:num w:numId="2">
    <w:abstractNumId w:val="5"/>
  </w:num>
  <w:num w:numId="3">
    <w:abstractNumId w:val="9"/>
  </w:num>
  <w:num w:numId="4">
    <w:abstractNumId w:val="10"/>
  </w:num>
  <w:num w:numId="5">
    <w:abstractNumId w:val="1"/>
  </w:num>
  <w:num w:numId="6">
    <w:abstractNumId w:val="3"/>
  </w:num>
  <w:num w:numId="7">
    <w:abstractNumId w:val="0"/>
  </w:num>
  <w:num w:numId="8">
    <w:abstractNumId w:val="2"/>
  </w:num>
  <w:num w:numId="9">
    <w:abstractNumId w:val="8"/>
  </w:num>
  <w:num w:numId="10">
    <w:abstractNumId w:val="12"/>
  </w:num>
  <w:num w:numId="11">
    <w:abstractNumId w:val="7"/>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0FE"/>
    <w:rsid w:val="003D20FE"/>
    <w:rsid w:val="00496036"/>
    <w:rsid w:val="00790407"/>
    <w:rsid w:val="00D254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28547"/>
  <w15:chartTrackingRefBased/>
  <w15:docId w15:val="{C63B08A1-3233-4843-9923-5051CD9F2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3D20F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findhit">
    <w:name w:val="findhit"/>
    <w:basedOn w:val="Standaardalinea-lettertype"/>
    <w:rsid w:val="003D20FE"/>
  </w:style>
  <w:style w:type="character" w:customStyle="1" w:styleId="normaltextrun">
    <w:name w:val="normaltextrun"/>
    <w:basedOn w:val="Standaardalinea-lettertype"/>
    <w:rsid w:val="003D20FE"/>
  </w:style>
  <w:style w:type="character" w:customStyle="1" w:styleId="eop">
    <w:name w:val="eop"/>
    <w:basedOn w:val="Standaardalinea-lettertype"/>
    <w:rsid w:val="003D20FE"/>
  </w:style>
  <w:style w:type="character" w:customStyle="1" w:styleId="spellingerror">
    <w:name w:val="spellingerror"/>
    <w:basedOn w:val="Standaardalinea-lettertype"/>
    <w:rsid w:val="003D20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981239">
      <w:bodyDiv w:val="1"/>
      <w:marLeft w:val="0"/>
      <w:marRight w:val="0"/>
      <w:marTop w:val="0"/>
      <w:marBottom w:val="0"/>
      <w:divBdr>
        <w:top w:val="none" w:sz="0" w:space="0" w:color="auto"/>
        <w:left w:val="none" w:sz="0" w:space="0" w:color="auto"/>
        <w:bottom w:val="none" w:sz="0" w:space="0" w:color="auto"/>
        <w:right w:val="none" w:sz="0" w:space="0" w:color="auto"/>
      </w:divBdr>
      <w:divsChild>
        <w:div w:id="1561165094">
          <w:marLeft w:val="0"/>
          <w:marRight w:val="0"/>
          <w:marTop w:val="0"/>
          <w:marBottom w:val="0"/>
          <w:divBdr>
            <w:top w:val="none" w:sz="0" w:space="0" w:color="auto"/>
            <w:left w:val="none" w:sz="0" w:space="0" w:color="auto"/>
            <w:bottom w:val="none" w:sz="0" w:space="0" w:color="auto"/>
            <w:right w:val="none" w:sz="0" w:space="0" w:color="auto"/>
          </w:divBdr>
          <w:divsChild>
            <w:div w:id="1092512995">
              <w:marLeft w:val="0"/>
              <w:marRight w:val="0"/>
              <w:marTop w:val="0"/>
              <w:marBottom w:val="0"/>
              <w:divBdr>
                <w:top w:val="none" w:sz="0" w:space="0" w:color="auto"/>
                <w:left w:val="none" w:sz="0" w:space="0" w:color="auto"/>
                <w:bottom w:val="none" w:sz="0" w:space="0" w:color="auto"/>
                <w:right w:val="none" w:sz="0" w:space="0" w:color="auto"/>
              </w:divBdr>
            </w:div>
          </w:divsChild>
        </w:div>
        <w:div w:id="303388337">
          <w:marLeft w:val="0"/>
          <w:marRight w:val="0"/>
          <w:marTop w:val="0"/>
          <w:marBottom w:val="0"/>
          <w:divBdr>
            <w:top w:val="none" w:sz="0" w:space="0" w:color="auto"/>
            <w:left w:val="none" w:sz="0" w:space="0" w:color="auto"/>
            <w:bottom w:val="none" w:sz="0" w:space="0" w:color="auto"/>
            <w:right w:val="none" w:sz="0" w:space="0" w:color="auto"/>
          </w:divBdr>
          <w:divsChild>
            <w:div w:id="1901473152">
              <w:marLeft w:val="0"/>
              <w:marRight w:val="0"/>
              <w:marTop w:val="0"/>
              <w:marBottom w:val="0"/>
              <w:divBdr>
                <w:top w:val="none" w:sz="0" w:space="0" w:color="auto"/>
                <w:left w:val="none" w:sz="0" w:space="0" w:color="auto"/>
                <w:bottom w:val="none" w:sz="0" w:space="0" w:color="auto"/>
                <w:right w:val="none" w:sz="0" w:space="0" w:color="auto"/>
              </w:divBdr>
            </w:div>
          </w:divsChild>
        </w:div>
        <w:div w:id="2055620572">
          <w:marLeft w:val="0"/>
          <w:marRight w:val="0"/>
          <w:marTop w:val="0"/>
          <w:marBottom w:val="0"/>
          <w:divBdr>
            <w:top w:val="none" w:sz="0" w:space="0" w:color="auto"/>
            <w:left w:val="none" w:sz="0" w:space="0" w:color="auto"/>
            <w:bottom w:val="none" w:sz="0" w:space="0" w:color="auto"/>
            <w:right w:val="none" w:sz="0" w:space="0" w:color="auto"/>
          </w:divBdr>
          <w:divsChild>
            <w:div w:id="2084260288">
              <w:marLeft w:val="0"/>
              <w:marRight w:val="0"/>
              <w:marTop w:val="0"/>
              <w:marBottom w:val="0"/>
              <w:divBdr>
                <w:top w:val="none" w:sz="0" w:space="0" w:color="auto"/>
                <w:left w:val="none" w:sz="0" w:space="0" w:color="auto"/>
                <w:bottom w:val="none" w:sz="0" w:space="0" w:color="auto"/>
                <w:right w:val="none" w:sz="0" w:space="0" w:color="auto"/>
              </w:divBdr>
            </w:div>
          </w:divsChild>
        </w:div>
        <w:div w:id="683289964">
          <w:marLeft w:val="0"/>
          <w:marRight w:val="0"/>
          <w:marTop w:val="0"/>
          <w:marBottom w:val="0"/>
          <w:divBdr>
            <w:top w:val="none" w:sz="0" w:space="0" w:color="auto"/>
            <w:left w:val="none" w:sz="0" w:space="0" w:color="auto"/>
            <w:bottom w:val="none" w:sz="0" w:space="0" w:color="auto"/>
            <w:right w:val="none" w:sz="0" w:space="0" w:color="auto"/>
          </w:divBdr>
          <w:divsChild>
            <w:div w:id="1813016258">
              <w:marLeft w:val="0"/>
              <w:marRight w:val="0"/>
              <w:marTop w:val="0"/>
              <w:marBottom w:val="0"/>
              <w:divBdr>
                <w:top w:val="none" w:sz="0" w:space="0" w:color="auto"/>
                <w:left w:val="none" w:sz="0" w:space="0" w:color="auto"/>
                <w:bottom w:val="none" w:sz="0" w:space="0" w:color="auto"/>
                <w:right w:val="none" w:sz="0" w:space="0" w:color="auto"/>
              </w:divBdr>
            </w:div>
          </w:divsChild>
        </w:div>
        <w:div w:id="385683298">
          <w:marLeft w:val="0"/>
          <w:marRight w:val="0"/>
          <w:marTop w:val="0"/>
          <w:marBottom w:val="0"/>
          <w:divBdr>
            <w:top w:val="none" w:sz="0" w:space="0" w:color="auto"/>
            <w:left w:val="none" w:sz="0" w:space="0" w:color="auto"/>
            <w:bottom w:val="none" w:sz="0" w:space="0" w:color="auto"/>
            <w:right w:val="none" w:sz="0" w:space="0" w:color="auto"/>
          </w:divBdr>
          <w:divsChild>
            <w:div w:id="316034351">
              <w:marLeft w:val="0"/>
              <w:marRight w:val="0"/>
              <w:marTop w:val="0"/>
              <w:marBottom w:val="0"/>
              <w:divBdr>
                <w:top w:val="none" w:sz="0" w:space="0" w:color="auto"/>
                <w:left w:val="none" w:sz="0" w:space="0" w:color="auto"/>
                <w:bottom w:val="none" w:sz="0" w:space="0" w:color="auto"/>
                <w:right w:val="none" w:sz="0" w:space="0" w:color="auto"/>
              </w:divBdr>
            </w:div>
          </w:divsChild>
        </w:div>
        <w:div w:id="1426878018">
          <w:marLeft w:val="0"/>
          <w:marRight w:val="0"/>
          <w:marTop w:val="0"/>
          <w:marBottom w:val="0"/>
          <w:divBdr>
            <w:top w:val="none" w:sz="0" w:space="0" w:color="auto"/>
            <w:left w:val="none" w:sz="0" w:space="0" w:color="auto"/>
            <w:bottom w:val="none" w:sz="0" w:space="0" w:color="auto"/>
            <w:right w:val="none" w:sz="0" w:space="0" w:color="auto"/>
          </w:divBdr>
          <w:divsChild>
            <w:div w:id="1082871589">
              <w:marLeft w:val="0"/>
              <w:marRight w:val="0"/>
              <w:marTop w:val="0"/>
              <w:marBottom w:val="0"/>
              <w:divBdr>
                <w:top w:val="none" w:sz="0" w:space="0" w:color="auto"/>
                <w:left w:val="none" w:sz="0" w:space="0" w:color="auto"/>
                <w:bottom w:val="none" w:sz="0" w:space="0" w:color="auto"/>
                <w:right w:val="none" w:sz="0" w:space="0" w:color="auto"/>
              </w:divBdr>
            </w:div>
          </w:divsChild>
        </w:div>
        <w:div w:id="370540882">
          <w:marLeft w:val="0"/>
          <w:marRight w:val="0"/>
          <w:marTop w:val="0"/>
          <w:marBottom w:val="0"/>
          <w:divBdr>
            <w:top w:val="none" w:sz="0" w:space="0" w:color="auto"/>
            <w:left w:val="none" w:sz="0" w:space="0" w:color="auto"/>
            <w:bottom w:val="none" w:sz="0" w:space="0" w:color="auto"/>
            <w:right w:val="none" w:sz="0" w:space="0" w:color="auto"/>
          </w:divBdr>
          <w:divsChild>
            <w:div w:id="1438796656">
              <w:marLeft w:val="0"/>
              <w:marRight w:val="0"/>
              <w:marTop w:val="0"/>
              <w:marBottom w:val="0"/>
              <w:divBdr>
                <w:top w:val="none" w:sz="0" w:space="0" w:color="auto"/>
                <w:left w:val="none" w:sz="0" w:space="0" w:color="auto"/>
                <w:bottom w:val="none" w:sz="0" w:space="0" w:color="auto"/>
                <w:right w:val="none" w:sz="0" w:space="0" w:color="auto"/>
              </w:divBdr>
            </w:div>
          </w:divsChild>
        </w:div>
        <w:div w:id="224410407">
          <w:marLeft w:val="0"/>
          <w:marRight w:val="0"/>
          <w:marTop w:val="0"/>
          <w:marBottom w:val="0"/>
          <w:divBdr>
            <w:top w:val="none" w:sz="0" w:space="0" w:color="auto"/>
            <w:left w:val="none" w:sz="0" w:space="0" w:color="auto"/>
            <w:bottom w:val="none" w:sz="0" w:space="0" w:color="auto"/>
            <w:right w:val="none" w:sz="0" w:space="0" w:color="auto"/>
          </w:divBdr>
          <w:divsChild>
            <w:div w:id="142040374">
              <w:marLeft w:val="0"/>
              <w:marRight w:val="0"/>
              <w:marTop w:val="0"/>
              <w:marBottom w:val="0"/>
              <w:divBdr>
                <w:top w:val="none" w:sz="0" w:space="0" w:color="auto"/>
                <w:left w:val="none" w:sz="0" w:space="0" w:color="auto"/>
                <w:bottom w:val="none" w:sz="0" w:space="0" w:color="auto"/>
                <w:right w:val="none" w:sz="0" w:space="0" w:color="auto"/>
              </w:divBdr>
            </w:div>
          </w:divsChild>
        </w:div>
        <w:div w:id="1447701066">
          <w:marLeft w:val="0"/>
          <w:marRight w:val="0"/>
          <w:marTop w:val="0"/>
          <w:marBottom w:val="0"/>
          <w:divBdr>
            <w:top w:val="none" w:sz="0" w:space="0" w:color="auto"/>
            <w:left w:val="none" w:sz="0" w:space="0" w:color="auto"/>
            <w:bottom w:val="none" w:sz="0" w:space="0" w:color="auto"/>
            <w:right w:val="none" w:sz="0" w:space="0" w:color="auto"/>
          </w:divBdr>
          <w:divsChild>
            <w:div w:id="349919944">
              <w:marLeft w:val="0"/>
              <w:marRight w:val="0"/>
              <w:marTop w:val="0"/>
              <w:marBottom w:val="0"/>
              <w:divBdr>
                <w:top w:val="none" w:sz="0" w:space="0" w:color="auto"/>
                <w:left w:val="none" w:sz="0" w:space="0" w:color="auto"/>
                <w:bottom w:val="none" w:sz="0" w:space="0" w:color="auto"/>
                <w:right w:val="none" w:sz="0" w:space="0" w:color="auto"/>
              </w:divBdr>
            </w:div>
          </w:divsChild>
        </w:div>
        <w:div w:id="46534749">
          <w:marLeft w:val="0"/>
          <w:marRight w:val="0"/>
          <w:marTop w:val="0"/>
          <w:marBottom w:val="0"/>
          <w:divBdr>
            <w:top w:val="none" w:sz="0" w:space="0" w:color="auto"/>
            <w:left w:val="none" w:sz="0" w:space="0" w:color="auto"/>
            <w:bottom w:val="none" w:sz="0" w:space="0" w:color="auto"/>
            <w:right w:val="none" w:sz="0" w:space="0" w:color="auto"/>
          </w:divBdr>
          <w:divsChild>
            <w:div w:id="239798953">
              <w:marLeft w:val="0"/>
              <w:marRight w:val="0"/>
              <w:marTop w:val="0"/>
              <w:marBottom w:val="0"/>
              <w:divBdr>
                <w:top w:val="none" w:sz="0" w:space="0" w:color="auto"/>
                <w:left w:val="none" w:sz="0" w:space="0" w:color="auto"/>
                <w:bottom w:val="none" w:sz="0" w:space="0" w:color="auto"/>
                <w:right w:val="none" w:sz="0" w:space="0" w:color="auto"/>
              </w:divBdr>
            </w:div>
          </w:divsChild>
        </w:div>
        <w:div w:id="433014057">
          <w:marLeft w:val="0"/>
          <w:marRight w:val="0"/>
          <w:marTop w:val="0"/>
          <w:marBottom w:val="0"/>
          <w:divBdr>
            <w:top w:val="none" w:sz="0" w:space="0" w:color="auto"/>
            <w:left w:val="none" w:sz="0" w:space="0" w:color="auto"/>
            <w:bottom w:val="none" w:sz="0" w:space="0" w:color="auto"/>
            <w:right w:val="none" w:sz="0" w:space="0" w:color="auto"/>
          </w:divBdr>
          <w:divsChild>
            <w:div w:id="52587865">
              <w:marLeft w:val="0"/>
              <w:marRight w:val="0"/>
              <w:marTop w:val="0"/>
              <w:marBottom w:val="0"/>
              <w:divBdr>
                <w:top w:val="none" w:sz="0" w:space="0" w:color="auto"/>
                <w:left w:val="none" w:sz="0" w:space="0" w:color="auto"/>
                <w:bottom w:val="none" w:sz="0" w:space="0" w:color="auto"/>
                <w:right w:val="none" w:sz="0" w:space="0" w:color="auto"/>
              </w:divBdr>
            </w:div>
          </w:divsChild>
        </w:div>
        <w:div w:id="545026885">
          <w:marLeft w:val="0"/>
          <w:marRight w:val="0"/>
          <w:marTop w:val="0"/>
          <w:marBottom w:val="0"/>
          <w:divBdr>
            <w:top w:val="none" w:sz="0" w:space="0" w:color="auto"/>
            <w:left w:val="none" w:sz="0" w:space="0" w:color="auto"/>
            <w:bottom w:val="none" w:sz="0" w:space="0" w:color="auto"/>
            <w:right w:val="none" w:sz="0" w:space="0" w:color="auto"/>
          </w:divBdr>
          <w:divsChild>
            <w:div w:id="627901161">
              <w:marLeft w:val="0"/>
              <w:marRight w:val="0"/>
              <w:marTop w:val="0"/>
              <w:marBottom w:val="0"/>
              <w:divBdr>
                <w:top w:val="none" w:sz="0" w:space="0" w:color="auto"/>
                <w:left w:val="none" w:sz="0" w:space="0" w:color="auto"/>
                <w:bottom w:val="none" w:sz="0" w:space="0" w:color="auto"/>
                <w:right w:val="none" w:sz="0" w:space="0" w:color="auto"/>
              </w:divBdr>
            </w:div>
          </w:divsChild>
        </w:div>
        <w:div w:id="482350924">
          <w:marLeft w:val="0"/>
          <w:marRight w:val="0"/>
          <w:marTop w:val="0"/>
          <w:marBottom w:val="0"/>
          <w:divBdr>
            <w:top w:val="none" w:sz="0" w:space="0" w:color="auto"/>
            <w:left w:val="none" w:sz="0" w:space="0" w:color="auto"/>
            <w:bottom w:val="none" w:sz="0" w:space="0" w:color="auto"/>
            <w:right w:val="none" w:sz="0" w:space="0" w:color="auto"/>
          </w:divBdr>
          <w:divsChild>
            <w:div w:id="1467117543">
              <w:marLeft w:val="0"/>
              <w:marRight w:val="0"/>
              <w:marTop w:val="0"/>
              <w:marBottom w:val="0"/>
              <w:divBdr>
                <w:top w:val="none" w:sz="0" w:space="0" w:color="auto"/>
                <w:left w:val="none" w:sz="0" w:space="0" w:color="auto"/>
                <w:bottom w:val="none" w:sz="0" w:space="0" w:color="auto"/>
                <w:right w:val="none" w:sz="0" w:space="0" w:color="auto"/>
              </w:divBdr>
            </w:div>
          </w:divsChild>
        </w:div>
        <w:div w:id="2002273207">
          <w:marLeft w:val="0"/>
          <w:marRight w:val="0"/>
          <w:marTop w:val="0"/>
          <w:marBottom w:val="0"/>
          <w:divBdr>
            <w:top w:val="none" w:sz="0" w:space="0" w:color="auto"/>
            <w:left w:val="none" w:sz="0" w:space="0" w:color="auto"/>
            <w:bottom w:val="none" w:sz="0" w:space="0" w:color="auto"/>
            <w:right w:val="none" w:sz="0" w:space="0" w:color="auto"/>
          </w:divBdr>
          <w:divsChild>
            <w:div w:id="111189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ustomXml" Target="../customXml/item4.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41D70639AADB45AAC48E568EE7EA0F" ma:contentTypeVersion="3" ma:contentTypeDescription="Create a new document." ma:contentTypeScope="" ma:versionID="40a69c147632386963e72f1fe21711ee">
  <xsd:schema xmlns:xsd="http://www.w3.org/2001/XMLSchema" xmlns:xs="http://www.w3.org/2001/XMLSchema" xmlns:p="http://schemas.microsoft.com/office/2006/metadata/properties" xmlns:ns2="feef5865-a982-42aa-8640-9d4286765ef6" xmlns:ns3="7e289e2c-b96d-49e8-b8d7-38d64529f55f" targetNamespace="http://schemas.microsoft.com/office/2006/metadata/properties" ma:root="true" ma:fieldsID="65a96e989b70b5a8b1f0d685a82d08d0" ns2:_="" ns3:_="">
    <xsd:import namespace="feef5865-a982-42aa-8640-9d4286765ef6"/>
    <xsd:import namespace="7e289e2c-b96d-49e8-b8d7-38d64529f55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f5865-a982-42aa-8640-9d4286765ef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e289e2c-b96d-49e8-b8d7-38d64529f55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B1FEF48-89BD-4FEF-9437-C61E26539A01}"/>
</file>

<file path=customXml/itemProps2.xml><?xml version="1.0" encoding="utf-8"?>
<ds:datastoreItem xmlns:ds="http://schemas.openxmlformats.org/officeDocument/2006/customXml" ds:itemID="{CFB5B5CA-AB14-4047-9159-52D88B7ED172}">
  <ds:schemaRefs>
    <ds:schemaRef ds:uri="http://schemas.microsoft.com/sharepoint/v3/contenttype/forms"/>
  </ds:schemaRefs>
</ds:datastoreItem>
</file>

<file path=customXml/itemProps3.xml><?xml version="1.0" encoding="utf-8"?>
<ds:datastoreItem xmlns:ds="http://schemas.openxmlformats.org/officeDocument/2006/customXml" ds:itemID="{B7C35465-74E5-44B3-AB46-93C729E4F73C}">
  <ds:schemaRefs>
    <ds:schemaRef ds:uri="9d592db9-4dff-4924-b238-8c4c7f97fd36"/>
    <ds:schemaRef ds:uri="http://purl.org/dc/elements/1.1/"/>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de070a15-c244-41d8-ad05-19778c875ca6"/>
    <ds:schemaRef ds:uri="http://www.w3.org/XML/1998/namespace"/>
    <ds:schemaRef ds:uri="http://purl.org/dc/dcmitype/"/>
  </ds:schemaRefs>
</ds:datastoreItem>
</file>

<file path=customXml/itemProps4.xml><?xml version="1.0" encoding="utf-8"?>
<ds:datastoreItem xmlns:ds="http://schemas.openxmlformats.org/officeDocument/2006/customXml" ds:itemID="{5C0786D0-7FE5-45DB-9D19-2479ACB1B092}"/>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1107</Characters>
  <Application>Microsoft Office Word</Application>
  <DocSecurity>4</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ProRail</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Linde, S.J. van der (Siebolt)</dc:creator>
  <cp:keywords/>
  <dc:description/>
  <cp:lastModifiedBy>Asmus, S.G.R. (Serviënno)</cp:lastModifiedBy>
  <cp:revision>2</cp:revision>
  <dcterms:created xsi:type="dcterms:W3CDTF">2021-03-16T14:25:00Z</dcterms:created>
  <dcterms:modified xsi:type="dcterms:W3CDTF">2021-03-16T14:25:00Z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0x0101004341D70639AADB45AAC48E568EE7EA0F</vt:lpwstr>
  </property>
</Properties>
</file>