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1793C" w14:textId="77777777" w:rsidR="00A45CA4" w:rsidRDefault="00A45CA4"/>
    <w:p w14:paraId="2A44E883" w14:textId="57C455EB" w:rsidR="00A45CA4" w:rsidRDefault="00C4349F">
      <w:pPr>
        <w:pStyle w:val="Kop2"/>
        <w:spacing w:before="199" w:after="199" w:line="240" w:lineRule="auto"/>
      </w:pPr>
      <w:r>
        <w:rPr>
          <w:sz w:val="24"/>
          <w:szCs w:val="24"/>
        </w:rPr>
        <w:t>CONCEPTOVEREENKOMST</w:t>
      </w:r>
      <w:r w:rsidR="002E3202">
        <w:rPr>
          <w:sz w:val="24"/>
          <w:szCs w:val="24"/>
        </w:rPr>
        <w:t xml:space="preserve"> Levering e-HRM applicatie als SaaS</w:t>
      </w:r>
    </w:p>
    <w:p w14:paraId="3098AAC7" w14:textId="77777777" w:rsidR="00A45CA4" w:rsidRDefault="00C4349F">
      <w:pPr>
        <w:spacing w:before="239" w:after="239" w:line="240" w:lineRule="auto"/>
        <w:textAlignment w:val="top"/>
      </w:pPr>
      <w:r>
        <w:rPr>
          <w:rFonts w:eastAsia="Calibri" w:cs="Calibri"/>
          <w:b/>
          <w:bCs/>
        </w:rPr>
        <w:t>Ondergetekenden</w:t>
      </w:r>
    </w:p>
    <w:p w14:paraId="6BDC6F2E" w14:textId="77777777" w:rsidR="00A45CA4" w:rsidRDefault="00C4349F">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[nog invullen]</w:t>
      </w:r>
      <w:r>
        <w:rPr>
          <w:rFonts w:eastAsia="Calibri" w:cs="Calibri"/>
        </w:rPr>
        <w:t xml:space="preserve">, te dezen rechtsgeldig vertegenwoordigd door </w:t>
      </w:r>
      <w:r>
        <w:rPr>
          <w:rFonts w:eastAsia="Calibri" w:cs="Calibri"/>
          <w:i/>
          <w:iCs/>
        </w:rPr>
        <w:t>H.J.J. Zuidijk</w:t>
      </w:r>
      <w:r>
        <w:rPr>
          <w:rFonts w:eastAsia="Calibri" w:cs="Calibri"/>
        </w:rPr>
        <w:t xml:space="preserve">, </w:t>
      </w:r>
      <w:r>
        <w:rPr>
          <w:rFonts w:eastAsia="Calibri" w:cs="Calibri"/>
          <w:i/>
          <w:iCs/>
        </w:rPr>
        <w:t>Algemeen directeur</w:t>
      </w:r>
      <w:r>
        <w:rPr>
          <w:rFonts w:eastAsia="Calibri" w:cs="Calibri"/>
        </w:rPr>
        <w:t>, hierna te noemen "</w:t>
      </w:r>
      <w:r>
        <w:rPr>
          <w:rFonts w:eastAsia="Calibri" w:cs="Calibri"/>
          <w:b/>
          <w:bCs/>
        </w:rPr>
        <w:t>Opdrachtgever</w:t>
      </w:r>
      <w:r>
        <w:rPr>
          <w:rFonts w:eastAsia="Calibri" w:cs="Calibri"/>
        </w:rPr>
        <w:t>";</w:t>
      </w:r>
    </w:p>
    <w:p w14:paraId="02A21E38" w14:textId="77777777" w:rsidR="00A45CA4" w:rsidRDefault="00C4349F">
      <w:pPr>
        <w:spacing w:before="239" w:after="239" w:line="240" w:lineRule="auto"/>
        <w:textAlignment w:val="top"/>
      </w:pPr>
      <w:r>
        <w:rPr>
          <w:rFonts w:eastAsia="Calibri" w:cs="Calibri"/>
          <w:i/>
          <w:iCs/>
        </w:rPr>
        <w:t>en</w:t>
      </w:r>
    </w:p>
    <w:p w14:paraId="206DEA0A" w14:textId="77777777" w:rsidR="00A45CA4" w:rsidRDefault="00C4349F">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33B8551B" w14:textId="77777777" w:rsidR="00A45CA4" w:rsidRDefault="00C4349F">
      <w:pPr>
        <w:spacing w:before="239" w:after="239" w:line="240" w:lineRule="auto"/>
        <w:textAlignment w:val="top"/>
      </w:pPr>
      <w:r>
        <w:rPr>
          <w:rFonts w:eastAsia="Calibri" w:cs="Calibri"/>
          <w:i/>
          <w:iCs/>
        </w:rPr>
        <w:t>tezamen hierna verder aan te duiden als "partijen" dan wel afzonderlijk als "partij",</w:t>
      </w:r>
    </w:p>
    <w:p w14:paraId="41A5C4A0" w14:textId="77777777" w:rsidR="00A45CA4" w:rsidRDefault="00C4349F">
      <w:pPr>
        <w:spacing w:before="239" w:after="239" w:line="240" w:lineRule="auto"/>
        <w:textAlignment w:val="top"/>
      </w:pPr>
      <w:r>
        <w:rPr>
          <w:rFonts w:eastAsia="Calibri" w:cs="Calibri"/>
          <w:b/>
          <w:bCs/>
        </w:rPr>
        <w:t>overwegende dat:</w:t>
      </w:r>
    </w:p>
    <w:p w14:paraId="0F750379" w14:textId="77777777" w:rsidR="00A45CA4" w:rsidRDefault="00C4349F">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2020 voor Leverancier bekend behoorde te zijn, een en ander voor zover dat gebruik in onderhavige Overeenkomst niet uitdrukkelijk is uitgesloten of beperkt;</w:t>
      </w:r>
    </w:p>
    <w:p w14:paraId="1712E82A" w14:textId="77777777" w:rsidR="00A45CA4" w:rsidRDefault="00C4349F">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4B61575E" w14:textId="77777777" w:rsidR="00A45CA4" w:rsidRDefault="00C4349F">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70618F41" w14:textId="77777777" w:rsidR="00A45CA4" w:rsidRDefault="00C4349F">
      <w:pPr>
        <w:spacing w:before="239" w:after="239" w:line="240" w:lineRule="auto"/>
        <w:textAlignment w:val="top"/>
      </w:pPr>
      <w:r>
        <w:rPr>
          <w:rFonts w:eastAsia="Calibri" w:cs="Calibri"/>
          <w:b/>
          <w:bCs/>
        </w:rPr>
        <w:t>zijn als volgt overeengekomen:</w:t>
      </w:r>
    </w:p>
    <w:p w14:paraId="69C1B635" w14:textId="77777777" w:rsidR="00A45CA4" w:rsidRDefault="00C4349F">
      <w:pPr>
        <w:spacing w:before="239" w:after="239" w:line="240" w:lineRule="auto"/>
        <w:textAlignment w:val="top"/>
      </w:pPr>
      <w:r>
        <w:rPr>
          <w:rFonts w:eastAsia="Calibri" w:cs="Calibri"/>
          <w:b/>
          <w:bCs/>
        </w:rPr>
        <w:t>1. Voorwerp van de Overeenkomst</w:t>
      </w:r>
    </w:p>
    <w:p w14:paraId="47780A5C" w14:textId="77777777" w:rsidR="00A45CA4" w:rsidRDefault="00C4349F">
      <w:pPr>
        <w:spacing w:before="239" w:after="239" w:line="240" w:lineRule="auto"/>
        <w:textAlignment w:val="top"/>
      </w:pPr>
      <w:r>
        <w:rPr>
          <w:rFonts w:eastAsia="Calibri" w:cs="Calibri"/>
        </w:rPr>
        <w:t>1.1. Leverancier verplicht zich tot het leveren van de ICT Prestatie zoals beschreven in:</w:t>
      </w:r>
    </w:p>
    <w:p w14:paraId="633255F8" w14:textId="77777777" w:rsidR="00A45CA4" w:rsidRDefault="00C4349F">
      <w:pPr>
        <w:numPr>
          <w:ilvl w:val="0"/>
          <w:numId w:val="4"/>
        </w:numPr>
        <w:spacing w:line="240" w:lineRule="auto"/>
        <w:rPr>
          <w:rFonts w:ascii="Calibri" w:eastAsia="Calibri" w:hAnsi="Calibri" w:cs="Calibri"/>
        </w:rPr>
      </w:pPr>
      <w:r>
        <w:rPr>
          <w:rFonts w:eastAsia="Calibri" w:cs="Calibri"/>
          <w:i/>
          <w:iCs/>
          <w:color w:val="000000"/>
        </w:rPr>
        <w:t>De Nota van Inlichtingen;</w:t>
      </w:r>
    </w:p>
    <w:p w14:paraId="1D18F02D" w14:textId="77777777" w:rsidR="00A45CA4" w:rsidRDefault="00C4349F">
      <w:pPr>
        <w:numPr>
          <w:ilvl w:val="0"/>
          <w:numId w:val="4"/>
        </w:numPr>
        <w:spacing w:line="240" w:lineRule="auto"/>
        <w:rPr>
          <w:rFonts w:ascii="Calibri" w:eastAsia="Calibri" w:hAnsi="Calibri" w:cs="Calibri"/>
        </w:rPr>
      </w:pPr>
      <w:r>
        <w:rPr>
          <w:rFonts w:eastAsia="Calibri" w:cs="Calibri"/>
          <w:i/>
          <w:iCs/>
          <w:color w:val="000000"/>
        </w:rPr>
        <w:t>Het Beschrijvend Document;</w:t>
      </w:r>
    </w:p>
    <w:p w14:paraId="60C2A318" w14:textId="77777777" w:rsidR="00A45CA4" w:rsidRDefault="00C4349F">
      <w:pPr>
        <w:numPr>
          <w:ilvl w:val="0"/>
          <w:numId w:val="4"/>
        </w:numPr>
        <w:spacing w:line="240" w:lineRule="auto"/>
        <w:rPr>
          <w:rFonts w:ascii="Calibri" w:eastAsia="Calibri" w:hAnsi="Calibri" w:cs="Calibri"/>
        </w:rPr>
      </w:pPr>
      <w:r>
        <w:rPr>
          <w:rFonts w:eastAsia="Calibri" w:cs="Calibri"/>
          <w:i/>
          <w:iCs/>
          <w:color w:val="000000"/>
        </w:rPr>
        <w:t>De Offerte van de Leverancier;</w:t>
      </w:r>
    </w:p>
    <w:p w14:paraId="25F7CB21" w14:textId="77777777" w:rsidR="00A45CA4" w:rsidRDefault="002E3202">
      <w:pPr>
        <w:numPr>
          <w:ilvl w:val="0"/>
          <w:numId w:val="4"/>
        </w:numPr>
        <w:spacing w:line="240" w:lineRule="auto"/>
        <w:rPr>
          <w:rFonts w:ascii="Calibri" w:eastAsia="Calibri" w:hAnsi="Calibri" w:cs="Calibri"/>
        </w:rPr>
      </w:pPr>
      <w:hyperlink r:id="rId7">
        <w:r w:rsidR="00C4349F">
          <w:rPr>
            <w:rStyle w:val="Links"/>
            <w:rFonts w:eastAsia="Calibri" w:cs="Calibri"/>
            <w:color w:val="000000"/>
            <w:u w:color="000000"/>
          </w:rPr>
          <w:t>GIBIT 2020</w:t>
        </w:r>
      </w:hyperlink>
      <w:r w:rsidR="00C4349F">
        <w:rPr>
          <w:rFonts w:eastAsia="Calibri" w:cs="Calibri"/>
          <w:color w:val="000000"/>
        </w:rPr>
        <w:t>.</w:t>
      </w:r>
    </w:p>
    <w:p w14:paraId="2E386AAF" w14:textId="77777777" w:rsidR="00A45CA4" w:rsidRDefault="00C4349F">
      <w:pPr>
        <w:spacing w:before="239" w:after="239" w:line="240" w:lineRule="auto"/>
        <w:textAlignment w:val="top"/>
      </w:pPr>
      <w:r>
        <w:rPr>
          <w:rFonts w:eastAsia="Calibri" w:cs="Calibri"/>
          <w:color w:val="000000"/>
          <w:shd w:val="clear" w:color="auto" w:fill="FFFFFF"/>
        </w:rPr>
        <w:t>1.2. Bovenstaand(e) document(en) zijn opgenomen als bijlage bij deze Overeenkomst.</w:t>
      </w:r>
      <w:r>
        <w:rPr>
          <w:rFonts w:eastAsia="Calibri" w:cs="Calibri"/>
          <w:color w:val="000000"/>
          <w:shd w:val="clear" w:color="auto" w:fill="FFFFFF"/>
        </w:rPr>
        <w:br/>
        <w:t>1.3. De in het eerste lid bedoelde activiteiten zullen plaatsvinden onder de voorwaarden als beschreven in het onderhavige document en de hierin genoemde bijlagen (hierna gezamenlijk: "de Overeenkomst").</w:t>
      </w:r>
    </w:p>
    <w:p w14:paraId="4561902B" w14:textId="77777777" w:rsidR="00A45CA4" w:rsidRDefault="00C4349F">
      <w:pPr>
        <w:spacing w:before="239" w:after="239" w:line="240" w:lineRule="auto"/>
        <w:textAlignment w:val="top"/>
      </w:pPr>
      <w:r>
        <w:rPr>
          <w:rFonts w:eastAsia="Calibri" w:cs="Calibri"/>
          <w:b/>
          <w:bCs/>
        </w:rPr>
        <w:lastRenderedPageBreak/>
        <w:t>2. Specificaties</w:t>
      </w:r>
      <w:r>
        <w:rPr>
          <w:rFonts w:eastAsia="Calibri" w:cs="Calibri"/>
        </w:rPr>
        <w:br/>
        <w:t>2.1. Tot het Overeengekomen gebruik behoort dat de ICT Prestatie voldoet aan hetgeen beschreven is in de in artikel 1.1. genoemde documenten.</w:t>
      </w:r>
      <w:r>
        <w:rPr>
          <w:rFonts w:eastAsia="Calibri" w:cs="Calibri"/>
        </w:rPr>
        <w:br/>
        <w:t>2.2. Leverancier garandeert dat de ICT Prestatie zal voldoen aan de normen zoals opgenomen in de GIBIT en in de in artikel 1.1. genoemde documenten.</w:t>
      </w:r>
    </w:p>
    <w:p w14:paraId="3F972AC1" w14:textId="27381A82" w:rsidR="00A45CA4" w:rsidRDefault="00C4349F">
      <w:pPr>
        <w:spacing w:before="239" w:after="239" w:line="240" w:lineRule="auto"/>
        <w:textAlignment w:val="top"/>
      </w:pPr>
      <w:r>
        <w:rPr>
          <w:rFonts w:eastAsia="Calibri" w:cs="Calibri"/>
          <w:b/>
          <w:bCs/>
        </w:rPr>
        <w:t>3. Gemeentelijke ICT-Kwaliteitsnormen, Interoperabiliteitseisen, normen en standaarden</w:t>
      </w:r>
    </w:p>
    <w:p w14:paraId="2550087B" w14:textId="77777777" w:rsidR="00A45CA4" w:rsidRDefault="00C4349F">
      <w:pPr>
        <w:spacing w:before="239" w:after="239" w:line="240" w:lineRule="auto"/>
        <w:textAlignment w:val="top"/>
      </w:pPr>
      <w:r>
        <w:rPr>
          <w:rFonts w:eastAsia="Calibri" w:cs="Calibri"/>
        </w:rPr>
        <w:t>3.1.  De ICT-Prestatie zal gedurende de looptijd van de Overeenkomst voor de volgende ICT-kwaliteitsgebieden blijven voldoen aan de Gemeentelijke ICT-Kwaliteitsnormen:</w:t>
      </w:r>
    </w:p>
    <w:p w14:paraId="6E82D4AF" w14:textId="77777777" w:rsidR="00A45CA4" w:rsidRDefault="00C4349F">
      <w:pPr>
        <w:numPr>
          <w:ilvl w:val="0"/>
          <w:numId w:val="4"/>
        </w:numPr>
        <w:spacing w:line="240" w:lineRule="auto"/>
        <w:rPr>
          <w:rFonts w:ascii="Calibri" w:eastAsia="Calibri" w:hAnsi="Calibri" w:cs="Calibri"/>
        </w:rPr>
      </w:pPr>
      <w:r>
        <w:rPr>
          <w:rFonts w:eastAsia="Calibri" w:cs="Calibri"/>
        </w:rPr>
        <w:t>Interoperabiliteit;</w:t>
      </w:r>
    </w:p>
    <w:p w14:paraId="2C2634C9" w14:textId="77777777" w:rsidR="00A45CA4" w:rsidRDefault="00C4349F">
      <w:pPr>
        <w:numPr>
          <w:ilvl w:val="0"/>
          <w:numId w:val="4"/>
        </w:numPr>
        <w:spacing w:line="240" w:lineRule="auto"/>
        <w:rPr>
          <w:rFonts w:ascii="Calibri" w:eastAsia="Calibri" w:hAnsi="Calibri" w:cs="Calibri"/>
        </w:rPr>
      </w:pPr>
      <w:r>
        <w:rPr>
          <w:rFonts w:eastAsia="Calibri" w:cs="Calibri"/>
        </w:rPr>
        <w:t>Informatiebeveiliging en privacy;</w:t>
      </w:r>
    </w:p>
    <w:p w14:paraId="50C3DC8F" w14:textId="77777777" w:rsidR="00A45CA4" w:rsidRDefault="00C4349F">
      <w:pPr>
        <w:numPr>
          <w:ilvl w:val="0"/>
          <w:numId w:val="4"/>
        </w:numPr>
        <w:spacing w:line="240" w:lineRule="auto"/>
        <w:rPr>
          <w:rFonts w:ascii="Calibri" w:eastAsia="Calibri" w:hAnsi="Calibri" w:cs="Calibri"/>
        </w:rPr>
      </w:pPr>
      <w:r>
        <w:rPr>
          <w:rFonts w:eastAsia="Calibri" w:cs="Calibri"/>
        </w:rPr>
        <w:t>Dataportabiliteit;</w:t>
      </w:r>
    </w:p>
    <w:p w14:paraId="04F1361D" w14:textId="77777777" w:rsidR="00A45CA4" w:rsidRDefault="00C4349F">
      <w:pPr>
        <w:numPr>
          <w:ilvl w:val="0"/>
          <w:numId w:val="4"/>
        </w:numPr>
        <w:spacing w:line="240" w:lineRule="auto"/>
        <w:rPr>
          <w:rFonts w:ascii="Calibri" w:eastAsia="Calibri" w:hAnsi="Calibri" w:cs="Calibri"/>
        </w:rPr>
      </w:pPr>
      <w:r>
        <w:rPr>
          <w:rFonts w:eastAsia="Calibri" w:cs="Calibri"/>
        </w:rPr>
        <w:t>Toegankelijkheid;</w:t>
      </w:r>
    </w:p>
    <w:p w14:paraId="34B5BA0C" w14:textId="77777777" w:rsidR="00A45CA4" w:rsidRDefault="00C4349F">
      <w:pPr>
        <w:numPr>
          <w:ilvl w:val="0"/>
          <w:numId w:val="4"/>
        </w:numPr>
        <w:spacing w:line="240" w:lineRule="auto"/>
        <w:rPr>
          <w:rFonts w:ascii="Calibri" w:eastAsia="Calibri" w:hAnsi="Calibri" w:cs="Calibri"/>
        </w:rPr>
      </w:pPr>
      <w:r>
        <w:rPr>
          <w:rFonts w:eastAsia="Calibri" w:cs="Calibri"/>
        </w:rPr>
        <w:t>Archivering.</w:t>
      </w:r>
    </w:p>
    <w:p w14:paraId="3AAF2B16" w14:textId="60C4BC96" w:rsidR="00A45CA4" w:rsidRDefault="00C4349F">
      <w:pPr>
        <w:spacing w:before="239" w:after="239" w:line="240" w:lineRule="auto"/>
        <w:textAlignment w:val="top"/>
      </w:pPr>
      <w:r>
        <w:rPr>
          <w:rFonts w:eastAsia="Calibri" w:cs="Calibri"/>
          <w:b/>
          <w:bCs/>
        </w:rPr>
        <w:t>4. Looptijd</w:t>
      </w:r>
      <w:r>
        <w:rPr>
          <w:rFonts w:eastAsia="Calibri" w:cs="Calibri"/>
        </w:rPr>
        <w:br/>
        <w:t xml:space="preserve">4.1. De Overeenkomst treedt in werking op </w:t>
      </w:r>
      <w:r>
        <w:rPr>
          <w:rFonts w:eastAsia="Calibri" w:cs="Calibri"/>
          <w:i/>
          <w:iCs/>
        </w:rPr>
        <w:t>het moment waarop deze door beide partijen is ondertekend</w:t>
      </w:r>
      <w:r>
        <w:rPr>
          <w:rFonts w:eastAsia="Calibri" w:cs="Calibri"/>
        </w:rPr>
        <w:t>.</w:t>
      </w:r>
      <w:r>
        <w:rPr>
          <w:rFonts w:eastAsia="Calibri" w:cs="Calibri"/>
        </w:rPr>
        <w:br/>
        <w:t xml:space="preserve">4.2. </w:t>
      </w:r>
      <w:r>
        <w:rPr>
          <w:rFonts w:eastAsia="Calibri" w:cs="Calibri"/>
          <w:i/>
          <w:iCs/>
        </w:rPr>
        <w:t>De Overeenkomst heeft een looptijd tot</w:t>
      </w:r>
      <w:r>
        <w:rPr>
          <w:rFonts w:eastAsia="Calibri" w:cs="Calibri"/>
        </w:rPr>
        <w:t xml:space="preserve"> </w:t>
      </w:r>
      <w:r>
        <w:rPr>
          <w:rFonts w:eastAsia="Calibri" w:cs="Calibri"/>
          <w:i/>
          <w:iCs/>
        </w:rPr>
        <w:t>31-12-2026</w:t>
      </w:r>
      <w:r>
        <w:rPr>
          <w:rFonts w:eastAsia="Calibri" w:cs="Calibri"/>
        </w:rPr>
        <w:t>.</w:t>
      </w:r>
      <w:r>
        <w:rPr>
          <w:rFonts w:eastAsia="Calibri" w:cs="Calibri"/>
        </w:rPr>
        <w:br/>
        <w:t xml:space="preserve">4.3. </w:t>
      </w:r>
      <w:r>
        <w:rPr>
          <w:rFonts w:eastAsia="Calibri" w:cs="Calibri"/>
          <w:i/>
          <w:iCs/>
        </w:rPr>
        <w:t>Na afloop van de voornoemde looptijd wordt de overeenkomst slechts op verzoek van Opdrachtgever verlengd. Opdrachtgever geeft uiterlijk</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 </w:t>
      </w:r>
      <w:r>
        <w:rPr>
          <w:rFonts w:eastAsia="Calibri" w:cs="Calibri"/>
          <w:i/>
          <w:iCs/>
        </w:rPr>
        <w:br/>
        <w:t>4.4.</w:t>
      </w:r>
      <w:r>
        <w:rPr>
          <w:rFonts w:eastAsia="Calibri" w:cs="Calibri"/>
        </w:rPr>
        <w:t xml:space="preserve"> </w:t>
      </w:r>
      <w:r>
        <w:rPr>
          <w:rFonts w:eastAsia="Calibri" w:cs="Calibri"/>
          <w:i/>
          <w:iCs/>
        </w:rPr>
        <w:t>De Overeenkomst mag</w:t>
      </w:r>
      <w:r>
        <w:rPr>
          <w:rFonts w:eastAsia="Calibri" w:cs="Calibri"/>
        </w:rPr>
        <w:t xml:space="preserve"> </w:t>
      </w:r>
      <w:r>
        <w:rPr>
          <w:rFonts w:eastAsia="Calibri" w:cs="Calibri"/>
          <w:i/>
          <w:iCs/>
        </w:rPr>
        <w:t>Zeven maal worden verlengd.</w:t>
      </w:r>
      <w:r>
        <w:rPr>
          <w:rFonts w:eastAsia="Calibri" w:cs="Calibri"/>
        </w:rPr>
        <w:t> </w:t>
      </w:r>
      <w:r>
        <w:rPr>
          <w:rFonts w:eastAsia="Calibri" w:cs="Calibri"/>
          <w:i/>
          <w:iCs/>
        </w:rPr>
        <w:br/>
        <w:t>4.5. Bij verlenging wordt de Overeenkomst verlengd met een periode</w:t>
      </w:r>
      <w:r>
        <w:rPr>
          <w:rFonts w:eastAsia="Calibri" w:cs="Calibri"/>
        </w:rPr>
        <w:t xml:space="preserve"> </w:t>
      </w:r>
      <w:r>
        <w:rPr>
          <w:rFonts w:eastAsia="Calibri" w:cs="Calibri"/>
          <w:i/>
          <w:iCs/>
          <w:u w:val="single" w:color="000000"/>
        </w:rPr>
        <w:t>van één (1) jaar</w:t>
      </w:r>
      <w:r>
        <w:rPr>
          <w:rFonts w:eastAsia="Calibri" w:cs="Calibri"/>
        </w:rPr>
        <w:t>.</w:t>
      </w:r>
      <w:r>
        <w:rPr>
          <w:rFonts w:eastAsia="Calibri" w:cs="Calibri"/>
          <w:i/>
          <w:iCs/>
        </w:rPr>
        <w:br/>
        <w:t>4.6. De looptijd van de Gebruiksrechten is</w:t>
      </w:r>
      <w:r>
        <w:rPr>
          <w:rFonts w:eastAsia="Calibri" w:cs="Calibri"/>
        </w:rPr>
        <w:t xml:space="preserve"> </w:t>
      </w:r>
      <w:r w:rsidR="002E3202">
        <w:rPr>
          <w:rFonts w:eastAsia="Calibri" w:cs="Calibri"/>
          <w:i/>
          <w:iCs/>
        </w:rPr>
        <w:t>gelijk aan de looptijd van de Overeenkomst</w:t>
      </w:r>
      <w:r>
        <w:rPr>
          <w:rFonts w:eastAsia="Calibri" w:cs="Calibri"/>
        </w:rPr>
        <w:t>.</w:t>
      </w:r>
      <w:r>
        <w:rPr>
          <w:rFonts w:eastAsia="Calibri" w:cs="Calibri"/>
          <w:i/>
          <w:iCs/>
        </w:rPr>
        <w:br/>
        <w:t>4.7. De looptijd van de Hosting-diensten is</w:t>
      </w:r>
      <w:r>
        <w:rPr>
          <w:rFonts w:eastAsia="Calibri" w:cs="Calibri"/>
        </w:rPr>
        <w:t xml:space="preserve"> </w:t>
      </w:r>
      <w:r>
        <w:rPr>
          <w:rFonts w:eastAsia="Calibri" w:cs="Calibri"/>
          <w:i/>
          <w:iCs/>
        </w:rPr>
        <w:t>gelijk aan de looptijd van de Overeenkomst</w:t>
      </w:r>
      <w:r>
        <w:rPr>
          <w:rFonts w:eastAsia="Calibri" w:cs="Calibri"/>
        </w:rPr>
        <w:t>.</w:t>
      </w:r>
    </w:p>
    <w:p w14:paraId="6D14C4D4" w14:textId="77777777" w:rsidR="00A45CA4" w:rsidRDefault="00C4349F">
      <w:pPr>
        <w:spacing w:before="239" w:after="239" w:line="240" w:lineRule="auto"/>
        <w:textAlignment w:val="top"/>
      </w:pPr>
      <w:r>
        <w:rPr>
          <w:rFonts w:eastAsia="Calibri" w:cs="Calibri"/>
        </w:rPr>
        <w:t>4.8. De volgende onderdelen van de ICT Prestatie worden voor wat betreft looptijd in ieder geval als afzonderlijke Overeenkomsten beschouwd in de zin van artikel 20.3 GIBIT 2020:</w:t>
      </w:r>
    </w:p>
    <w:p w14:paraId="50CFF10D" w14:textId="77777777" w:rsidR="00A45CA4" w:rsidRDefault="00C4349F">
      <w:pPr>
        <w:numPr>
          <w:ilvl w:val="0"/>
          <w:numId w:val="4"/>
        </w:numPr>
        <w:spacing w:line="240" w:lineRule="auto"/>
        <w:rPr>
          <w:rFonts w:ascii="Calibri" w:eastAsia="Calibri" w:hAnsi="Calibri" w:cs="Calibri"/>
        </w:rPr>
      </w:pPr>
      <w:r>
        <w:rPr>
          <w:rFonts w:eastAsia="Calibri" w:cs="Calibri"/>
        </w:rPr>
        <w:t>Verwerkersovereenkomst.</w:t>
      </w:r>
    </w:p>
    <w:p w14:paraId="545F5943" w14:textId="77777777" w:rsidR="00A45CA4" w:rsidRDefault="00C4349F">
      <w:pPr>
        <w:spacing w:before="239" w:after="239" w:line="240" w:lineRule="auto"/>
        <w:textAlignment w:val="top"/>
      </w:pPr>
      <w:r>
        <w:rPr>
          <w:rFonts w:eastAsia="Calibri" w:cs="Calibri"/>
          <w:b/>
          <w:bCs/>
        </w:rPr>
        <w:t>5. Implementatie</w:t>
      </w:r>
      <w:r>
        <w:rPr>
          <w:rFonts w:eastAsia="Calibri" w:cs="Calibri"/>
        </w:rPr>
        <w:br/>
        <w:t xml:space="preserve">5.1. </w:t>
      </w:r>
      <w:r>
        <w:rPr>
          <w:rFonts w:eastAsia="Calibri" w:cs="Calibri"/>
          <w:i/>
          <w:iCs/>
        </w:rPr>
        <w:t>De Implementatie geschiedt volgens een in nader overleg vast te stellen Implementatieplan</w:t>
      </w:r>
      <w:r>
        <w:rPr>
          <w:rFonts w:eastAsia="Calibri" w:cs="Calibri"/>
        </w:rPr>
        <w:t>.</w:t>
      </w:r>
      <w:r>
        <w:rPr>
          <w:rFonts w:eastAsia="Calibri" w:cs="Calibri"/>
        </w:rPr>
        <w:br/>
        <w:t xml:space="preserve">5.2. </w:t>
      </w:r>
      <w:r>
        <w:rPr>
          <w:rFonts w:eastAsia="Calibri" w:cs="Calibri"/>
          <w:i/>
          <w:iCs/>
        </w:rPr>
        <w:t>De Implementatie dient uiterlijk</w:t>
      </w:r>
      <w:r>
        <w:rPr>
          <w:rFonts w:eastAsia="Calibri" w:cs="Calibri"/>
        </w:rPr>
        <w:t xml:space="preserve"> </w:t>
      </w:r>
      <w:r>
        <w:rPr>
          <w:rFonts w:eastAsia="Calibri" w:cs="Calibri"/>
          <w:i/>
          <w:iCs/>
        </w:rPr>
        <w:t>op 01-01-2022 te zijn voltooid</w:t>
      </w:r>
      <w:r>
        <w:rPr>
          <w:rFonts w:eastAsia="Calibri" w:cs="Calibri"/>
        </w:rPr>
        <w:t>.</w:t>
      </w:r>
    </w:p>
    <w:p w14:paraId="68F03B80" w14:textId="77777777" w:rsidR="00A45CA4" w:rsidRDefault="00C4349F">
      <w:pPr>
        <w:spacing w:before="239" w:after="239" w:line="240" w:lineRule="auto"/>
        <w:textAlignment w:val="top"/>
      </w:pPr>
      <w:r>
        <w:rPr>
          <w:rFonts w:eastAsia="Calibri" w:cs="Calibri"/>
          <w:b/>
          <w:bCs/>
        </w:rPr>
        <w:t>6. Acceptatie</w:t>
      </w:r>
    </w:p>
    <w:p w14:paraId="6327875F" w14:textId="77777777" w:rsidR="00A45CA4" w:rsidRDefault="00C4349F">
      <w:pPr>
        <w:spacing w:before="239" w:after="239" w:line="240" w:lineRule="auto"/>
        <w:textAlignment w:val="top"/>
      </w:pPr>
      <w:r>
        <w:rPr>
          <w:rFonts w:eastAsia="Calibri" w:cs="Calibri"/>
        </w:rPr>
        <w:t xml:space="preserve">6.1. </w:t>
      </w:r>
      <w:r>
        <w:rPr>
          <w:rFonts w:eastAsia="Calibri" w:cs="Calibri"/>
          <w:i/>
          <w:iCs/>
        </w:rPr>
        <w:t>De Acceptatieprocedure verloopt conform het in nader overleg vast te stellen testprotocol.</w:t>
      </w:r>
    </w:p>
    <w:p w14:paraId="7E813A99" w14:textId="77777777" w:rsidR="00A45CA4" w:rsidRDefault="00C4349F">
      <w:pPr>
        <w:spacing w:before="239" w:after="239" w:line="240" w:lineRule="auto"/>
        <w:textAlignment w:val="top"/>
      </w:pPr>
      <w:r>
        <w:rPr>
          <w:rFonts w:eastAsia="Calibri" w:cs="Calibri"/>
          <w:b/>
          <w:bCs/>
        </w:rPr>
        <w:t>7. Onderhoud</w:t>
      </w:r>
      <w:r>
        <w:rPr>
          <w:rFonts w:eastAsia="Calibri" w:cs="Calibri"/>
        </w:rPr>
        <w:br/>
        <w:t>7.1. Het Onderhoud wordt verricht overeenkomstig:</w:t>
      </w:r>
    </w:p>
    <w:p w14:paraId="3EB1FFC9" w14:textId="77777777" w:rsidR="00A45CA4" w:rsidRDefault="00C4349F">
      <w:pPr>
        <w:numPr>
          <w:ilvl w:val="0"/>
          <w:numId w:val="4"/>
        </w:numPr>
        <w:spacing w:line="240" w:lineRule="auto"/>
        <w:rPr>
          <w:rFonts w:ascii="Calibri" w:eastAsia="Calibri" w:hAnsi="Calibri" w:cs="Calibri"/>
        </w:rPr>
      </w:pPr>
      <w:r>
        <w:rPr>
          <w:rFonts w:eastAsia="Calibri" w:cs="Calibri"/>
          <w:i/>
          <w:iCs/>
        </w:rPr>
        <w:t>In een service level agreement. Artikel 8 GIBIT vormt voor onvoorziene omstandigheden het vangnet.</w:t>
      </w:r>
    </w:p>
    <w:p w14:paraId="4DAE93C4" w14:textId="77777777" w:rsidR="00A45CA4" w:rsidRDefault="00C4349F">
      <w:pPr>
        <w:spacing w:before="239" w:after="239" w:line="240" w:lineRule="auto"/>
        <w:textAlignment w:val="top"/>
      </w:pPr>
      <w:r>
        <w:rPr>
          <w:rFonts w:eastAsia="Calibri" w:cs="Calibri"/>
        </w:rPr>
        <w:lastRenderedPageBreak/>
        <w:t xml:space="preserve">7.2. </w:t>
      </w: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afwijking van artikel 8.11 GIBIT 2020, een</w:t>
      </w:r>
      <w:r>
        <w:rPr>
          <w:rFonts w:eastAsia="Calibri" w:cs="Calibri"/>
        </w:rPr>
        <w:t xml:space="preserve"> </w:t>
      </w:r>
      <w:r>
        <w:rPr>
          <w:rFonts w:eastAsia="Calibri" w:cs="Calibri"/>
          <w:i/>
          <w:iCs/>
        </w:rPr>
        <w:t>Acceptatieprocedure plaatsvinden</w:t>
      </w:r>
      <w:r>
        <w:rPr>
          <w:rFonts w:eastAsia="Calibri" w:cs="Calibri"/>
        </w:rPr>
        <w:t>.</w:t>
      </w:r>
    </w:p>
    <w:p w14:paraId="3D67A690" w14:textId="77777777" w:rsidR="00A45CA4" w:rsidRDefault="00C4349F">
      <w:pPr>
        <w:spacing w:before="239" w:after="239" w:line="240" w:lineRule="auto"/>
        <w:textAlignment w:val="top"/>
      </w:pPr>
      <w:r>
        <w:rPr>
          <w:rFonts w:eastAsia="Calibri" w:cs="Calibri"/>
          <w:b/>
          <w:bCs/>
        </w:rPr>
        <w:t>8. Gebruiksrechten</w:t>
      </w:r>
      <w:r>
        <w:rPr>
          <w:rFonts w:eastAsia="Calibri" w:cs="Calibri"/>
        </w:rPr>
        <w:br/>
        <w:t>8.1. Leverancier levert Gebruiksrechten zoals gespecificeerd in de in artikel 1.1. genoemde documenten.</w:t>
      </w:r>
    </w:p>
    <w:p w14:paraId="4C6DAC6B" w14:textId="77777777" w:rsidR="00A45CA4" w:rsidRDefault="00C4349F">
      <w:pPr>
        <w:spacing w:before="239" w:after="239" w:line="240" w:lineRule="auto"/>
        <w:textAlignment w:val="top"/>
      </w:pPr>
      <w:r>
        <w:rPr>
          <w:rFonts w:eastAsia="Calibri" w:cs="Calibri"/>
          <w:b/>
          <w:bCs/>
        </w:rPr>
        <w:t>9. Hosting</w:t>
      </w:r>
      <w:r>
        <w:rPr>
          <w:rFonts w:eastAsia="Calibri" w:cs="Calibri"/>
          <w:i/>
          <w:iCs/>
        </w:rPr>
        <w:br/>
        <w:t>9.1. Op de Hosting-diensten zijn de Service Levels van toepassing zoals omschreven in een service level agreement.</w:t>
      </w:r>
      <w:r>
        <w:rPr>
          <w:rFonts w:eastAsia="Calibri" w:cs="Calibri"/>
          <w:i/>
          <w:iCs/>
        </w:rPr>
        <w:br/>
        <w:t>9.2. De continuïteitsafspraken zijn nader gespecificeerd in</w:t>
      </w:r>
      <w:r>
        <w:rPr>
          <w:rFonts w:eastAsia="Calibri" w:cs="Calibri"/>
        </w:rPr>
        <w:t xml:space="preserve"> </w:t>
      </w:r>
      <w:r>
        <w:rPr>
          <w:rFonts w:eastAsia="Calibri" w:cs="Calibri"/>
          <w:i/>
          <w:iCs/>
        </w:rPr>
        <w:t>bijlage "De [</w:t>
      </w:r>
      <w:r w:rsidRPr="002E3202">
        <w:rPr>
          <w:rFonts w:eastAsia="Calibri" w:cs="Calibri"/>
          <w:i/>
          <w:iCs/>
          <w:highlight w:val="yellow"/>
        </w:rPr>
        <w:t>nog op te stellen SLA</w:t>
      </w:r>
      <w:r>
        <w:rPr>
          <w:rFonts w:eastAsia="Calibri" w:cs="Calibri"/>
          <w:i/>
          <w:iCs/>
        </w:rPr>
        <w:t>]"</w:t>
      </w:r>
      <w:r>
        <w:rPr>
          <w:rFonts w:eastAsia="Calibri" w:cs="Calibri"/>
        </w:rPr>
        <w:t>.</w:t>
      </w:r>
    </w:p>
    <w:p w14:paraId="267C5100" w14:textId="77777777" w:rsidR="00A45CA4" w:rsidRDefault="00C4349F">
      <w:pPr>
        <w:spacing w:before="239" w:after="239" w:line="240" w:lineRule="auto"/>
        <w:textAlignment w:val="top"/>
      </w:pPr>
      <w:r>
        <w:rPr>
          <w:rFonts w:eastAsia="Calibri" w:cs="Calibri"/>
          <w:b/>
          <w:bCs/>
        </w:rPr>
        <w:t>10. Exit-plan</w:t>
      </w:r>
      <w:r>
        <w:rPr>
          <w:rFonts w:eastAsia="Calibri" w:cs="Calibri"/>
        </w:rPr>
        <w:br/>
        <w:t xml:space="preserve">10.1. Leverancier verplicht zich reeds nu om een exit-plan als bedoeld in artikel 22 GIBIT 2020 op te stellen. </w:t>
      </w:r>
      <w:r>
        <w:rPr>
          <w:rFonts w:eastAsia="Calibri" w:cs="Calibri"/>
          <w:i/>
          <w:iCs/>
        </w:rPr>
        <w:t>Het exit-plan wordt nader uitgewerkt in</w:t>
      </w:r>
      <w:r>
        <w:rPr>
          <w:rFonts w:eastAsia="Calibri" w:cs="Calibri"/>
        </w:rPr>
        <w:t xml:space="preserve"> </w:t>
      </w:r>
      <w:r>
        <w:rPr>
          <w:rFonts w:eastAsia="Calibri" w:cs="Calibri"/>
          <w:i/>
          <w:iCs/>
        </w:rPr>
        <w:t>een na overleg op te stellen bijlage</w:t>
      </w:r>
      <w:r>
        <w:rPr>
          <w:rFonts w:eastAsia="Calibri" w:cs="Calibri"/>
        </w:rPr>
        <w:t>.</w:t>
      </w:r>
    </w:p>
    <w:p w14:paraId="0A3C3576" w14:textId="77777777" w:rsidR="00A45CA4" w:rsidRDefault="00C4349F">
      <w:pPr>
        <w:spacing w:before="239" w:after="239" w:line="240" w:lineRule="auto"/>
        <w:textAlignment w:val="top"/>
      </w:pPr>
      <w:r>
        <w:rPr>
          <w:rFonts w:eastAsia="Calibri" w:cs="Calibri"/>
          <w:b/>
          <w:bCs/>
        </w:rPr>
        <w:t>11. Verwerking van persoonsgegevens</w:t>
      </w:r>
      <w:r>
        <w:rPr>
          <w:rFonts w:eastAsia="Calibri" w:cs="Calibri"/>
        </w:rPr>
        <w:br/>
        <w:t>11.1. Leverancier handelt als verwerker in de zin van de Algemene verordening gegevensbescherming.</w:t>
      </w:r>
      <w:r>
        <w:rPr>
          <w:rFonts w:eastAsia="Calibri" w:cs="Calibri"/>
        </w:rPr>
        <w:br/>
        <w:t xml:space="preserve">11.2. De standaard Verwerkersovereenkomst is opgenomen in bijlage </w:t>
      </w:r>
      <w:r>
        <w:rPr>
          <w:rFonts w:eastAsia="Calibri" w:cs="Calibri"/>
          <w:i/>
          <w:iCs/>
        </w:rPr>
        <w:t>1.</w:t>
      </w:r>
    </w:p>
    <w:p w14:paraId="42DB95C8" w14:textId="09CBE81A" w:rsidR="00A45CA4" w:rsidRDefault="00C4349F">
      <w:pPr>
        <w:spacing w:before="239" w:after="239" w:line="240" w:lineRule="auto"/>
        <w:textAlignment w:val="top"/>
      </w:pPr>
      <w:r>
        <w:rPr>
          <w:rFonts w:eastAsia="Calibri" w:cs="Calibri"/>
          <w:b/>
          <w:bCs/>
        </w:rPr>
        <w:t>12. Vergoedingen</w:t>
      </w:r>
      <w:r>
        <w:rPr>
          <w:rFonts w:eastAsia="Calibri" w:cs="Calibri"/>
          <w:i/>
          <w:iCs/>
        </w:rPr>
        <w:br/>
        <w:t xml:space="preserve">12.1. De vergoeding </w:t>
      </w:r>
      <w:r w:rsidR="002E3202">
        <w:rPr>
          <w:rFonts w:eastAsia="Calibri" w:cs="Calibri"/>
          <w:i/>
          <w:iCs/>
        </w:rPr>
        <w:t xml:space="preserve">en zijn </w:t>
      </w:r>
      <w:r>
        <w:rPr>
          <w:rFonts w:eastAsia="Calibri" w:cs="Calibri"/>
          <w:i/>
          <w:iCs/>
        </w:rPr>
        <w:t>nader gespecificeerd in</w:t>
      </w:r>
      <w:r>
        <w:rPr>
          <w:rFonts w:eastAsia="Calibri" w:cs="Calibri"/>
        </w:rPr>
        <w:t xml:space="preserve"> </w:t>
      </w:r>
      <w:r>
        <w:rPr>
          <w:rFonts w:eastAsia="Calibri" w:cs="Calibri"/>
          <w:i/>
          <w:iCs/>
        </w:rPr>
        <w:t>de offerte van Leverancier</w:t>
      </w:r>
      <w:r>
        <w:rPr>
          <w:rFonts w:eastAsia="Calibri" w:cs="Calibri"/>
        </w:rPr>
        <w:t>.</w:t>
      </w:r>
      <w:r>
        <w:rPr>
          <w:rFonts w:eastAsia="Calibri" w:cs="Calibri"/>
          <w:i/>
          <w:iCs/>
        </w:rPr>
        <w:br/>
        <w:t>12.</w:t>
      </w:r>
      <w:r w:rsidR="002E3202">
        <w:rPr>
          <w:rFonts w:eastAsia="Calibri" w:cs="Calibri"/>
          <w:i/>
          <w:iCs/>
        </w:rPr>
        <w:t>2</w:t>
      </w:r>
      <w:r>
        <w:rPr>
          <w:rFonts w:eastAsia="Calibri" w:cs="Calibri"/>
          <w:i/>
          <w:iCs/>
        </w:rPr>
        <w:t>. De vergoeding voor de Implementatie is nader gespecificeerd in</w:t>
      </w:r>
      <w:r>
        <w:rPr>
          <w:rFonts w:eastAsia="Calibri" w:cs="Calibri"/>
        </w:rPr>
        <w:t xml:space="preserve"> </w:t>
      </w:r>
      <w:r>
        <w:rPr>
          <w:rFonts w:eastAsia="Calibri" w:cs="Calibri"/>
          <w:i/>
          <w:iCs/>
          <w:u w:val="single" w:color="000000"/>
        </w:rPr>
        <w:t>de offerte van Leverancier</w:t>
      </w:r>
      <w:r>
        <w:rPr>
          <w:rFonts w:eastAsia="Calibri" w:cs="Calibri"/>
        </w:rPr>
        <w:t>.</w:t>
      </w:r>
      <w:r>
        <w:rPr>
          <w:rFonts w:eastAsia="Calibri" w:cs="Calibri"/>
          <w:i/>
          <w:iCs/>
        </w:rPr>
        <w:br/>
        <w:t>12.</w:t>
      </w:r>
      <w:r w:rsidR="002E3202">
        <w:rPr>
          <w:rFonts w:eastAsia="Calibri" w:cs="Calibri"/>
          <w:i/>
          <w:iCs/>
        </w:rPr>
        <w:t>3</w:t>
      </w:r>
      <w:r>
        <w:rPr>
          <w:rFonts w:eastAsia="Calibri" w:cs="Calibri"/>
          <w:i/>
          <w:iCs/>
        </w:rPr>
        <w:t>. Leverancier verzendt de</w:t>
      </w:r>
      <w:r>
        <w:rPr>
          <w:rFonts w:eastAsia="Calibri" w:cs="Calibri"/>
        </w:rPr>
        <w:t xml:space="preserve"> </w:t>
      </w:r>
      <w:r>
        <w:rPr>
          <w:rFonts w:eastAsia="Calibri" w:cs="Calibri"/>
          <w:i/>
          <w:iCs/>
        </w:rPr>
        <w:t>factuur aan Opdrachtgever</w:t>
      </w:r>
      <w:r>
        <w:rPr>
          <w:rFonts w:eastAsia="Calibri" w:cs="Calibri"/>
        </w:rPr>
        <w:t xml:space="preserve"> </w:t>
      </w:r>
      <w:r>
        <w:rPr>
          <w:rFonts w:eastAsia="Calibri" w:cs="Calibri"/>
          <w:i/>
          <w:iCs/>
        </w:rPr>
        <w:t>elektronisch als PDF-bestand naar digitalefacturen@vrhm.nl</w:t>
      </w:r>
      <w:r>
        <w:rPr>
          <w:rFonts w:eastAsia="Calibri" w:cs="Calibri"/>
        </w:rPr>
        <w:t>.</w:t>
      </w:r>
    </w:p>
    <w:p w14:paraId="7D0DF00C" w14:textId="1324B32F" w:rsidR="00A45CA4" w:rsidRDefault="00C4349F">
      <w:pPr>
        <w:spacing w:before="239" w:after="239" w:line="240" w:lineRule="auto"/>
        <w:textAlignment w:val="top"/>
      </w:pPr>
      <w:r>
        <w:rPr>
          <w:rFonts w:eastAsia="Calibri" w:cs="Calibri"/>
          <w:b/>
          <w:bCs/>
        </w:rPr>
        <w:t>13. Contactpersonen en bevoegdheden</w:t>
      </w:r>
      <w:r>
        <w:rPr>
          <w:rFonts w:eastAsia="Calibri" w:cs="Calibri"/>
        </w:rPr>
        <w:br/>
        <w:t>13.1. Partijen wijzen de in een bijlage gespecificeerde personen aan als contactpersoon namens hun organisatie gedurende de looptijd van de Overeenkomst.</w:t>
      </w:r>
      <w:r>
        <w:rPr>
          <w:rFonts w:eastAsia="Calibri" w:cs="Calibri"/>
        </w:rPr>
        <w:br/>
        <w:t>13.2.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r>
        <w:rPr>
          <w:rFonts w:eastAsia="Calibri" w:cs="Calibri"/>
        </w:rPr>
        <w:br/>
        <w:t>13.3. Een partij mag haar contactpersonen wijzigen middels schriftelijke mededeling aan de andere partij. De wijziging zal minimaal een week van tevoren worden gemeld, behoudens in spoedgevallen.</w:t>
      </w:r>
      <w:r>
        <w:rPr>
          <w:rFonts w:eastAsia="Calibri" w:cs="Calibri"/>
          <w:i/>
          <w:iCs/>
        </w:rPr>
        <w:br/>
        <w:t xml:space="preserve">13.4. </w:t>
      </w:r>
      <w:r w:rsidR="002E3202">
        <w:rPr>
          <w:rFonts w:eastAsia="Calibri" w:cs="Calibri"/>
          <w:i/>
          <w:iCs/>
        </w:rPr>
        <w:t>Voor de implementatie</w:t>
      </w:r>
      <w:r>
        <w:rPr>
          <w:rFonts w:eastAsia="Calibri" w:cs="Calibri"/>
          <w:i/>
          <w:iCs/>
        </w:rPr>
        <w:t xml:space="preserve"> is een stuurgroep ingesteld, waarvan de taken en bevoegdheden</w:t>
      </w:r>
      <w:r>
        <w:rPr>
          <w:rFonts w:eastAsia="Calibri" w:cs="Calibri"/>
        </w:rPr>
        <w:t xml:space="preserve"> </w:t>
      </w:r>
      <w:r>
        <w:rPr>
          <w:rFonts w:eastAsia="Calibri" w:cs="Calibri"/>
          <w:i/>
          <w:iCs/>
        </w:rPr>
        <w:t>in nader overleg worden overeengekomen</w:t>
      </w:r>
      <w:r>
        <w:rPr>
          <w:rFonts w:eastAsia="Calibri" w:cs="Calibri"/>
        </w:rPr>
        <w:t>.</w:t>
      </w:r>
    </w:p>
    <w:p w14:paraId="1ABEE6C3" w14:textId="77777777" w:rsidR="00A45CA4" w:rsidRDefault="00C4349F">
      <w:pPr>
        <w:spacing w:before="239" w:after="239" w:line="240" w:lineRule="auto"/>
        <w:textAlignment w:val="top"/>
      </w:pPr>
      <w:r>
        <w:rPr>
          <w:rFonts w:eastAsia="Calibri" w:cs="Calibri"/>
          <w:b/>
          <w:bCs/>
        </w:rPr>
        <w:t>14. Voorwaarden en overige afspraken</w:t>
      </w:r>
      <w:r>
        <w:rPr>
          <w:rFonts w:eastAsia="Calibri" w:cs="Calibri"/>
        </w:rPr>
        <w:br/>
        <w:t>14.1. Op deze Overeenkomst is de GIBIT 2020 van toepassing, zoals bijgesloten als bijlage. Leverancier verklaart een exemplaar van de GIBIT 2020 te hebben ontvangen.</w:t>
      </w:r>
      <w:r>
        <w:rPr>
          <w:rFonts w:eastAsia="Calibri" w:cs="Calibri"/>
        </w:rPr>
        <w:br/>
      </w:r>
      <w:r>
        <w:rPr>
          <w:rFonts w:eastAsia="Calibri" w:cs="Calibri"/>
        </w:rPr>
        <w:lastRenderedPageBreak/>
        <w:t>14.2. Eventuele leveringsvoorwaarden van Leverancier zijn uitdrukkelijk niet van toepassing.</w:t>
      </w:r>
      <w:r>
        <w:rPr>
          <w:rFonts w:eastAsia="Calibri" w:cs="Calibri"/>
        </w:rPr>
        <w:br/>
        <w:t>14.3. De navolgende stukken vormen gezamenlijk de Overeenkomst. Voor zover deze stukken met elkaar in tegenspraak zijn, prevaleert het eerder genoemde stuk boven het later genoemde:</w:t>
      </w:r>
    </w:p>
    <w:p w14:paraId="28A7779F" w14:textId="77777777" w:rsidR="00A45CA4" w:rsidRDefault="00C4349F">
      <w:pPr>
        <w:numPr>
          <w:ilvl w:val="0"/>
          <w:numId w:val="4"/>
        </w:numPr>
        <w:spacing w:line="240" w:lineRule="auto"/>
        <w:rPr>
          <w:rFonts w:ascii="Calibri" w:eastAsia="Calibri" w:hAnsi="Calibri" w:cs="Calibri"/>
        </w:rPr>
      </w:pPr>
      <w:r>
        <w:rPr>
          <w:rFonts w:eastAsia="Calibri" w:cs="Calibri"/>
        </w:rPr>
        <w:t>Het onderhavige document;</w:t>
      </w:r>
    </w:p>
    <w:p w14:paraId="3BA4CBC1" w14:textId="77777777" w:rsidR="00A45CA4" w:rsidRDefault="00C4349F">
      <w:pPr>
        <w:numPr>
          <w:ilvl w:val="0"/>
          <w:numId w:val="4"/>
        </w:numPr>
        <w:spacing w:line="240" w:lineRule="auto"/>
        <w:rPr>
          <w:rFonts w:ascii="Calibri" w:eastAsia="Calibri" w:hAnsi="Calibri" w:cs="Calibri"/>
        </w:rPr>
      </w:pPr>
      <w:r>
        <w:rPr>
          <w:rFonts w:eastAsia="Calibri" w:cs="Calibri"/>
        </w:rPr>
        <w:t>De verwerkersovereenkomst;</w:t>
      </w:r>
    </w:p>
    <w:p w14:paraId="3C297F68" w14:textId="77777777" w:rsidR="00A45CA4" w:rsidRDefault="00C4349F">
      <w:pPr>
        <w:numPr>
          <w:ilvl w:val="0"/>
          <w:numId w:val="4"/>
        </w:numPr>
        <w:spacing w:line="240" w:lineRule="auto"/>
        <w:rPr>
          <w:rFonts w:ascii="Calibri" w:eastAsia="Calibri" w:hAnsi="Calibri" w:cs="Calibri"/>
        </w:rPr>
      </w:pPr>
      <w:r>
        <w:rPr>
          <w:rFonts w:eastAsia="Calibri" w:cs="Calibri"/>
        </w:rPr>
        <w:t>De in artikel 1.1. genoemde documenten (in de daar genoemde volgorde).</w:t>
      </w:r>
    </w:p>
    <w:p w14:paraId="1F099FE3" w14:textId="77777777" w:rsidR="00A45CA4" w:rsidRDefault="00C4349F">
      <w:pPr>
        <w:spacing w:before="239" w:after="239" w:line="240" w:lineRule="auto"/>
        <w:textAlignment w:val="top"/>
      </w:pPr>
      <w:r>
        <w:rPr>
          <w:rFonts w:eastAsia="Calibri" w:cs="Calibri"/>
        </w:rPr>
        <w:t>14.4. In de Overeenkomst wordt een aantal begrippen met een beginhoofdletter gebruikt. Aan deze begrippen komt de betekenis toe die hieraan is gegeven in de GIBIT 2020.</w:t>
      </w:r>
    </w:p>
    <w:p w14:paraId="1F984674" w14:textId="77777777" w:rsidR="002E3202" w:rsidRPr="00203FB0" w:rsidRDefault="002E3202" w:rsidP="002E3202">
      <w:pPr>
        <w:rPr>
          <w:rFonts w:cs="Arial"/>
        </w:rPr>
      </w:pPr>
      <w:r w:rsidRPr="00203FB0">
        <w:rPr>
          <w:rFonts w:cs="Arial"/>
        </w:rPr>
        <w:t>Aldus in tweevo</w:t>
      </w:r>
      <w:r>
        <w:rPr>
          <w:rFonts w:cs="Arial"/>
        </w:rPr>
        <w:t xml:space="preserve">ud opgemaakt en ondertekend op </w:t>
      </w:r>
      <w:r w:rsidRPr="002E3202">
        <w:rPr>
          <w:rFonts w:cs="Arial"/>
          <w:highlight w:val="yellow"/>
        </w:rPr>
        <w:t>datum</w:t>
      </w:r>
      <w:r w:rsidRPr="00203FB0">
        <w:rPr>
          <w:rFonts w:cs="Arial"/>
        </w:rPr>
        <w:t>.</w:t>
      </w:r>
    </w:p>
    <w:p w14:paraId="2FD389D6" w14:textId="77777777" w:rsidR="002E3202" w:rsidRPr="00203FB0" w:rsidRDefault="002E3202" w:rsidP="002E3202">
      <w:pPr>
        <w:rPr>
          <w:rFonts w:cs="Arial"/>
        </w:rPr>
      </w:pPr>
    </w:p>
    <w:tbl>
      <w:tblPr>
        <w:tblStyle w:val="Tabelraster"/>
        <w:tblW w:w="0" w:type="auto"/>
        <w:tblLook w:val="04A0" w:firstRow="1" w:lastRow="0" w:firstColumn="1" w:lastColumn="0" w:noHBand="0" w:noVBand="1"/>
      </w:tblPr>
      <w:tblGrid>
        <w:gridCol w:w="1802"/>
        <w:gridCol w:w="3351"/>
        <w:gridCol w:w="3863"/>
      </w:tblGrid>
      <w:tr w:rsidR="002E3202" w14:paraId="7EDD2850" w14:textId="77777777" w:rsidTr="0098047A">
        <w:tc>
          <w:tcPr>
            <w:tcW w:w="1809" w:type="dxa"/>
          </w:tcPr>
          <w:p w14:paraId="615BAB56" w14:textId="77777777" w:rsidR="002E3202" w:rsidRDefault="002E3202" w:rsidP="0098047A">
            <w:pPr>
              <w:rPr>
                <w:rFonts w:cs="Arial"/>
              </w:rPr>
            </w:pPr>
          </w:p>
        </w:tc>
        <w:tc>
          <w:tcPr>
            <w:tcW w:w="3402" w:type="dxa"/>
          </w:tcPr>
          <w:p w14:paraId="14C8DEDB" w14:textId="77777777" w:rsidR="002E3202" w:rsidRDefault="002E3202" w:rsidP="0098047A">
            <w:pPr>
              <w:rPr>
                <w:rFonts w:cs="Arial"/>
              </w:rPr>
            </w:pPr>
            <w:r>
              <w:rPr>
                <w:rFonts w:cs="Arial"/>
              </w:rPr>
              <w:t>Opdrachtgever</w:t>
            </w:r>
          </w:p>
        </w:tc>
        <w:tc>
          <w:tcPr>
            <w:tcW w:w="3943" w:type="dxa"/>
          </w:tcPr>
          <w:p w14:paraId="791A3E83" w14:textId="507A3865" w:rsidR="002E3202" w:rsidRDefault="002E3202" w:rsidP="0098047A">
            <w:pPr>
              <w:rPr>
                <w:rFonts w:cs="Arial"/>
              </w:rPr>
            </w:pPr>
            <w:r>
              <w:rPr>
                <w:rFonts w:cs="Arial"/>
              </w:rPr>
              <w:t>Leverancier</w:t>
            </w:r>
          </w:p>
        </w:tc>
      </w:tr>
      <w:tr w:rsidR="002E3202" w14:paraId="3809664F" w14:textId="77777777" w:rsidTr="0098047A">
        <w:tc>
          <w:tcPr>
            <w:tcW w:w="1809" w:type="dxa"/>
          </w:tcPr>
          <w:p w14:paraId="056087AB" w14:textId="77777777" w:rsidR="002E3202" w:rsidRDefault="002E3202" w:rsidP="0098047A">
            <w:pPr>
              <w:rPr>
                <w:rFonts w:cs="Arial"/>
              </w:rPr>
            </w:pPr>
            <w:r>
              <w:rPr>
                <w:rFonts w:cs="Arial"/>
              </w:rPr>
              <w:t>Naam</w:t>
            </w:r>
          </w:p>
        </w:tc>
        <w:tc>
          <w:tcPr>
            <w:tcW w:w="3402" w:type="dxa"/>
          </w:tcPr>
          <w:p w14:paraId="63414F4F" w14:textId="53D562B9" w:rsidR="002E3202" w:rsidRDefault="002E3202" w:rsidP="0098047A">
            <w:pPr>
              <w:rPr>
                <w:rFonts w:cs="Arial"/>
              </w:rPr>
            </w:pPr>
            <w:r>
              <w:rPr>
                <w:rFonts w:cs="Arial"/>
              </w:rPr>
              <w:t>Veiligheidsregio Hollands Midden</w:t>
            </w:r>
          </w:p>
        </w:tc>
        <w:tc>
          <w:tcPr>
            <w:tcW w:w="3943" w:type="dxa"/>
          </w:tcPr>
          <w:p w14:paraId="5B8C7FA3" w14:textId="77777777" w:rsidR="002E3202" w:rsidRDefault="002E3202" w:rsidP="0098047A">
            <w:pPr>
              <w:rPr>
                <w:rFonts w:cs="Arial"/>
              </w:rPr>
            </w:pPr>
          </w:p>
        </w:tc>
      </w:tr>
      <w:tr w:rsidR="002E3202" w14:paraId="770575AD" w14:textId="77777777" w:rsidTr="0098047A">
        <w:tc>
          <w:tcPr>
            <w:tcW w:w="1809" w:type="dxa"/>
          </w:tcPr>
          <w:p w14:paraId="5BA6B339" w14:textId="77777777" w:rsidR="002E3202" w:rsidRDefault="002E3202" w:rsidP="0098047A">
            <w:pPr>
              <w:rPr>
                <w:rFonts w:cs="Arial"/>
              </w:rPr>
            </w:pPr>
            <w:r>
              <w:rPr>
                <w:rFonts w:cs="Arial"/>
              </w:rPr>
              <w:t>Functie</w:t>
            </w:r>
          </w:p>
        </w:tc>
        <w:tc>
          <w:tcPr>
            <w:tcW w:w="3402" w:type="dxa"/>
          </w:tcPr>
          <w:p w14:paraId="25367956" w14:textId="77777777" w:rsidR="002E3202" w:rsidRDefault="002E3202" w:rsidP="0098047A">
            <w:pPr>
              <w:rPr>
                <w:rFonts w:cs="Arial"/>
              </w:rPr>
            </w:pPr>
          </w:p>
        </w:tc>
        <w:tc>
          <w:tcPr>
            <w:tcW w:w="3943" w:type="dxa"/>
          </w:tcPr>
          <w:p w14:paraId="35D993BC" w14:textId="77777777" w:rsidR="002E3202" w:rsidRDefault="002E3202" w:rsidP="0098047A">
            <w:pPr>
              <w:rPr>
                <w:rFonts w:cs="Arial"/>
              </w:rPr>
            </w:pPr>
          </w:p>
        </w:tc>
      </w:tr>
      <w:tr w:rsidR="002E3202" w14:paraId="6C2B6556" w14:textId="77777777" w:rsidTr="0098047A">
        <w:tc>
          <w:tcPr>
            <w:tcW w:w="1809" w:type="dxa"/>
          </w:tcPr>
          <w:p w14:paraId="27805AA5" w14:textId="77777777" w:rsidR="002E3202" w:rsidRDefault="002E3202" w:rsidP="0098047A">
            <w:pPr>
              <w:rPr>
                <w:rFonts w:cs="Arial"/>
              </w:rPr>
            </w:pPr>
            <w:r>
              <w:rPr>
                <w:rFonts w:cs="Arial"/>
              </w:rPr>
              <w:t>Datum</w:t>
            </w:r>
          </w:p>
        </w:tc>
        <w:tc>
          <w:tcPr>
            <w:tcW w:w="3402" w:type="dxa"/>
          </w:tcPr>
          <w:p w14:paraId="02223BE5" w14:textId="77777777" w:rsidR="002E3202" w:rsidRDefault="002E3202" w:rsidP="0098047A">
            <w:pPr>
              <w:rPr>
                <w:rFonts w:cs="Arial"/>
              </w:rPr>
            </w:pPr>
          </w:p>
        </w:tc>
        <w:tc>
          <w:tcPr>
            <w:tcW w:w="3943" w:type="dxa"/>
          </w:tcPr>
          <w:p w14:paraId="76606C65" w14:textId="77777777" w:rsidR="002E3202" w:rsidRDefault="002E3202" w:rsidP="0098047A">
            <w:pPr>
              <w:rPr>
                <w:rFonts w:cs="Arial"/>
              </w:rPr>
            </w:pPr>
          </w:p>
        </w:tc>
      </w:tr>
      <w:tr w:rsidR="002E3202" w14:paraId="46DDDC87" w14:textId="77777777" w:rsidTr="0098047A">
        <w:tc>
          <w:tcPr>
            <w:tcW w:w="1809" w:type="dxa"/>
          </w:tcPr>
          <w:p w14:paraId="57DB94BE" w14:textId="77777777" w:rsidR="002E3202" w:rsidRDefault="002E3202" w:rsidP="0098047A">
            <w:pPr>
              <w:rPr>
                <w:rFonts w:cs="Arial"/>
              </w:rPr>
            </w:pPr>
            <w:r>
              <w:rPr>
                <w:rFonts w:cs="Arial"/>
              </w:rPr>
              <w:t>Plaats</w:t>
            </w:r>
          </w:p>
        </w:tc>
        <w:tc>
          <w:tcPr>
            <w:tcW w:w="3402" w:type="dxa"/>
          </w:tcPr>
          <w:p w14:paraId="1DE62AA5" w14:textId="77777777" w:rsidR="002E3202" w:rsidRDefault="002E3202" w:rsidP="0098047A">
            <w:pPr>
              <w:rPr>
                <w:rFonts w:cs="Arial"/>
              </w:rPr>
            </w:pPr>
          </w:p>
        </w:tc>
        <w:tc>
          <w:tcPr>
            <w:tcW w:w="3943" w:type="dxa"/>
          </w:tcPr>
          <w:p w14:paraId="21FECBD1" w14:textId="77777777" w:rsidR="002E3202" w:rsidRDefault="002E3202" w:rsidP="0098047A">
            <w:pPr>
              <w:rPr>
                <w:rFonts w:cs="Arial"/>
              </w:rPr>
            </w:pPr>
          </w:p>
        </w:tc>
      </w:tr>
      <w:tr w:rsidR="002E3202" w14:paraId="11386BF9" w14:textId="77777777" w:rsidTr="0098047A">
        <w:tc>
          <w:tcPr>
            <w:tcW w:w="1809" w:type="dxa"/>
          </w:tcPr>
          <w:p w14:paraId="48620B72" w14:textId="77777777" w:rsidR="002E3202" w:rsidRDefault="002E3202" w:rsidP="0098047A">
            <w:pPr>
              <w:rPr>
                <w:rFonts w:cs="Arial"/>
              </w:rPr>
            </w:pPr>
            <w:r>
              <w:rPr>
                <w:rFonts w:cs="Arial"/>
              </w:rPr>
              <w:t>Handtekening</w:t>
            </w:r>
          </w:p>
          <w:p w14:paraId="745DFD89" w14:textId="77777777" w:rsidR="002E3202" w:rsidRDefault="002E3202" w:rsidP="0098047A">
            <w:pPr>
              <w:rPr>
                <w:rFonts w:cs="Arial"/>
              </w:rPr>
            </w:pPr>
          </w:p>
          <w:p w14:paraId="54D46AE7" w14:textId="77777777" w:rsidR="002E3202" w:rsidRDefault="002E3202" w:rsidP="0098047A">
            <w:pPr>
              <w:rPr>
                <w:rFonts w:cs="Arial"/>
              </w:rPr>
            </w:pPr>
          </w:p>
        </w:tc>
        <w:tc>
          <w:tcPr>
            <w:tcW w:w="3402" w:type="dxa"/>
          </w:tcPr>
          <w:p w14:paraId="7415FCC0" w14:textId="77777777" w:rsidR="002E3202" w:rsidRDefault="002E3202" w:rsidP="0098047A">
            <w:pPr>
              <w:rPr>
                <w:rFonts w:cs="Arial"/>
              </w:rPr>
            </w:pPr>
          </w:p>
        </w:tc>
        <w:tc>
          <w:tcPr>
            <w:tcW w:w="3943" w:type="dxa"/>
          </w:tcPr>
          <w:p w14:paraId="0A8E53FB" w14:textId="77777777" w:rsidR="002E3202" w:rsidRDefault="002E3202" w:rsidP="0098047A">
            <w:pPr>
              <w:rPr>
                <w:rFonts w:cs="Arial"/>
              </w:rPr>
            </w:pPr>
          </w:p>
        </w:tc>
      </w:tr>
    </w:tbl>
    <w:p w14:paraId="03E8455D" w14:textId="01FAC148" w:rsidR="00A45CA4" w:rsidRDefault="00C4349F">
      <w:pPr>
        <w:spacing w:before="239" w:after="239" w:line="240" w:lineRule="auto"/>
        <w:textAlignment w:val="top"/>
      </w:pPr>
      <w:r>
        <w:rPr>
          <w:rFonts w:eastAsia="Calibri" w:cs="Calibri"/>
        </w:rPr>
        <w:t> </w:t>
      </w:r>
    </w:p>
    <w:p w14:paraId="00B9C499" w14:textId="77777777" w:rsidR="00A45CA4" w:rsidRDefault="00C4349F">
      <w:pPr>
        <w:pStyle w:val="Kop2"/>
        <w:spacing w:before="199" w:after="199" w:line="240" w:lineRule="auto"/>
      </w:pPr>
      <w:r>
        <w:rPr>
          <w:sz w:val="24"/>
          <w:szCs w:val="24"/>
        </w:rPr>
        <w:t>OVERZICHT BIJLAGEN</w:t>
      </w:r>
    </w:p>
    <w:p w14:paraId="71B7E3D1" w14:textId="77777777" w:rsidR="00A45CA4" w:rsidRDefault="00C4349F">
      <w:pPr>
        <w:numPr>
          <w:ilvl w:val="0"/>
          <w:numId w:val="4"/>
        </w:numPr>
        <w:spacing w:line="240" w:lineRule="auto"/>
        <w:rPr>
          <w:rFonts w:ascii="Calibri" w:eastAsia="Calibri" w:hAnsi="Calibri" w:cs="Calibri"/>
        </w:rPr>
      </w:pPr>
      <w:r>
        <w:rPr>
          <w:rFonts w:eastAsia="Calibri" w:cs="Calibri"/>
        </w:rPr>
        <w:t>De verwerkersovereenkomst;</w:t>
      </w:r>
    </w:p>
    <w:p w14:paraId="36ABB8A5" w14:textId="77777777" w:rsidR="00A45CA4" w:rsidRDefault="00C4349F">
      <w:pPr>
        <w:numPr>
          <w:ilvl w:val="0"/>
          <w:numId w:val="4"/>
        </w:numPr>
        <w:spacing w:line="240" w:lineRule="auto"/>
        <w:rPr>
          <w:rFonts w:ascii="Calibri" w:eastAsia="Calibri" w:hAnsi="Calibri" w:cs="Calibri"/>
        </w:rPr>
      </w:pPr>
      <w:r>
        <w:rPr>
          <w:rFonts w:eastAsia="Calibri" w:cs="Calibri"/>
        </w:rPr>
        <w:t>Het programma van eisen;</w:t>
      </w:r>
    </w:p>
    <w:p w14:paraId="74D770B9" w14:textId="77777777" w:rsidR="00A45CA4" w:rsidRDefault="00C4349F">
      <w:pPr>
        <w:numPr>
          <w:ilvl w:val="0"/>
          <w:numId w:val="4"/>
        </w:numPr>
        <w:spacing w:line="240" w:lineRule="auto"/>
        <w:rPr>
          <w:rFonts w:ascii="Calibri" w:eastAsia="Calibri" w:hAnsi="Calibri" w:cs="Calibri"/>
        </w:rPr>
      </w:pPr>
      <w:r>
        <w:rPr>
          <w:rFonts w:eastAsia="Calibri" w:cs="Calibri"/>
        </w:rPr>
        <w:t>Het beschrijvend document;</w:t>
      </w:r>
    </w:p>
    <w:p w14:paraId="080C60CC" w14:textId="77777777" w:rsidR="00A45CA4" w:rsidRDefault="00C4349F">
      <w:pPr>
        <w:numPr>
          <w:ilvl w:val="0"/>
          <w:numId w:val="4"/>
        </w:numPr>
        <w:spacing w:line="240" w:lineRule="auto"/>
        <w:rPr>
          <w:rFonts w:ascii="Calibri" w:eastAsia="Calibri" w:hAnsi="Calibri" w:cs="Calibri"/>
        </w:rPr>
      </w:pPr>
      <w:r>
        <w:rPr>
          <w:rFonts w:eastAsia="Calibri" w:cs="Calibri"/>
        </w:rPr>
        <w:t>De nota van inlichtingen;</w:t>
      </w:r>
    </w:p>
    <w:p w14:paraId="5DEA21B0" w14:textId="77777777" w:rsidR="00A45CA4" w:rsidRDefault="00C4349F">
      <w:pPr>
        <w:numPr>
          <w:ilvl w:val="0"/>
          <w:numId w:val="4"/>
        </w:numPr>
        <w:spacing w:line="240" w:lineRule="auto"/>
        <w:rPr>
          <w:rFonts w:ascii="Calibri" w:eastAsia="Calibri" w:hAnsi="Calibri" w:cs="Calibri"/>
        </w:rPr>
      </w:pPr>
      <w:r>
        <w:rPr>
          <w:rFonts w:eastAsia="Calibri" w:cs="Calibri"/>
        </w:rPr>
        <w:t>GIBIT 2020;</w:t>
      </w:r>
    </w:p>
    <w:p w14:paraId="7A1B43E3" w14:textId="77777777" w:rsidR="00A45CA4" w:rsidRDefault="00C4349F">
      <w:pPr>
        <w:numPr>
          <w:ilvl w:val="0"/>
          <w:numId w:val="4"/>
        </w:numPr>
        <w:spacing w:line="240" w:lineRule="auto"/>
        <w:rPr>
          <w:rFonts w:ascii="Calibri" w:eastAsia="Calibri" w:hAnsi="Calibri" w:cs="Calibri"/>
        </w:rPr>
      </w:pPr>
      <w:r>
        <w:rPr>
          <w:rFonts w:eastAsia="Calibri" w:cs="Calibri"/>
        </w:rPr>
        <w:t>De offerte van Leverancier;</w:t>
      </w:r>
    </w:p>
    <w:p w14:paraId="03084B56" w14:textId="77777777" w:rsidR="00A45CA4" w:rsidRDefault="00C4349F">
      <w:pPr>
        <w:numPr>
          <w:ilvl w:val="0"/>
          <w:numId w:val="4"/>
        </w:numPr>
        <w:spacing w:line="240" w:lineRule="auto"/>
        <w:rPr>
          <w:rFonts w:ascii="Calibri" w:eastAsia="Calibri" w:hAnsi="Calibri" w:cs="Calibri"/>
        </w:rPr>
      </w:pPr>
      <w:r>
        <w:rPr>
          <w:rFonts w:eastAsia="Calibri" w:cs="Calibri"/>
        </w:rPr>
        <w:t>Contactpersonen Opdrachtgever;</w:t>
      </w:r>
    </w:p>
    <w:p w14:paraId="703EDD0F" w14:textId="77777777" w:rsidR="00A45CA4" w:rsidRDefault="00C4349F">
      <w:pPr>
        <w:numPr>
          <w:ilvl w:val="0"/>
          <w:numId w:val="4"/>
        </w:numPr>
        <w:spacing w:line="240" w:lineRule="auto"/>
        <w:rPr>
          <w:rFonts w:ascii="Calibri" w:eastAsia="Calibri" w:hAnsi="Calibri" w:cs="Calibri"/>
        </w:rPr>
      </w:pPr>
      <w:r>
        <w:rPr>
          <w:rFonts w:eastAsia="Calibri" w:cs="Calibri"/>
        </w:rPr>
        <w:t>Contactpersonen Leverancier.</w:t>
      </w:r>
    </w:p>
    <w:p w14:paraId="36B378D8" w14:textId="77777777" w:rsidR="00A45CA4" w:rsidRDefault="00C4349F">
      <w:pPr>
        <w:spacing w:before="239" w:after="239" w:line="240" w:lineRule="auto"/>
        <w:textAlignment w:val="top"/>
      </w:pPr>
      <w:r>
        <w:rPr>
          <w:rFonts w:eastAsia="Calibri" w:cs="Calibri"/>
          <w:b/>
          <w:bCs/>
        </w:rPr>
        <w:t>BIJLAGEN UITWERKING ASPECTEN ICT PRESTATIE</w:t>
      </w:r>
    </w:p>
    <w:p w14:paraId="1E2FD2B5" w14:textId="77777777" w:rsidR="00A45CA4" w:rsidRDefault="00C4349F">
      <w:pPr>
        <w:numPr>
          <w:ilvl w:val="0"/>
          <w:numId w:val="4"/>
        </w:numPr>
        <w:spacing w:line="240" w:lineRule="auto"/>
        <w:rPr>
          <w:rFonts w:ascii="Calibri" w:eastAsia="Calibri" w:hAnsi="Calibri" w:cs="Calibri"/>
        </w:rPr>
      </w:pPr>
      <w:r>
        <w:rPr>
          <w:rFonts w:eastAsia="Calibri" w:cs="Calibri"/>
        </w:rPr>
        <w:t>De [nog op te stellen SLA].</w:t>
      </w:r>
    </w:p>
    <w:sectPr w:rsidR="00A45CA4">
      <w:footerReference w:type="default" r:id="rId8"/>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42F26" w14:textId="77777777" w:rsidR="00A7560C" w:rsidRDefault="00C4349F">
      <w:pPr>
        <w:spacing w:line="240" w:lineRule="auto"/>
      </w:pPr>
      <w:r>
        <w:separator/>
      </w:r>
    </w:p>
  </w:endnote>
  <w:endnote w:type="continuationSeparator" w:id="0">
    <w:p w14:paraId="45A0022B" w14:textId="77777777" w:rsidR="00A7560C" w:rsidRDefault="00C43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22DF" w14:textId="77777777" w:rsidR="00A45CA4" w:rsidRDefault="00C4349F">
    <w:pPr>
      <w:pStyle w:val="Voettekst"/>
      <w:tabs>
        <w:tab w:val="clear" w:pos="9026"/>
        <w:tab w:val="right" w:pos="9020"/>
      </w:tabs>
    </w:pPr>
    <w:r>
      <w:tab/>
    </w:r>
    <w:r>
      <w:tab/>
      <w:t xml:space="preserve">Pagina </w:t>
    </w:r>
    <w:r>
      <w:fldChar w:fldCharType="begin"/>
    </w:r>
    <w:r>
      <w:instrText>PAGE \* ARABIC</w:instrText>
    </w:r>
    <w:r>
      <w:fldChar w:fldCharType="separate"/>
    </w:r>
    <w:r>
      <w:t>4</w:t>
    </w:r>
    <w:r>
      <w:fldChar w:fldCharType="end"/>
    </w:r>
    <w:r>
      <w:t xml:space="preserve"> van </w:t>
    </w:r>
    <w:r>
      <w:fldChar w:fldCharType="begin"/>
    </w:r>
    <w:r>
      <w:instrText>NUMPAGES \* ARABIC</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3343C" w14:textId="77777777" w:rsidR="00A7560C" w:rsidRDefault="00C4349F">
      <w:pPr>
        <w:spacing w:line="240" w:lineRule="auto"/>
      </w:pPr>
      <w:r>
        <w:separator/>
      </w:r>
    </w:p>
  </w:footnote>
  <w:footnote w:type="continuationSeparator" w:id="0">
    <w:p w14:paraId="16810BA2" w14:textId="77777777" w:rsidR="00A7560C" w:rsidRDefault="00C434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15B8"/>
    <w:multiLevelType w:val="hybridMultilevel"/>
    <w:tmpl w:val="DEBC716C"/>
    <w:lvl w:ilvl="0" w:tplc="12443695">
      <w:start w:val="1"/>
      <w:numFmt w:val="decimal"/>
      <w:lvlText w:val="%1."/>
      <w:lvlJc w:val="left"/>
      <w:pPr>
        <w:ind w:left="720" w:hanging="360"/>
      </w:pPr>
    </w:lvl>
    <w:lvl w:ilvl="1" w:tplc="12443695" w:tentative="1">
      <w:start w:val="1"/>
      <w:numFmt w:val="lowerLetter"/>
      <w:lvlText w:val="%2."/>
      <w:lvlJc w:val="left"/>
      <w:pPr>
        <w:ind w:left="1440" w:hanging="360"/>
      </w:pPr>
    </w:lvl>
    <w:lvl w:ilvl="2" w:tplc="12443695" w:tentative="1">
      <w:start w:val="1"/>
      <w:numFmt w:val="lowerRoman"/>
      <w:lvlText w:val="%3."/>
      <w:lvlJc w:val="right"/>
      <w:pPr>
        <w:ind w:left="2160" w:hanging="180"/>
      </w:pPr>
    </w:lvl>
    <w:lvl w:ilvl="3" w:tplc="12443695" w:tentative="1">
      <w:start w:val="1"/>
      <w:numFmt w:val="decimal"/>
      <w:lvlText w:val="%4."/>
      <w:lvlJc w:val="left"/>
      <w:pPr>
        <w:ind w:left="2880" w:hanging="360"/>
      </w:pPr>
    </w:lvl>
    <w:lvl w:ilvl="4" w:tplc="12443695" w:tentative="1">
      <w:start w:val="1"/>
      <w:numFmt w:val="lowerLetter"/>
      <w:lvlText w:val="%5."/>
      <w:lvlJc w:val="left"/>
      <w:pPr>
        <w:ind w:left="3600" w:hanging="360"/>
      </w:pPr>
    </w:lvl>
    <w:lvl w:ilvl="5" w:tplc="12443695" w:tentative="1">
      <w:start w:val="1"/>
      <w:numFmt w:val="lowerRoman"/>
      <w:lvlText w:val="%6."/>
      <w:lvlJc w:val="right"/>
      <w:pPr>
        <w:ind w:left="4320" w:hanging="180"/>
      </w:pPr>
    </w:lvl>
    <w:lvl w:ilvl="6" w:tplc="12443695" w:tentative="1">
      <w:start w:val="1"/>
      <w:numFmt w:val="decimal"/>
      <w:lvlText w:val="%7."/>
      <w:lvlJc w:val="left"/>
      <w:pPr>
        <w:ind w:left="5040" w:hanging="360"/>
      </w:pPr>
    </w:lvl>
    <w:lvl w:ilvl="7" w:tplc="12443695" w:tentative="1">
      <w:start w:val="1"/>
      <w:numFmt w:val="lowerLetter"/>
      <w:lvlText w:val="%8."/>
      <w:lvlJc w:val="left"/>
      <w:pPr>
        <w:ind w:left="5760" w:hanging="360"/>
      </w:pPr>
    </w:lvl>
    <w:lvl w:ilvl="8" w:tplc="12443695" w:tentative="1">
      <w:start w:val="1"/>
      <w:numFmt w:val="lowerRoman"/>
      <w:lvlText w:val="%9."/>
      <w:lvlJc w:val="right"/>
      <w:pPr>
        <w:ind w:left="6480" w:hanging="180"/>
      </w:pPr>
    </w:lvl>
  </w:abstractNum>
  <w:abstractNum w:abstractNumId="1" w15:restartNumberingAfterBreak="0">
    <w:nsid w:val="28741B38"/>
    <w:multiLevelType w:val="multilevel"/>
    <w:tmpl w:val="E83267F6"/>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D846EF3"/>
    <w:multiLevelType w:val="multilevel"/>
    <w:tmpl w:val="78001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DE2844"/>
    <w:multiLevelType w:val="hybridMultilevel"/>
    <w:tmpl w:val="CDFE3A6C"/>
    <w:lvl w:ilvl="0" w:tplc="42405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4B303B2"/>
    <w:multiLevelType w:val="multilevel"/>
    <w:tmpl w:val="F17A65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5FB2DC7"/>
    <w:multiLevelType w:val="multilevel"/>
    <w:tmpl w:val="B08C9EDE"/>
    <w:lvl w:ilvl="0">
      <w:start w:val="1"/>
      <w:numFmt w:val="decimal"/>
      <w:pStyle w:val="ArticleLevel1"/>
      <w:lvlText w:val="Artikel %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744B360E"/>
    <w:multiLevelType w:val="multilevel"/>
    <w:tmpl w:val="E32A58C8"/>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A4"/>
    <w:rsid w:val="002E3202"/>
    <w:rsid w:val="00A45CA4"/>
    <w:rsid w:val="00A7560C"/>
    <w:rsid w:val="00C4349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A5C9"/>
  <w15:docId w15:val="{1B8EC2C1-1E8C-45C6-B74F-B779C085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tabs>
        <w:tab w:val="num" w:pos="0"/>
      </w:tabs>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tabs>
        <w:tab w:val="num" w:pos="0"/>
      </w:tabs>
      <w:ind w:left="1418" w:hanging="1418"/>
    </w:pPr>
  </w:style>
  <w:style w:type="paragraph" w:customStyle="1" w:styleId="ArticleLevel4">
    <w:name w:val="Article Level 4"/>
    <w:basedOn w:val="Standaard"/>
    <w:qFormat/>
    <w:rsid w:val="009818D2"/>
    <w:pPr>
      <w:tabs>
        <w:tab w:val="num" w:pos="0"/>
      </w:tabs>
      <w:ind w:left="1418" w:hanging="1418"/>
    </w:pPr>
  </w:style>
  <w:style w:type="paragraph" w:customStyle="1" w:styleId="ArticleLevel5">
    <w:name w:val="Article Level 5"/>
    <w:basedOn w:val="Standaard"/>
    <w:qFormat/>
    <w:rsid w:val="009818D2"/>
    <w:pPr>
      <w:tabs>
        <w:tab w:val="num" w:pos="0"/>
      </w:tabs>
      <w:ind w:left="1843" w:hanging="425"/>
    </w:pPr>
  </w:style>
  <w:style w:type="paragraph" w:customStyle="1" w:styleId="ArticleLevel6">
    <w:name w:val="Article Level 6"/>
    <w:basedOn w:val="Standaard"/>
    <w:qFormat/>
    <w:rsid w:val="00380DE6"/>
    <w:pPr>
      <w:tabs>
        <w:tab w:val="num" w:pos="0"/>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0">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ngrealisatie.nl/sites/default/files/2020-11/20201120%20GIBIT%202020%20Artikel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1136</Words>
  <Characters>6252</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2020</dc:title>
  <dc:subject/>
  <dc:creator>Lucassen, Joost</dc:creator>
  <dc:description/>
  <cp:lastModifiedBy>Lucassen, Joost</cp:lastModifiedBy>
  <cp:revision>3</cp:revision>
  <dcterms:created xsi:type="dcterms:W3CDTF">2021-05-06T14:49:00Z</dcterms:created>
  <dcterms:modified xsi:type="dcterms:W3CDTF">2021-05-07T07:11:00Z</dcterms:modified>
  <dc:language>en-US</dc:language>
</cp:coreProperties>
</file>