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7"/>
        <w:rPr>
          <w:rFonts w:ascii="Times New Roman"/>
        </w:rPr>
      </w:pPr>
      <w:r>
        <w:rPr>
          <w:rFonts w:ascii="Times New Roman"/>
        </w:rPr>
        <w:drawing>
          <wp:inline distT="0" distB="0" distL="0" distR="0">
            <wp:extent cx="1667824" cy="359473"/>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667824" cy="359473"/>
                    </a:xfrm>
                    <a:prstGeom prst="rect">
                      <a:avLst/>
                    </a:prstGeom>
                  </pic:spPr>
                </pic:pic>
              </a:graphicData>
            </a:graphic>
          </wp:inline>
        </w:drawing>
      </w:r>
      <w:r>
        <w:rPr>
          <w:rFonts w:ascii="Times New Roman"/>
        </w:rPr>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8"/>
        <w:rPr>
          <w:rFonts w:ascii="Times New Roman"/>
          <w:sz w:val="21"/>
        </w:rPr>
      </w:pPr>
    </w:p>
    <w:p>
      <w:pPr>
        <w:spacing w:before="89"/>
        <w:ind w:left="117" w:right="0" w:firstLine="0"/>
        <w:jc w:val="left"/>
        <w:rPr>
          <w:sz w:val="36"/>
        </w:rPr>
      </w:pPr>
      <w:r>
        <w:rPr>
          <w:sz w:val="36"/>
        </w:rPr>
        <w:t>Richtlijn</w:t>
      </w:r>
    </w:p>
    <w:p>
      <w:pPr>
        <w:pStyle w:val="BodyText"/>
        <w:spacing w:before="7"/>
        <w:rPr>
          <w:sz w:val="36"/>
        </w:rPr>
      </w:pPr>
    </w:p>
    <w:p>
      <w:pPr>
        <w:pStyle w:val="Heading1"/>
        <w:spacing w:line="249" w:lineRule="auto"/>
      </w:pPr>
      <w:r>
        <w:rPr/>
        <w:t>EMC-eisen aan apparatuur nabij alle geëlektrificeerde en niet- geëlektrificeerde baanvakken in beheer bij ProRail</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tabs>
          <w:tab w:pos="3518" w:val="left" w:leader="none"/>
        </w:tabs>
        <w:spacing w:line="160" w:lineRule="exact" w:before="251"/>
        <w:ind w:left="117" w:right="3750" w:firstLine="0"/>
        <w:jc w:val="left"/>
        <w:rPr>
          <w:sz w:val="16"/>
        </w:rPr>
      </w:pPr>
      <w:r>
        <w:rPr>
          <w:sz w:val="16"/>
        </w:rPr>
        <w:t>Beherende instantie:</w:t>
        <w:tab/>
        <w:t>AM Architectuur en Techniek Inhoudverantwoordelijke instantie:</w:t>
        <w:tab/>
        <w:t>A en T Energievoorziening Status:</w:t>
        <w:tab/>
        <w:t>definitief</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23"/>
        </w:rPr>
      </w:pPr>
    </w:p>
    <w:tbl>
      <w:tblPr>
        <w:tblW w:w="0" w:type="auto"/>
        <w:jc w:val="left"/>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24"/>
        <w:gridCol w:w="3024"/>
        <w:gridCol w:w="3024"/>
      </w:tblGrid>
      <w:tr>
        <w:trPr>
          <w:trHeight w:val="493" w:hRule="exact"/>
        </w:trPr>
        <w:tc>
          <w:tcPr>
            <w:tcW w:w="3024" w:type="dxa"/>
          </w:tcPr>
          <w:p>
            <w:pPr>
              <w:pStyle w:val="TableParagraph"/>
              <w:spacing w:line="193" w:lineRule="exact" w:before="24"/>
              <w:ind w:left="901" w:right="901"/>
              <w:jc w:val="center"/>
              <w:rPr>
                <w:sz w:val="18"/>
              </w:rPr>
            </w:pPr>
            <w:r>
              <w:rPr>
                <w:sz w:val="18"/>
              </w:rPr>
              <w:t>Uitgavedatum:</w:t>
            </w:r>
          </w:p>
          <w:p>
            <w:pPr>
              <w:pStyle w:val="TableParagraph"/>
              <w:spacing w:line="193" w:lineRule="exact"/>
              <w:ind w:left="901" w:right="901"/>
              <w:jc w:val="center"/>
              <w:rPr>
                <w:b/>
                <w:sz w:val="18"/>
              </w:rPr>
            </w:pPr>
            <w:r>
              <w:rPr>
                <w:b/>
                <w:sz w:val="18"/>
              </w:rPr>
              <w:t>1-6-2017</w:t>
            </w:r>
          </w:p>
        </w:tc>
        <w:tc>
          <w:tcPr>
            <w:tcW w:w="3024" w:type="dxa"/>
            <w:tcBorders>
              <w:right w:val="single" w:sz="4" w:space="0" w:color="000000"/>
            </w:tcBorders>
          </w:tcPr>
          <w:p>
            <w:pPr>
              <w:pStyle w:val="TableParagraph"/>
              <w:spacing w:line="193" w:lineRule="exact" w:before="24"/>
              <w:ind w:left="714" w:right="716"/>
              <w:jc w:val="center"/>
              <w:rPr>
                <w:sz w:val="18"/>
              </w:rPr>
            </w:pPr>
            <w:r>
              <w:rPr>
                <w:sz w:val="18"/>
              </w:rPr>
              <w:t>Versie:</w:t>
            </w:r>
          </w:p>
          <w:p>
            <w:pPr>
              <w:pStyle w:val="TableParagraph"/>
              <w:spacing w:line="193" w:lineRule="exact"/>
              <w:ind w:left="714" w:right="716"/>
              <w:jc w:val="center"/>
              <w:rPr>
                <w:b/>
                <w:sz w:val="18"/>
              </w:rPr>
            </w:pPr>
            <w:r>
              <w:rPr>
                <w:b/>
                <w:sz w:val="18"/>
              </w:rPr>
              <w:t>006</w:t>
            </w:r>
          </w:p>
        </w:tc>
        <w:tc>
          <w:tcPr>
            <w:tcW w:w="3024" w:type="dxa"/>
            <w:tcBorders>
              <w:left w:val="single" w:sz="4" w:space="0" w:color="000000"/>
            </w:tcBorders>
          </w:tcPr>
          <w:p>
            <w:pPr>
              <w:pStyle w:val="TableParagraph"/>
              <w:spacing w:line="193" w:lineRule="exact" w:before="24"/>
              <w:ind w:left="721" w:right="716"/>
              <w:jc w:val="center"/>
              <w:rPr>
                <w:sz w:val="18"/>
              </w:rPr>
            </w:pPr>
            <w:r>
              <w:rPr>
                <w:sz w:val="18"/>
              </w:rPr>
              <w:t>Documentnummer:</w:t>
            </w:r>
          </w:p>
          <w:p>
            <w:pPr>
              <w:pStyle w:val="TableParagraph"/>
              <w:spacing w:line="193" w:lineRule="exact"/>
              <w:ind w:left="721" w:right="716"/>
              <w:jc w:val="center"/>
              <w:rPr>
                <w:b/>
                <w:sz w:val="18"/>
              </w:rPr>
            </w:pPr>
            <w:r>
              <w:rPr>
                <w:b/>
                <w:sz w:val="18"/>
              </w:rPr>
              <w:t>RLN00007</w:t>
            </w:r>
          </w:p>
        </w:tc>
      </w:tr>
    </w:tbl>
    <w:p>
      <w:pPr>
        <w:pStyle w:val="BodyText"/>
        <w:spacing w:before="9"/>
        <w:rPr>
          <w:sz w:val="8"/>
        </w:rPr>
      </w:pPr>
    </w:p>
    <w:p>
      <w:pPr>
        <w:spacing w:after="0"/>
        <w:rPr>
          <w:sz w:val="8"/>
        </w:rPr>
        <w:sectPr>
          <w:type w:val="continuous"/>
          <w:pgSz w:w="11910" w:h="16840"/>
          <w:pgMar w:top="1580" w:bottom="280" w:left="1300" w:right="1280"/>
        </w:sectPr>
      </w:pPr>
    </w:p>
    <w:p>
      <w:pPr>
        <w:pStyle w:val="BodyText"/>
        <w:spacing w:before="7"/>
        <w:rPr>
          <w:sz w:val="9"/>
        </w:rPr>
      </w:pPr>
    </w:p>
    <w:p>
      <w:pPr>
        <w:spacing w:line="100" w:lineRule="exact" w:before="1"/>
        <w:ind w:left="117" w:right="-20" w:firstLine="0"/>
        <w:jc w:val="left"/>
        <w:rPr>
          <w:sz w:val="10"/>
        </w:rPr>
      </w:pPr>
      <w:r>
        <w:rPr>
          <w:sz w:val="10"/>
        </w:rPr>
        <w:t>© Behoudens de in of krachtens de Auteurswet 1912 gestelde uitzonderingen mag niets uit deze uitgave worden verveelvoudigd en/of openbaar gemaakt door middel van druk, fotokopie, microfilm of op welke andere wijze dan ook, zonder de voorafgaande schriftelijke toestemming van de auteur.</w:t>
      </w:r>
    </w:p>
    <w:p>
      <w:pPr>
        <w:pStyle w:val="BodyText"/>
        <w:spacing w:before="7"/>
        <w:rPr>
          <w:sz w:val="9"/>
        </w:rPr>
      </w:pPr>
      <w:r>
        <w:rPr/>
        <w:br w:type="column"/>
      </w:r>
      <w:r>
        <w:rPr>
          <w:sz w:val="9"/>
        </w:rPr>
      </w:r>
    </w:p>
    <w:p>
      <w:pPr>
        <w:spacing w:line="100" w:lineRule="exact" w:before="1"/>
        <w:ind w:left="117" w:right="275" w:firstLine="0"/>
        <w:jc w:val="left"/>
        <w:rPr>
          <w:sz w:val="10"/>
        </w:rPr>
      </w:pPr>
      <w:r>
        <w:rPr>
          <w:sz w:val="10"/>
        </w:rPr>
        <w:t>© Apart from the exceptions in or by virtue of the 1912 copyright law no part of this document may be reproduced or published by print, photocopying, microfilm or any other means without written permission from the author.</w:t>
      </w:r>
    </w:p>
    <w:p>
      <w:pPr>
        <w:spacing w:after="0" w:line="100" w:lineRule="exact"/>
        <w:jc w:val="left"/>
        <w:rPr>
          <w:sz w:val="10"/>
        </w:rPr>
        <w:sectPr>
          <w:type w:val="continuous"/>
          <w:pgSz w:w="11910" w:h="16840"/>
          <w:pgMar w:top="1580" w:bottom="280" w:left="1300" w:right="1280"/>
          <w:cols w:num="2" w:equalWidth="0">
            <w:col w:w="4526" w:space="66"/>
            <w:col w:w="4738"/>
          </w:cols>
        </w:sectPr>
      </w:pPr>
    </w:p>
    <w:p>
      <w:pPr>
        <w:pStyle w:val="BodyText"/>
        <w:ind w:left="115"/>
      </w:pPr>
      <w:r>
        <w:rPr/>
        <w:pict>
          <v:group style="width:454.8pt;height:17.4pt;mso-position-horizontal-relative:char;mso-position-vertical-relative:line" coordorigin="0,0" coordsize="9096,348">
            <v:line style="position:absolute" from="5,343" to="3029,343" stroked="true" strokeweight=".5pt" strokecolor="#000000">
              <v:stroke dashstyle="solid"/>
            </v:line>
            <v:shape style="position:absolute;left:5;top:0;width:1154;height:283" type="#_x0000_t75" stroked="false">
              <v:imagedata r:id="rId8" o:title=""/>
            </v:shape>
            <v:line style="position:absolute" from="3029,343" to="6052,343" stroked="true" strokeweight=".5pt" strokecolor="#000000">
              <v:stroke dashstyle="solid"/>
            </v:line>
            <v:line style="position:absolute" from="6052,343" to="9076,343" stroked="true" strokeweight=".5pt" strokecolor="#000000">
              <v:stroke dashstyle="solid"/>
            </v:line>
            <v:shape style="position:absolute;left:8302;top:139;width:794;height:179" type="#_x0000_t202" filled="false" stroked="false">
              <v:textbox inset="0,0,0,0">
                <w:txbxContent>
                  <w:p>
                    <w:pPr>
                      <w:spacing w:line="179" w:lineRule="exact" w:before="0"/>
                      <w:ind w:left="0" w:right="0" w:firstLine="0"/>
                      <w:jc w:val="left"/>
                      <w:rPr>
                        <w:b/>
                        <w:sz w:val="16"/>
                      </w:rPr>
                    </w:pPr>
                    <w:r>
                      <w:rPr>
                        <w:b/>
                        <w:sz w:val="16"/>
                      </w:rPr>
                      <w:t>RLN00007</w:t>
                    </w:r>
                  </w:p>
                </w:txbxContent>
              </v:textbox>
              <w10:wrap type="none"/>
            </v:shape>
          </v:group>
        </w:pict>
      </w:r>
      <w:r>
        <w:rPr/>
      </w:r>
    </w:p>
    <w:p>
      <w:pPr>
        <w:pStyle w:val="BodyText"/>
        <w:spacing w:before="11"/>
        <w:rPr>
          <w:sz w:val="27"/>
        </w:rPr>
      </w:pPr>
    </w:p>
    <w:p>
      <w:pPr>
        <w:pStyle w:val="Heading1"/>
        <w:spacing w:before="91"/>
        <w:ind w:left="829"/>
      </w:pPr>
      <w:r>
        <w:rPr/>
        <w:t>Inhoud</w:t>
      </w:r>
    </w:p>
    <w:sdt>
      <w:sdtPr>
        <w:docPartObj>
          <w:docPartGallery w:val="Table of Contents"/>
          <w:docPartUnique/>
        </w:docPartObj>
      </w:sdtPr>
      <w:sdtEndPr/>
      <w:sdtContent>
        <w:p>
          <w:pPr>
            <w:pStyle w:val="TOC1"/>
            <w:numPr>
              <w:ilvl w:val="0"/>
              <w:numId w:val="1"/>
            </w:numPr>
            <w:tabs>
              <w:tab w:pos="1098" w:val="left" w:leader="none"/>
              <w:tab w:pos="9126" w:val="left" w:leader="dot"/>
            </w:tabs>
            <w:spacing w:line="240" w:lineRule="auto" w:before="220" w:after="0"/>
            <w:ind w:left="1097" w:right="0" w:hanging="268"/>
            <w:jc w:val="left"/>
          </w:pPr>
          <w:hyperlink w:history="true" w:anchor="_bookmark0">
            <w:r>
              <w:rPr>
                <w:color w:val="000077"/>
              </w:rPr>
              <w:t>Inleiding</w:t>
            </w:r>
          </w:hyperlink>
          <w:r>
            <w:rPr>
              <w:rFonts w:ascii="Times New Roman"/>
              <w:b w:val="0"/>
              <w:color w:val="000077"/>
            </w:rPr>
            <w:tab/>
          </w:r>
          <w:r>
            <w:rPr>
              <w:color w:val="000077"/>
            </w:rPr>
            <w:t>2</w:t>
          </w:r>
        </w:p>
        <w:p>
          <w:pPr>
            <w:pStyle w:val="TOC2"/>
            <w:numPr>
              <w:ilvl w:val="1"/>
              <w:numId w:val="1"/>
            </w:numPr>
            <w:tabs>
              <w:tab w:pos="1486" w:val="left" w:leader="none"/>
              <w:tab w:pos="9120" w:val="left" w:leader="dot"/>
            </w:tabs>
            <w:spacing w:line="240" w:lineRule="auto" w:before="69" w:after="0"/>
            <w:ind w:left="1485" w:right="0" w:hanging="429"/>
            <w:jc w:val="left"/>
          </w:pPr>
          <w:hyperlink w:history="true" w:anchor="_bookmark1">
            <w:r>
              <w:rPr>
                <w:color w:val="000077"/>
              </w:rPr>
              <w:t>Het</w:t>
            </w:r>
            <w:r>
              <w:rPr>
                <w:color w:val="000077"/>
                <w:spacing w:val="19"/>
              </w:rPr>
              <w:t> </w:t>
            </w:r>
            <w:r>
              <w:rPr>
                <w:color w:val="000077"/>
              </w:rPr>
              <w:t>begrip</w:t>
            </w:r>
            <w:r>
              <w:rPr>
                <w:color w:val="000077"/>
                <w:spacing w:val="19"/>
              </w:rPr>
              <w:t> </w:t>
            </w:r>
            <w:r>
              <w:rPr>
                <w:color w:val="000077"/>
              </w:rPr>
              <w:t>EMC</w:t>
            </w:r>
          </w:hyperlink>
          <w:r>
            <w:rPr>
              <w:rFonts w:ascii="Times New Roman"/>
              <w:color w:val="000077"/>
            </w:rPr>
            <w:tab/>
          </w:r>
          <w:r>
            <w:rPr>
              <w:color w:val="000077"/>
            </w:rPr>
            <w:t>2</w:t>
          </w:r>
        </w:p>
        <w:p>
          <w:pPr>
            <w:pStyle w:val="TOC2"/>
            <w:numPr>
              <w:ilvl w:val="1"/>
              <w:numId w:val="1"/>
            </w:numPr>
            <w:tabs>
              <w:tab w:pos="1492" w:val="left" w:leader="none"/>
              <w:tab w:pos="9126" w:val="left" w:leader="dot"/>
            </w:tabs>
            <w:spacing w:line="240" w:lineRule="auto" w:before="69" w:after="0"/>
            <w:ind w:left="1491" w:right="0" w:hanging="435"/>
            <w:jc w:val="left"/>
          </w:pPr>
          <w:hyperlink w:history="true" w:anchor="_bookmark2">
            <w:r>
              <w:rPr>
                <w:color w:val="000077"/>
              </w:rPr>
              <w:t>Inhoud</w:t>
            </w:r>
          </w:hyperlink>
          <w:r>
            <w:rPr>
              <w:rFonts w:ascii="Times New Roman"/>
              <w:color w:val="000077"/>
            </w:rPr>
            <w:tab/>
          </w:r>
          <w:r>
            <w:rPr>
              <w:color w:val="000077"/>
            </w:rPr>
            <w:t>2</w:t>
          </w:r>
        </w:p>
        <w:p>
          <w:pPr>
            <w:pStyle w:val="TOC1"/>
            <w:numPr>
              <w:ilvl w:val="0"/>
              <w:numId w:val="1"/>
            </w:numPr>
            <w:tabs>
              <w:tab w:pos="1077" w:val="left" w:leader="none"/>
              <w:tab w:pos="9104" w:val="left" w:leader="dot"/>
            </w:tabs>
            <w:spacing w:line="240" w:lineRule="auto" w:before="209" w:after="0"/>
            <w:ind w:left="1076" w:right="0" w:hanging="247"/>
            <w:jc w:val="left"/>
          </w:pPr>
          <w:hyperlink w:history="true" w:anchor="_bookmark3">
            <w:r>
              <w:rPr>
                <w:color w:val="000077"/>
              </w:rPr>
              <w:t>De EMC-regelgeving en het</w:t>
            </w:r>
            <w:r>
              <w:rPr>
                <w:color w:val="000077"/>
                <w:spacing w:val="45"/>
              </w:rPr>
              <w:t> </w:t>
            </w:r>
            <w:r>
              <w:rPr>
                <w:color w:val="000077"/>
              </w:rPr>
              <w:t>ProRail</w:t>
            </w:r>
            <w:r>
              <w:rPr>
                <w:color w:val="000077"/>
                <w:spacing w:val="11"/>
              </w:rPr>
              <w:t> </w:t>
            </w:r>
            <w:r>
              <w:rPr>
                <w:color w:val="000077"/>
              </w:rPr>
              <w:t>beleid</w:t>
            </w:r>
          </w:hyperlink>
          <w:r>
            <w:rPr>
              <w:rFonts w:ascii="Times New Roman"/>
              <w:b w:val="0"/>
              <w:color w:val="000077"/>
            </w:rPr>
            <w:tab/>
          </w:r>
          <w:r>
            <w:rPr>
              <w:color w:val="000077"/>
            </w:rPr>
            <w:t>3</w:t>
          </w:r>
        </w:p>
        <w:p>
          <w:pPr>
            <w:pStyle w:val="TOC2"/>
            <w:numPr>
              <w:ilvl w:val="1"/>
              <w:numId w:val="1"/>
            </w:numPr>
            <w:tabs>
              <w:tab w:pos="1463" w:val="left" w:leader="none"/>
              <w:tab w:pos="9097" w:val="left" w:leader="dot"/>
            </w:tabs>
            <w:spacing w:line="240" w:lineRule="auto" w:before="69" w:after="0"/>
            <w:ind w:left="1462" w:right="0" w:hanging="406"/>
            <w:jc w:val="left"/>
          </w:pPr>
          <w:hyperlink w:history="true" w:anchor="_bookmark4">
            <w:r>
              <w:rPr>
                <w:color w:val="000077"/>
              </w:rPr>
              <w:t>De wettelijke grondslag en de</w:t>
            </w:r>
            <w:r>
              <w:rPr>
                <w:color w:val="000077"/>
                <w:spacing w:val="38"/>
              </w:rPr>
              <w:t> </w:t>
            </w:r>
            <w:r>
              <w:rPr>
                <w:color w:val="000077"/>
              </w:rPr>
              <w:t>Europese</w:t>
            </w:r>
            <w:r>
              <w:rPr>
                <w:color w:val="000077"/>
                <w:spacing w:val="7"/>
              </w:rPr>
              <w:t> </w:t>
            </w:r>
            <w:r>
              <w:rPr>
                <w:color w:val="000077"/>
              </w:rPr>
              <w:t>EMC-richtlijn</w:t>
            </w:r>
          </w:hyperlink>
          <w:r>
            <w:rPr>
              <w:rFonts w:ascii="Times New Roman"/>
              <w:color w:val="000077"/>
            </w:rPr>
            <w:tab/>
          </w:r>
          <w:r>
            <w:rPr>
              <w:color w:val="000077"/>
            </w:rPr>
            <w:t>3</w:t>
          </w:r>
        </w:p>
        <w:p>
          <w:pPr>
            <w:pStyle w:val="TOC2"/>
            <w:numPr>
              <w:ilvl w:val="1"/>
              <w:numId w:val="1"/>
            </w:numPr>
            <w:tabs>
              <w:tab w:pos="1474" w:val="left" w:leader="none"/>
              <w:tab w:pos="9109" w:val="left" w:leader="dot"/>
            </w:tabs>
            <w:spacing w:line="240" w:lineRule="auto" w:before="69" w:after="0"/>
            <w:ind w:left="1473" w:right="0" w:hanging="417"/>
            <w:jc w:val="left"/>
          </w:pPr>
          <w:hyperlink w:history="true" w:anchor="_bookmark5">
            <w:r>
              <w:rPr>
                <w:color w:val="000077"/>
              </w:rPr>
              <w:t>Toepassingsgebied</w:t>
            </w:r>
            <w:r>
              <w:rPr>
                <w:color w:val="000077"/>
                <w:spacing w:val="7"/>
              </w:rPr>
              <w:t> </w:t>
            </w:r>
            <w:r>
              <w:rPr>
                <w:color w:val="000077"/>
              </w:rPr>
              <w:t>van</w:t>
            </w:r>
            <w:r>
              <w:rPr>
                <w:color w:val="000077"/>
                <w:spacing w:val="7"/>
              </w:rPr>
              <w:t> </w:t>
            </w:r>
            <w:r>
              <w:rPr>
                <w:color w:val="000077"/>
              </w:rPr>
              <w:t>RLN00007</w:t>
            </w:r>
          </w:hyperlink>
          <w:r>
            <w:rPr>
              <w:rFonts w:ascii="Times New Roman"/>
              <w:color w:val="000077"/>
            </w:rPr>
            <w:tab/>
          </w:r>
          <w:r>
            <w:rPr>
              <w:color w:val="000077"/>
            </w:rPr>
            <w:t>3</w:t>
          </w:r>
        </w:p>
        <w:p>
          <w:pPr>
            <w:pStyle w:val="TOC2"/>
            <w:numPr>
              <w:ilvl w:val="1"/>
              <w:numId w:val="1"/>
            </w:numPr>
            <w:tabs>
              <w:tab w:pos="1457" w:val="left" w:leader="none"/>
              <w:tab w:pos="9091" w:val="left" w:leader="dot"/>
            </w:tabs>
            <w:spacing w:line="240" w:lineRule="auto" w:before="69" w:after="0"/>
            <w:ind w:left="1456" w:right="0" w:hanging="400"/>
            <w:jc w:val="left"/>
          </w:pPr>
          <w:hyperlink w:history="true" w:anchor="_bookmark6">
            <w:r>
              <w:rPr>
                <w:color w:val="000077"/>
              </w:rPr>
              <w:t>Toelichting op de globale inhoud van de</w:t>
            </w:r>
            <w:r>
              <w:rPr>
                <w:color w:val="000077"/>
                <w:spacing w:val="17"/>
              </w:rPr>
              <w:t> </w:t>
            </w:r>
            <w:r>
              <w:rPr>
                <w:color w:val="000077"/>
              </w:rPr>
              <w:t>Europese</w:t>
            </w:r>
            <w:r>
              <w:rPr>
                <w:color w:val="000077"/>
                <w:spacing w:val="2"/>
              </w:rPr>
              <w:t> </w:t>
            </w:r>
            <w:r>
              <w:rPr>
                <w:color w:val="000077"/>
              </w:rPr>
              <w:t>EMC-richtlijn</w:t>
            </w:r>
          </w:hyperlink>
          <w:r>
            <w:rPr>
              <w:rFonts w:ascii="Times New Roman"/>
              <w:color w:val="000077"/>
            </w:rPr>
            <w:tab/>
          </w:r>
          <w:r>
            <w:rPr>
              <w:color w:val="000077"/>
            </w:rPr>
            <w:t>3</w:t>
          </w:r>
        </w:p>
        <w:p>
          <w:pPr>
            <w:pStyle w:val="TOC2"/>
            <w:numPr>
              <w:ilvl w:val="1"/>
              <w:numId w:val="1"/>
            </w:numPr>
            <w:tabs>
              <w:tab w:pos="1445" w:val="left" w:leader="none"/>
            </w:tabs>
            <w:spacing w:line="240" w:lineRule="auto" w:before="69" w:after="0"/>
            <w:ind w:left="1444" w:right="0" w:hanging="388"/>
            <w:jc w:val="left"/>
          </w:pPr>
          <w:hyperlink w:history="true" w:anchor="_bookmark7">
            <w:r>
              <w:rPr>
                <w:color w:val="000077"/>
              </w:rPr>
              <w:t>Het voldoen aan de EMC-richtlijn door middel van geharmoniseerde</w:t>
            </w:r>
            <w:r>
              <w:rPr>
                <w:color w:val="000077"/>
                <w:spacing w:val="-12"/>
              </w:rPr>
              <w:t> </w:t>
            </w:r>
            <w:r>
              <w:rPr>
                <w:color w:val="000077"/>
              </w:rPr>
              <w:t>EMC-normen</w:t>
            </w:r>
          </w:hyperlink>
        </w:p>
        <w:p>
          <w:pPr>
            <w:pStyle w:val="TOC2"/>
            <w:spacing w:before="9"/>
          </w:pPr>
          <w:r>
            <w:rPr>
              <w:color w:val="000077"/>
            </w:rPr>
            <w:t>............................................................................................................................................... 4</w:t>
          </w:r>
        </w:p>
        <w:p>
          <w:pPr>
            <w:pStyle w:val="TOC1"/>
            <w:numPr>
              <w:ilvl w:val="0"/>
              <w:numId w:val="1"/>
            </w:numPr>
            <w:tabs>
              <w:tab w:pos="1097" w:val="left" w:leader="none"/>
              <w:tab w:pos="9125" w:val="left" w:leader="dot"/>
            </w:tabs>
            <w:spacing w:line="240" w:lineRule="auto" w:before="209" w:after="0"/>
            <w:ind w:left="1096" w:right="0" w:hanging="267"/>
            <w:jc w:val="left"/>
          </w:pPr>
          <w:hyperlink w:history="true" w:anchor="_bookmark8">
            <w:r>
              <w:rPr>
                <w:color w:val="000077"/>
              </w:rPr>
              <w:t>EMC-eisen</w:t>
            </w:r>
          </w:hyperlink>
          <w:r>
            <w:rPr>
              <w:rFonts w:ascii="Times New Roman"/>
              <w:b w:val="0"/>
              <w:color w:val="000077"/>
            </w:rPr>
            <w:tab/>
          </w:r>
          <w:r>
            <w:rPr>
              <w:color w:val="000077"/>
            </w:rPr>
            <w:t>5</w:t>
          </w:r>
        </w:p>
        <w:p>
          <w:pPr>
            <w:pStyle w:val="TOC2"/>
            <w:numPr>
              <w:ilvl w:val="1"/>
              <w:numId w:val="1"/>
            </w:numPr>
            <w:tabs>
              <w:tab w:pos="1482" w:val="left" w:leader="none"/>
              <w:tab w:pos="9117" w:val="left" w:leader="dot"/>
            </w:tabs>
            <w:spacing w:line="240" w:lineRule="auto" w:before="69" w:after="0"/>
            <w:ind w:left="1481" w:right="0" w:hanging="425"/>
            <w:jc w:val="left"/>
          </w:pPr>
          <w:hyperlink w:history="true" w:anchor="_bookmark9">
            <w:r>
              <w:rPr>
                <w:color w:val="000077"/>
              </w:rPr>
              <w:t>Algemene</w:t>
            </w:r>
            <w:r>
              <w:rPr>
                <w:color w:val="000077"/>
                <w:spacing w:val="17"/>
              </w:rPr>
              <w:t> </w:t>
            </w:r>
            <w:r>
              <w:rPr>
                <w:color w:val="000077"/>
              </w:rPr>
              <w:t>EMC-eisen</w:t>
            </w:r>
          </w:hyperlink>
          <w:r>
            <w:rPr>
              <w:rFonts w:ascii="Times New Roman"/>
              <w:color w:val="000077"/>
            </w:rPr>
            <w:tab/>
          </w:r>
          <w:r>
            <w:rPr>
              <w:color w:val="000077"/>
            </w:rPr>
            <w:t>5</w:t>
          </w:r>
        </w:p>
        <w:p>
          <w:pPr>
            <w:pStyle w:val="TOC2"/>
            <w:numPr>
              <w:ilvl w:val="1"/>
              <w:numId w:val="1"/>
            </w:numPr>
            <w:tabs>
              <w:tab w:pos="1476" w:val="left" w:leader="none"/>
              <w:tab w:pos="9111" w:val="left" w:leader="dot"/>
            </w:tabs>
            <w:spacing w:line="240" w:lineRule="auto" w:before="69" w:after="0"/>
            <w:ind w:left="1475" w:right="0" w:hanging="419"/>
            <w:jc w:val="left"/>
          </w:pPr>
          <w:hyperlink w:history="true" w:anchor="_bookmark10">
            <w:r>
              <w:rPr>
                <w:color w:val="000077"/>
              </w:rPr>
              <w:t>Spoorwegspecifieke</w:t>
            </w:r>
            <w:r>
              <w:rPr>
                <w:color w:val="000077"/>
                <w:spacing w:val="14"/>
              </w:rPr>
              <w:t> </w:t>
            </w:r>
            <w:r>
              <w:rPr>
                <w:color w:val="000077"/>
              </w:rPr>
              <w:t>EMC-eisen</w:t>
            </w:r>
          </w:hyperlink>
          <w:r>
            <w:rPr>
              <w:rFonts w:ascii="Times New Roman"/>
              <w:color w:val="000077"/>
            </w:rPr>
            <w:tab/>
          </w:r>
          <w:r>
            <w:rPr>
              <w:color w:val="000077"/>
            </w:rPr>
            <w:t>5</w:t>
          </w:r>
        </w:p>
        <w:p>
          <w:pPr>
            <w:pStyle w:val="TOC1"/>
            <w:numPr>
              <w:ilvl w:val="0"/>
              <w:numId w:val="1"/>
            </w:numPr>
            <w:tabs>
              <w:tab w:pos="1088" w:val="left" w:leader="none"/>
              <w:tab w:pos="9116" w:val="left" w:leader="dot"/>
            </w:tabs>
            <w:spacing w:line="240" w:lineRule="auto" w:before="209" w:after="0"/>
            <w:ind w:left="1087" w:right="0" w:hanging="258"/>
            <w:jc w:val="left"/>
          </w:pPr>
          <w:hyperlink w:history="true" w:anchor="_bookmark11">
            <w:r>
              <w:rPr>
                <w:color w:val="000077"/>
              </w:rPr>
              <w:t>Aanvullende</w:t>
            </w:r>
            <w:r>
              <w:rPr>
                <w:color w:val="000077"/>
                <w:spacing w:val="17"/>
              </w:rPr>
              <w:t> </w:t>
            </w:r>
            <w:r>
              <w:rPr>
                <w:color w:val="000077"/>
              </w:rPr>
              <w:t>EMC-eisen</w:t>
            </w:r>
          </w:hyperlink>
          <w:r>
            <w:rPr>
              <w:rFonts w:ascii="Times New Roman"/>
              <w:b w:val="0"/>
              <w:color w:val="000077"/>
            </w:rPr>
            <w:tab/>
          </w:r>
          <w:r>
            <w:rPr>
              <w:color w:val="000077"/>
            </w:rPr>
            <w:t>6</w:t>
          </w:r>
        </w:p>
        <w:p>
          <w:pPr>
            <w:pStyle w:val="TOC2"/>
            <w:numPr>
              <w:ilvl w:val="1"/>
              <w:numId w:val="1"/>
            </w:numPr>
            <w:tabs>
              <w:tab w:pos="1473" w:val="left" w:leader="none"/>
              <w:tab w:pos="9108" w:val="left" w:leader="dot"/>
            </w:tabs>
            <w:spacing w:line="240" w:lineRule="auto" w:before="69" w:after="0"/>
            <w:ind w:left="1056" w:right="0" w:firstLine="0"/>
            <w:jc w:val="left"/>
          </w:pPr>
          <w:hyperlink w:history="true" w:anchor="_bookmark12">
            <w:r>
              <w:rPr>
                <w:color w:val="000077"/>
              </w:rPr>
              <w:t>Immuniteit van de Enclosure</w:t>
            </w:r>
            <w:r>
              <w:rPr>
                <w:color w:val="000077"/>
                <w:spacing w:val="51"/>
              </w:rPr>
              <w:t> </w:t>
            </w:r>
            <w:r>
              <w:rPr>
                <w:color w:val="000077"/>
              </w:rPr>
              <w:t>port</w:t>
            </w:r>
            <w:r>
              <w:rPr>
                <w:color w:val="000077"/>
                <w:spacing w:val="12"/>
              </w:rPr>
              <w:t> </w:t>
            </w:r>
            <w:r>
              <w:rPr>
                <w:color w:val="000077"/>
              </w:rPr>
              <w:t>(1)</w:t>
            </w:r>
          </w:hyperlink>
          <w:r>
            <w:rPr>
              <w:rFonts w:ascii="Times New Roman"/>
              <w:color w:val="000077"/>
            </w:rPr>
            <w:tab/>
          </w:r>
          <w:r>
            <w:rPr>
              <w:color w:val="000077"/>
            </w:rPr>
            <w:t>6</w:t>
          </w:r>
        </w:p>
        <w:p>
          <w:pPr>
            <w:pStyle w:val="TOC2"/>
            <w:numPr>
              <w:ilvl w:val="1"/>
              <w:numId w:val="1"/>
            </w:numPr>
            <w:tabs>
              <w:tab w:pos="1540" w:val="left" w:leader="none"/>
              <w:tab w:pos="1542" w:val="left" w:leader="none"/>
              <w:tab w:pos="9093" w:val="left" w:leader="dot"/>
            </w:tabs>
            <w:spacing w:line="240" w:lineRule="auto" w:before="69" w:after="0"/>
            <w:ind w:left="1541" w:right="0" w:hanging="485"/>
            <w:jc w:val="left"/>
          </w:pPr>
          <w:hyperlink w:history="true" w:anchor="_bookmark13">
            <w:r>
              <w:rPr>
                <w:color w:val="000077"/>
              </w:rPr>
              <w:t>Immuniteit van de Enclosure</w:t>
            </w:r>
            <w:r>
              <w:rPr>
                <w:color w:val="000077"/>
                <w:spacing w:val="51"/>
              </w:rPr>
              <w:t> </w:t>
            </w:r>
            <w:r>
              <w:rPr>
                <w:color w:val="000077"/>
              </w:rPr>
              <w:t>port</w:t>
            </w:r>
            <w:r>
              <w:rPr>
                <w:color w:val="000077"/>
                <w:spacing w:val="12"/>
              </w:rPr>
              <w:t> </w:t>
            </w:r>
            <w:r>
              <w:rPr>
                <w:color w:val="000077"/>
              </w:rPr>
              <w:t>(2)</w:t>
            </w:r>
          </w:hyperlink>
          <w:r>
            <w:rPr>
              <w:rFonts w:ascii="Times New Roman"/>
              <w:color w:val="000077"/>
            </w:rPr>
            <w:tab/>
          </w:r>
          <w:r>
            <w:rPr>
              <w:color w:val="000077"/>
            </w:rPr>
            <w:t>6</w:t>
          </w:r>
        </w:p>
        <w:p>
          <w:pPr>
            <w:pStyle w:val="TOC2"/>
            <w:numPr>
              <w:ilvl w:val="1"/>
              <w:numId w:val="1"/>
            </w:numPr>
            <w:tabs>
              <w:tab w:pos="1501" w:val="left" w:leader="none"/>
            </w:tabs>
            <w:spacing w:line="240" w:lineRule="auto" w:before="69" w:after="0"/>
            <w:ind w:left="1500" w:right="0" w:hanging="444"/>
            <w:jc w:val="left"/>
          </w:pPr>
          <w:hyperlink w:history="true" w:anchor="_bookmark14">
            <w:r>
              <w:rPr>
                <w:color w:val="000077"/>
              </w:rPr>
              <w:t>Immuniteitsniveau voor Fast transients van I/O-ports, DC-power ports, AC-power</w:t>
            </w:r>
            <w:r>
              <w:rPr>
                <w:color w:val="000077"/>
                <w:spacing w:val="-13"/>
              </w:rPr>
              <w:t> </w:t>
            </w:r>
            <w:r>
              <w:rPr>
                <w:color w:val="000077"/>
              </w:rPr>
              <w:t>ports</w:t>
            </w:r>
          </w:hyperlink>
        </w:p>
        <w:p>
          <w:pPr>
            <w:pStyle w:val="TOC2"/>
            <w:spacing w:before="9"/>
          </w:pPr>
          <w:r>
            <w:rPr>
              <w:color w:val="000077"/>
            </w:rPr>
            <w:t>............................................................................................................................................... 6</w:t>
          </w:r>
        </w:p>
        <w:p>
          <w:pPr>
            <w:pStyle w:val="TOC2"/>
            <w:numPr>
              <w:ilvl w:val="1"/>
              <w:numId w:val="1"/>
            </w:numPr>
            <w:tabs>
              <w:tab w:pos="1447" w:val="left" w:leader="none"/>
              <w:tab w:pos="9093" w:val="left" w:leader="dot"/>
            </w:tabs>
            <w:spacing w:line="240" w:lineRule="auto" w:before="69" w:after="0"/>
            <w:ind w:left="1446" w:right="0" w:hanging="390"/>
            <w:jc w:val="left"/>
          </w:pPr>
          <w:hyperlink w:history="true" w:anchor="_bookmark15">
            <w:r>
              <w:rPr>
                <w:color w:val="000077"/>
              </w:rPr>
              <w:t>Immuniteitsniveau voor Surges van I/O-ports, DC-power ports,</w:t>
            </w:r>
            <w:r>
              <w:rPr>
                <w:color w:val="000077"/>
                <w:spacing w:val="-3"/>
              </w:rPr>
              <w:t> </w:t>
            </w:r>
            <w:r>
              <w:rPr>
                <w:color w:val="000077"/>
              </w:rPr>
              <w:t>AC-power</w:t>
            </w:r>
            <w:r>
              <w:rPr>
                <w:color w:val="000077"/>
                <w:spacing w:val="-1"/>
              </w:rPr>
              <w:t> </w:t>
            </w:r>
            <w:r>
              <w:rPr>
                <w:color w:val="000077"/>
              </w:rPr>
              <w:t>ports</w:t>
            </w:r>
          </w:hyperlink>
          <w:r>
            <w:rPr>
              <w:rFonts w:ascii="Times New Roman"/>
              <w:color w:val="000077"/>
            </w:rPr>
            <w:tab/>
          </w:r>
          <w:r>
            <w:rPr>
              <w:color w:val="000077"/>
            </w:rPr>
            <w:t>7</w:t>
          </w:r>
        </w:p>
        <w:p>
          <w:pPr>
            <w:pStyle w:val="TOC2"/>
            <w:numPr>
              <w:ilvl w:val="1"/>
              <w:numId w:val="1"/>
            </w:numPr>
            <w:tabs>
              <w:tab w:pos="1445" w:val="left" w:leader="none"/>
              <w:tab w:pos="9080" w:val="left" w:leader="dot"/>
            </w:tabs>
            <w:spacing w:line="249" w:lineRule="auto" w:before="69" w:after="0"/>
            <w:ind w:left="1056" w:right="151" w:firstLine="0"/>
            <w:jc w:val="left"/>
          </w:pPr>
          <w:hyperlink w:history="true" w:anchor="_bookmark16">
            <w:r>
              <w:rPr>
                <w:color w:val="000077"/>
              </w:rPr>
              <w:t>Immuniteit voor 50 Hz-beïnvloeding in de nabijheid van 25kV tractie-energievoorziening</w:t>
            </w:r>
          </w:hyperlink>
          <w:r>
            <w:rPr>
              <w:color w:val="000077"/>
            </w:rPr>
            <w:t> </w:t>
          </w:r>
          <w:hyperlink w:history="true" w:anchor="_bookmark16">
            <w:r>
              <w:rPr>
                <w:color w:val="000077"/>
              </w:rPr>
              <w:t>voor I/O-ports, DC-power ports,</w:t>
            </w:r>
            <w:r>
              <w:rPr>
                <w:color w:val="000077"/>
                <w:spacing w:val="42"/>
              </w:rPr>
              <w:t> </w:t>
            </w:r>
            <w:r>
              <w:rPr>
                <w:color w:val="000077"/>
              </w:rPr>
              <w:t>AC-power</w:t>
            </w:r>
            <w:r>
              <w:rPr>
                <w:color w:val="000077"/>
                <w:spacing w:val="10"/>
              </w:rPr>
              <w:t> </w:t>
            </w:r>
            <w:r>
              <w:rPr>
                <w:color w:val="000077"/>
              </w:rPr>
              <w:t>ports</w:t>
            </w:r>
          </w:hyperlink>
          <w:r>
            <w:rPr>
              <w:rFonts w:ascii="Times New Roman" w:hAnsi="Times New Roman"/>
              <w:color w:val="000077"/>
            </w:rPr>
            <w:tab/>
          </w:r>
          <w:r>
            <w:rPr>
              <w:color w:val="000077"/>
            </w:rPr>
            <w:t>7</w:t>
          </w:r>
        </w:p>
        <w:p>
          <w:pPr>
            <w:pStyle w:val="TOC1"/>
            <w:numPr>
              <w:ilvl w:val="0"/>
              <w:numId w:val="1"/>
            </w:numPr>
            <w:tabs>
              <w:tab w:pos="1079" w:val="left" w:leader="none"/>
              <w:tab w:pos="9107" w:val="left" w:leader="dot"/>
            </w:tabs>
            <w:spacing w:line="240" w:lineRule="auto" w:before="200" w:after="0"/>
            <w:ind w:left="1078" w:right="0" w:hanging="249"/>
            <w:jc w:val="left"/>
          </w:pPr>
          <w:hyperlink w:history="true" w:anchor="_bookmark17">
            <w:r>
              <w:rPr>
                <w:color w:val="000077"/>
              </w:rPr>
              <w:t>Aantonen dat aan de eisen </w:t>
            </w:r>
            <w:r>
              <w:rPr>
                <w:color w:val="000077"/>
                <w:spacing w:val="7"/>
              </w:rPr>
              <w:t> </w:t>
            </w:r>
            <w:r>
              <w:rPr>
                <w:color w:val="000077"/>
              </w:rPr>
              <w:t>is</w:t>
            </w:r>
            <w:r>
              <w:rPr>
                <w:color w:val="000077"/>
                <w:spacing w:val="12"/>
              </w:rPr>
              <w:t> </w:t>
            </w:r>
            <w:r>
              <w:rPr>
                <w:color w:val="000077"/>
              </w:rPr>
              <w:t>voldaan</w:t>
            </w:r>
          </w:hyperlink>
          <w:r>
            <w:rPr>
              <w:rFonts w:ascii="Times New Roman"/>
              <w:b w:val="0"/>
              <w:color w:val="000077"/>
            </w:rPr>
            <w:tab/>
          </w:r>
          <w:r>
            <w:rPr>
              <w:color w:val="000077"/>
            </w:rPr>
            <w:t>9</w:t>
          </w:r>
        </w:p>
        <w:p>
          <w:pPr>
            <w:pStyle w:val="TOC1"/>
            <w:numPr>
              <w:ilvl w:val="0"/>
              <w:numId w:val="1"/>
            </w:numPr>
            <w:tabs>
              <w:tab w:pos="1096" w:val="left" w:leader="none"/>
              <w:tab w:pos="9012" w:val="left" w:leader="dot"/>
            </w:tabs>
            <w:spacing w:line="240" w:lineRule="auto" w:before="209" w:after="0"/>
            <w:ind w:left="1095" w:right="0" w:hanging="266"/>
            <w:jc w:val="left"/>
          </w:pPr>
          <w:hyperlink w:history="true" w:anchor="_bookmark18">
            <w:r>
              <w:rPr>
                <w:color w:val="000077"/>
              </w:rPr>
              <w:t>Referenties</w:t>
            </w:r>
          </w:hyperlink>
          <w:r>
            <w:rPr>
              <w:rFonts w:ascii="Times New Roman"/>
              <w:b w:val="0"/>
              <w:color w:val="000077"/>
            </w:rPr>
            <w:tab/>
          </w:r>
          <w:r>
            <w:rPr>
              <w:color w:val="000077"/>
            </w:rPr>
            <w:t>10</w:t>
          </w:r>
        </w:p>
        <w:p>
          <w:pPr>
            <w:pStyle w:val="TOC2"/>
            <w:numPr>
              <w:ilvl w:val="1"/>
              <w:numId w:val="1"/>
            </w:numPr>
            <w:tabs>
              <w:tab w:pos="1490" w:val="left" w:leader="none"/>
              <w:tab w:pos="9014" w:val="left" w:leader="dot"/>
            </w:tabs>
            <w:spacing w:line="240" w:lineRule="auto" w:before="69" w:after="0"/>
            <w:ind w:left="1489" w:right="0" w:hanging="433"/>
            <w:jc w:val="left"/>
          </w:pPr>
          <w:hyperlink w:history="true" w:anchor="_bookmark19">
            <w:r>
              <w:rPr>
                <w:color w:val="000077"/>
              </w:rPr>
              <w:t>Normen</w:t>
            </w:r>
          </w:hyperlink>
          <w:r>
            <w:rPr>
              <w:rFonts w:ascii="Times New Roman"/>
              <w:color w:val="000077"/>
            </w:rPr>
            <w:tab/>
          </w:r>
          <w:r>
            <w:rPr>
              <w:color w:val="000077"/>
            </w:rPr>
            <w:t>10</w:t>
          </w:r>
        </w:p>
        <w:p>
          <w:pPr>
            <w:pStyle w:val="TOC2"/>
            <w:numPr>
              <w:ilvl w:val="1"/>
              <w:numId w:val="1"/>
            </w:numPr>
            <w:tabs>
              <w:tab w:pos="1478" w:val="left" w:leader="none"/>
              <w:tab w:pos="9001" w:val="left" w:leader="dot"/>
            </w:tabs>
            <w:spacing w:line="240" w:lineRule="auto" w:before="69" w:after="0"/>
            <w:ind w:left="1477" w:right="0" w:hanging="421"/>
            <w:jc w:val="left"/>
          </w:pPr>
          <w:hyperlink w:history="true" w:anchor="_bookmark20">
            <w:r>
              <w:rPr>
                <w:color w:val="000077"/>
              </w:rPr>
              <w:t>Bedrijfsvoorschriften</w:t>
            </w:r>
            <w:r>
              <w:rPr>
                <w:color w:val="000077"/>
                <w:spacing w:val="14"/>
              </w:rPr>
              <w:t> </w:t>
            </w:r>
            <w:r>
              <w:rPr>
                <w:color w:val="000077"/>
              </w:rPr>
              <w:t>ProRail</w:t>
            </w:r>
          </w:hyperlink>
          <w:r>
            <w:rPr>
              <w:rFonts w:ascii="Times New Roman"/>
              <w:color w:val="000077"/>
            </w:rPr>
            <w:tab/>
          </w:r>
          <w:r>
            <w:rPr>
              <w:color w:val="000077"/>
            </w:rPr>
            <w:t>11</w:t>
          </w:r>
        </w:p>
        <w:p>
          <w:pPr>
            <w:pStyle w:val="TOC2"/>
            <w:numPr>
              <w:ilvl w:val="1"/>
              <w:numId w:val="1"/>
            </w:numPr>
            <w:tabs>
              <w:tab w:pos="1483" w:val="left" w:leader="none"/>
              <w:tab w:pos="9007" w:val="left" w:leader="dot"/>
            </w:tabs>
            <w:spacing w:line="240" w:lineRule="auto" w:before="69" w:after="0"/>
            <w:ind w:left="1482" w:right="0" w:hanging="426"/>
            <w:jc w:val="left"/>
          </w:pPr>
          <w:hyperlink w:history="true" w:anchor="_bookmark21">
            <w:r>
              <w:rPr>
                <w:color w:val="000077"/>
              </w:rPr>
              <w:t>Overige</w:t>
            </w:r>
            <w:r>
              <w:rPr>
                <w:color w:val="000077"/>
                <w:spacing w:val="17"/>
              </w:rPr>
              <w:t> </w:t>
            </w:r>
            <w:r>
              <w:rPr>
                <w:color w:val="000077"/>
              </w:rPr>
              <w:t>referenties</w:t>
            </w:r>
          </w:hyperlink>
          <w:r>
            <w:rPr>
              <w:rFonts w:ascii="Times New Roman"/>
              <w:color w:val="000077"/>
            </w:rPr>
            <w:tab/>
          </w:r>
          <w:r>
            <w:rPr>
              <w:color w:val="000077"/>
            </w:rPr>
            <w:t>11</w:t>
          </w:r>
        </w:p>
        <w:p>
          <w:pPr>
            <w:pStyle w:val="TOC1"/>
            <w:numPr>
              <w:ilvl w:val="0"/>
              <w:numId w:val="1"/>
            </w:numPr>
            <w:tabs>
              <w:tab w:pos="1092" w:val="left" w:leader="none"/>
              <w:tab w:pos="9009" w:val="left" w:leader="dot"/>
            </w:tabs>
            <w:spacing w:line="240" w:lineRule="auto" w:before="209" w:after="0"/>
            <w:ind w:left="1091" w:right="0" w:hanging="262"/>
            <w:jc w:val="left"/>
          </w:pPr>
          <w:hyperlink w:history="true" w:anchor="_bookmark22">
            <w:r>
              <w:rPr>
                <w:color w:val="000077"/>
              </w:rPr>
              <w:t>Revisiegegevens</w:t>
            </w:r>
          </w:hyperlink>
          <w:r>
            <w:rPr>
              <w:rFonts w:ascii="Times New Roman"/>
              <w:b w:val="0"/>
              <w:color w:val="000077"/>
            </w:rPr>
            <w:tab/>
          </w:r>
          <w:r>
            <w:rPr>
              <w:color w:val="000077"/>
            </w:rPr>
            <w:t>12</w:t>
          </w:r>
        </w:p>
        <w:p>
          <w:pPr>
            <w:pStyle w:val="TOC1"/>
            <w:numPr>
              <w:ilvl w:val="0"/>
              <w:numId w:val="1"/>
            </w:numPr>
            <w:tabs>
              <w:tab w:pos="1076" w:val="left" w:leader="none"/>
              <w:tab w:pos="8992" w:val="left" w:leader="dot"/>
            </w:tabs>
            <w:spacing w:line="240" w:lineRule="auto" w:before="209" w:after="0"/>
            <w:ind w:left="1075" w:right="0" w:hanging="246"/>
            <w:jc w:val="left"/>
          </w:pPr>
          <w:hyperlink w:history="true" w:anchor="_bookmark23">
            <w:r>
              <w:rPr>
                <w:color w:val="000077"/>
              </w:rPr>
              <w:t>Bijlage 1 Flowchart</w:t>
            </w:r>
            <w:r>
              <w:rPr>
                <w:color w:val="000077"/>
                <w:spacing w:val="31"/>
              </w:rPr>
              <w:t> </w:t>
            </w:r>
            <w:r>
              <w:rPr>
                <w:color w:val="000077"/>
              </w:rPr>
              <w:t>EMC-eisen</w:t>
            </w:r>
            <w:r>
              <w:rPr>
                <w:color w:val="000077"/>
                <w:spacing w:val="10"/>
              </w:rPr>
              <w:t> </w:t>
            </w:r>
            <w:r>
              <w:rPr>
                <w:color w:val="000077"/>
              </w:rPr>
              <w:t>(normatief)</w:t>
            </w:r>
          </w:hyperlink>
          <w:r>
            <w:rPr>
              <w:rFonts w:ascii="Times New Roman"/>
              <w:b w:val="0"/>
              <w:color w:val="000077"/>
            </w:rPr>
            <w:tab/>
          </w:r>
          <w:r>
            <w:rPr>
              <w:color w:val="000077"/>
            </w:rPr>
            <w:t>13</w:t>
          </w:r>
        </w:p>
        <w:p>
          <w:pPr>
            <w:pStyle w:val="TOC1"/>
            <w:numPr>
              <w:ilvl w:val="0"/>
              <w:numId w:val="1"/>
            </w:numPr>
            <w:tabs>
              <w:tab w:pos="1068" w:val="left" w:leader="none"/>
              <w:tab w:pos="8985" w:val="left" w:leader="dot"/>
            </w:tabs>
            <w:spacing w:line="240" w:lineRule="auto" w:before="209" w:after="0"/>
            <w:ind w:left="1067" w:right="0" w:hanging="238"/>
            <w:jc w:val="left"/>
          </w:pPr>
          <w:hyperlink w:history="true" w:anchor="_bookmark24">
            <w:r>
              <w:rPr>
                <w:color w:val="000077"/>
              </w:rPr>
              <w:t>Bijlage 2 Verschillenanalyse</w:t>
            </w:r>
            <w:r>
              <w:rPr>
                <w:color w:val="000077"/>
                <w:spacing w:val="13"/>
              </w:rPr>
              <w:t> </w:t>
            </w:r>
            <w:r>
              <w:rPr>
                <w:color w:val="000077"/>
              </w:rPr>
              <w:t>EMC-normen</w:t>
            </w:r>
            <w:r>
              <w:rPr>
                <w:color w:val="000077"/>
                <w:spacing w:val="4"/>
              </w:rPr>
              <w:t> </w:t>
            </w:r>
            <w:r>
              <w:rPr>
                <w:color w:val="000077"/>
              </w:rPr>
              <w:t>(informatief)</w:t>
            </w:r>
          </w:hyperlink>
          <w:r>
            <w:rPr>
              <w:rFonts w:ascii="Times New Roman"/>
              <w:b w:val="0"/>
              <w:color w:val="000077"/>
            </w:rPr>
            <w:tab/>
          </w:r>
          <w:r>
            <w:rPr>
              <w:color w:val="000077"/>
            </w:rPr>
            <w:t>14</w:t>
          </w:r>
        </w:p>
      </w:sdtContent>
    </w:sdt>
    <w:p>
      <w:pPr>
        <w:spacing w:after="0" w:line="240" w:lineRule="auto"/>
        <w:jc w:val="left"/>
        <w:sectPr>
          <w:footerReference w:type="default" r:id="rId6"/>
          <w:footerReference w:type="even" r:id="rId7"/>
          <w:pgSz w:w="11910" w:h="16840"/>
          <w:pgMar w:footer="312" w:header="0" w:top="580" w:bottom="500" w:left="1580" w:right="980"/>
          <w:pgNumType w:start="1"/>
        </w:sectPr>
      </w:pPr>
    </w:p>
    <w:p>
      <w:pPr>
        <w:pStyle w:val="BodyText"/>
        <w:spacing w:line="20" w:lineRule="exact"/>
        <w:ind w:left="108"/>
        <w:rPr>
          <w:sz w:val="2"/>
        </w:rPr>
      </w:pPr>
      <w:r>
        <w:rPr>
          <w:sz w:val="2"/>
        </w:rPr>
        <w:pict>
          <v:group style="width:454.05pt;height:.5pt;mso-position-horizontal-relative:char;mso-position-vertical-relative:line" coordorigin="0,0" coordsize="9081,10">
            <v:line style="position:absolute" from="5,5" to="3029,5" stroked="true" strokeweight=".5pt" strokecolor="#000000">
              <v:stroke dashstyle="solid"/>
            </v:line>
            <v:line style="position:absolute" from="3029,5" to="6052,5" stroked="true" strokeweight=".5pt" strokecolor="#000000">
              <v:stroke dashstyle="solid"/>
            </v:line>
            <v:line style="position:absolute" from="6052,5" to="9076,5" stroked="true" strokeweight=".5pt" strokecolor="#000000">
              <v:stroke dashstyle="solid"/>
            </v:line>
          </v:group>
        </w:pict>
      </w:r>
      <w:r>
        <w:rPr>
          <w:sz w:val="2"/>
        </w:rPr>
      </w:r>
    </w:p>
    <w:p>
      <w:pPr>
        <w:pStyle w:val="BodyText"/>
        <w:rPr>
          <w:b/>
          <w:sz w:val="26"/>
        </w:rPr>
      </w:pPr>
    </w:p>
    <w:p>
      <w:pPr>
        <w:pStyle w:val="Heading2"/>
        <w:numPr>
          <w:ilvl w:val="0"/>
          <w:numId w:val="2"/>
        </w:numPr>
        <w:tabs>
          <w:tab w:pos="822" w:val="left" w:leader="none"/>
          <w:tab w:pos="823" w:val="left" w:leader="none"/>
        </w:tabs>
        <w:spacing w:line="240" w:lineRule="auto" w:before="205" w:after="0"/>
        <w:ind w:left="822" w:right="0" w:hanging="709"/>
        <w:jc w:val="left"/>
      </w:pPr>
      <w:bookmarkStart w:name="EMC-eisen aan apparatuur nabij alle geël" w:id="1"/>
      <w:bookmarkEnd w:id="1"/>
      <w:r>
        <w:rPr>
          <w:b w:val="0"/>
        </w:rPr>
      </w:r>
      <w:bookmarkStart w:name="_bookmark0" w:id="2"/>
      <w:bookmarkEnd w:id="2"/>
      <w:r>
        <w:rPr/>
        <w:t>Inleiding</w:t>
      </w:r>
    </w:p>
    <w:p>
      <w:pPr>
        <w:pStyle w:val="BodyText"/>
        <w:spacing w:before="2"/>
        <w:rPr>
          <w:b/>
          <w:sz w:val="22"/>
        </w:rPr>
      </w:pPr>
    </w:p>
    <w:p>
      <w:pPr>
        <w:pStyle w:val="Heading3"/>
        <w:numPr>
          <w:ilvl w:val="1"/>
          <w:numId w:val="2"/>
        </w:numPr>
        <w:tabs>
          <w:tab w:pos="822" w:val="left" w:leader="none"/>
          <w:tab w:pos="823" w:val="left" w:leader="none"/>
        </w:tabs>
        <w:spacing w:line="240" w:lineRule="auto" w:before="0" w:after="0"/>
        <w:ind w:left="822" w:right="0" w:hanging="709"/>
        <w:jc w:val="left"/>
      </w:pPr>
      <w:bookmarkStart w:name="_bookmark1" w:id="3"/>
      <w:bookmarkEnd w:id="3"/>
      <w:r>
        <w:rPr/>
        <w:t>Het</w:t>
      </w:r>
      <w:r>
        <w:rPr/>
        <w:t> begrip</w:t>
      </w:r>
      <w:r>
        <w:rPr>
          <w:spacing w:val="-4"/>
        </w:rPr>
        <w:t> </w:t>
      </w:r>
      <w:r>
        <w:rPr/>
        <w:t>EMC</w:t>
      </w:r>
    </w:p>
    <w:p>
      <w:pPr>
        <w:pStyle w:val="BodyText"/>
        <w:spacing w:line="249" w:lineRule="auto" w:before="10"/>
        <w:ind w:left="822" w:right="329"/>
      </w:pPr>
      <w:r>
        <w:rPr/>
        <w:t>ElektroMagnetische Compatibiliteit (EMC) is het vermogen van elektrische apparaten om in elkaars buurt goed te kunnen blijven functioneren, zonder elkaar ongewenst te beïnvloeden. De term apparaten wordt hierbij ruim opgevat. Deze term omvat: elektronica, elektrische componenten, systemen en installaties.</w:t>
      </w:r>
    </w:p>
    <w:p>
      <w:pPr>
        <w:pStyle w:val="BodyText"/>
        <w:spacing w:before="11"/>
      </w:pPr>
    </w:p>
    <w:p>
      <w:pPr>
        <w:pStyle w:val="Heading3"/>
        <w:numPr>
          <w:ilvl w:val="1"/>
          <w:numId w:val="2"/>
        </w:numPr>
        <w:tabs>
          <w:tab w:pos="822" w:val="left" w:leader="none"/>
          <w:tab w:pos="823" w:val="left" w:leader="none"/>
        </w:tabs>
        <w:spacing w:line="240" w:lineRule="auto" w:before="0" w:after="0"/>
        <w:ind w:left="822" w:right="0" w:hanging="709"/>
        <w:jc w:val="left"/>
      </w:pPr>
      <w:bookmarkStart w:name="_bookmark2" w:id="4"/>
      <w:bookmarkEnd w:id="4"/>
      <w:r>
        <w:rPr/>
        <w:t>Inhoud</w:t>
      </w:r>
    </w:p>
    <w:p>
      <w:pPr>
        <w:pStyle w:val="BodyText"/>
        <w:spacing w:line="249" w:lineRule="auto" w:before="10"/>
        <w:ind w:left="822"/>
      </w:pPr>
      <w:r>
        <w:rPr/>
        <w:t>In deze richtlijn staan de EMC-eisen beschreven die gelden voor elektrische componenten, producten, apparaten en systemen ('uitrusting' zoals gedefinieerd in de EMC Richtlijn 2014/30/ EU) die toegepast worden in de railinfrastructuur van ProRail (de hoofdspoorweginfrastructuur, HSWI).</w:t>
      </w:r>
    </w:p>
    <w:p>
      <w:pPr>
        <w:pStyle w:val="BodyText"/>
        <w:spacing w:line="249" w:lineRule="auto" w:before="121"/>
        <w:ind w:left="822" w:right="563"/>
      </w:pPr>
      <w:r>
        <w:rPr/>
        <w:t>In hoofdstuk 2 wordt een toelichting gegeven op de EMC-regelgeving en -normen die van toepassing zijn in de Europese Unie.</w:t>
      </w:r>
    </w:p>
    <w:p>
      <w:pPr>
        <w:pStyle w:val="BodyText"/>
        <w:spacing w:line="249" w:lineRule="auto" w:before="121"/>
        <w:ind w:left="822" w:right="574"/>
      </w:pPr>
      <w:r>
        <w:rPr/>
        <w:t>In hoofdstuk 3 zijn de EMC-eisen voorgeschreven die van toepassing zijn op elektrische / elektronische apparaten die worden toegepast in de HSWI.</w:t>
      </w:r>
    </w:p>
    <w:p>
      <w:pPr>
        <w:pStyle w:val="BodyText"/>
        <w:spacing w:line="249" w:lineRule="auto" w:before="121"/>
        <w:ind w:left="822" w:right="320"/>
      </w:pPr>
      <w:r>
        <w:rPr/>
        <w:t>In hoofdstuk 4 zijn aanvullende EMC-eisen voorgeschreven aan nieuwe elektrische/ elektronische producten ('uitrusting') in/op de railinfrastructuur onder beheer van ProRail. Dit omvat alle geëlektrificeerde baanvakken (1500VDC, 25kVAC of andere tractiespanningen) en alle niet-geëlektrificeerde baanvakken. Het betreft producten die worden toegepast in de gebieden:</w:t>
      </w:r>
    </w:p>
    <w:p>
      <w:pPr>
        <w:pStyle w:val="ListParagraph"/>
        <w:numPr>
          <w:ilvl w:val="2"/>
          <w:numId w:val="2"/>
        </w:numPr>
        <w:tabs>
          <w:tab w:pos="1230" w:val="left" w:leader="none"/>
          <w:tab w:pos="1231" w:val="left" w:leader="none"/>
        </w:tabs>
        <w:spacing w:line="240" w:lineRule="auto" w:before="121" w:after="0"/>
        <w:ind w:left="1230" w:right="0" w:hanging="408"/>
        <w:jc w:val="left"/>
        <w:rPr>
          <w:sz w:val="20"/>
        </w:rPr>
      </w:pPr>
      <w:r>
        <w:rPr>
          <w:sz w:val="20"/>
        </w:rPr>
        <w:t>energievoorziening;</w:t>
      </w:r>
    </w:p>
    <w:p>
      <w:pPr>
        <w:pStyle w:val="ListParagraph"/>
        <w:numPr>
          <w:ilvl w:val="2"/>
          <w:numId w:val="2"/>
        </w:numPr>
        <w:tabs>
          <w:tab w:pos="1230" w:val="left" w:leader="none"/>
          <w:tab w:pos="1231" w:val="left" w:leader="none"/>
        </w:tabs>
        <w:spacing w:line="240" w:lineRule="auto" w:before="70" w:after="0"/>
        <w:ind w:left="1230" w:right="0" w:hanging="408"/>
        <w:jc w:val="left"/>
        <w:rPr>
          <w:sz w:val="20"/>
        </w:rPr>
      </w:pPr>
      <w:r>
        <w:rPr>
          <w:sz w:val="20"/>
        </w:rPr>
        <w:t>telecommunicatie en</w:t>
      </w:r>
      <w:r>
        <w:rPr>
          <w:spacing w:val="-4"/>
          <w:sz w:val="20"/>
        </w:rPr>
        <w:t> </w:t>
      </w:r>
      <w:r>
        <w:rPr>
          <w:sz w:val="20"/>
        </w:rPr>
        <w:t>telematica;</w:t>
      </w:r>
    </w:p>
    <w:p>
      <w:pPr>
        <w:pStyle w:val="ListParagraph"/>
        <w:numPr>
          <w:ilvl w:val="2"/>
          <w:numId w:val="2"/>
        </w:numPr>
        <w:tabs>
          <w:tab w:pos="1230" w:val="left" w:leader="none"/>
          <w:tab w:pos="1231" w:val="left" w:leader="none"/>
        </w:tabs>
        <w:spacing w:line="240" w:lineRule="auto" w:before="70" w:after="0"/>
        <w:ind w:left="1230" w:right="0" w:hanging="408"/>
        <w:jc w:val="left"/>
        <w:rPr>
          <w:sz w:val="20"/>
        </w:rPr>
      </w:pPr>
      <w:r>
        <w:rPr>
          <w:sz w:val="20"/>
        </w:rPr>
        <w:t>treinbeveiliging en</w:t>
      </w:r>
      <w:r>
        <w:rPr>
          <w:spacing w:val="-4"/>
          <w:sz w:val="20"/>
        </w:rPr>
        <w:t> </w:t>
      </w:r>
      <w:r>
        <w:rPr>
          <w:sz w:val="20"/>
        </w:rPr>
        <w:t>treindetectie;</w:t>
      </w:r>
    </w:p>
    <w:p>
      <w:pPr>
        <w:pStyle w:val="ListParagraph"/>
        <w:numPr>
          <w:ilvl w:val="2"/>
          <w:numId w:val="2"/>
        </w:numPr>
        <w:tabs>
          <w:tab w:pos="1230" w:val="left" w:leader="none"/>
          <w:tab w:pos="1231" w:val="left" w:leader="none"/>
        </w:tabs>
        <w:spacing w:line="240" w:lineRule="auto" w:before="70" w:after="0"/>
        <w:ind w:left="1230" w:right="0" w:hanging="408"/>
        <w:jc w:val="left"/>
        <w:rPr>
          <w:sz w:val="20"/>
        </w:rPr>
      </w:pPr>
      <w:r>
        <w:rPr>
          <w:sz w:val="20"/>
        </w:rPr>
        <w:t>gebouwgebonden</w:t>
      </w:r>
      <w:r>
        <w:rPr>
          <w:spacing w:val="-2"/>
          <w:sz w:val="20"/>
        </w:rPr>
        <w:t> </w:t>
      </w:r>
      <w:r>
        <w:rPr>
          <w:sz w:val="20"/>
        </w:rPr>
        <w:t>systemen;</w:t>
      </w:r>
    </w:p>
    <w:p>
      <w:pPr>
        <w:pStyle w:val="ListParagraph"/>
        <w:numPr>
          <w:ilvl w:val="2"/>
          <w:numId w:val="2"/>
        </w:numPr>
        <w:tabs>
          <w:tab w:pos="1230" w:val="left" w:leader="none"/>
          <w:tab w:pos="1231" w:val="left" w:leader="none"/>
        </w:tabs>
        <w:spacing w:line="240" w:lineRule="auto" w:before="70" w:after="0"/>
        <w:ind w:left="1230" w:right="0" w:hanging="408"/>
        <w:jc w:val="left"/>
        <w:rPr>
          <w:sz w:val="20"/>
        </w:rPr>
      </w:pPr>
      <w:r>
        <w:rPr>
          <w:sz w:val="20"/>
        </w:rPr>
        <w:t>transferinstallaties.</w:t>
      </w:r>
    </w:p>
    <w:p>
      <w:pPr>
        <w:pStyle w:val="BodyText"/>
        <w:spacing w:before="5"/>
        <w:rPr>
          <w:sz w:val="30"/>
        </w:rPr>
      </w:pPr>
    </w:p>
    <w:p>
      <w:pPr>
        <w:pStyle w:val="BodyText"/>
        <w:spacing w:line="249" w:lineRule="auto"/>
        <w:ind w:left="822" w:right="118"/>
      </w:pPr>
      <w:r>
        <w:rPr/>
        <w:t>Hoofdstuk 5 beschrijft de wijze waarop aangetoond dient te worden dat aan de eisen van deze richtlijn RLN00007 is voldaan.</w:t>
      </w:r>
    </w:p>
    <w:p>
      <w:pPr>
        <w:pStyle w:val="BodyText"/>
        <w:spacing w:before="121"/>
        <w:ind w:left="822"/>
      </w:pPr>
      <w:r>
        <w:rPr/>
        <w:t>Tot slot zijn in hoofdstuk 6 de referenties en in hoofdstuk 7 de revisiegegevens vermeld.</w:t>
      </w:r>
    </w:p>
    <w:p>
      <w:pPr>
        <w:spacing w:after="0"/>
        <w:sectPr>
          <w:headerReference w:type="default" r:id="rId9"/>
          <w:headerReference w:type="even" r:id="rId10"/>
          <w:pgSz w:w="11910" w:h="16840"/>
          <w:pgMar w:header="560" w:footer="312" w:top="1300" w:bottom="500" w:left="1020" w:right="1580"/>
        </w:sectPr>
      </w:pPr>
    </w:p>
    <w:p>
      <w:pPr>
        <w:pStyle w:val="BodyText"/>
      </w:pPr>
    </w:p>
    <w:p>
      <w:pPr>
        <w:pStyle w:val="BodyText"/>
        <w:spacing w:before="10"/>
        <w:rPr>
          <w:sz w:val="22"/>
        </w:rPr>
      </w:pPr>
    </w:p>
    <w:p>
      <w:pPr>
        <w:pStyle w:val="Heading2"/>
        <w:numPr>
          <w:ilvl w:val="0"/>
          <w:numId w:val="2"/>
        </w:numPr>
        <w:tabs>
          <w:tab w:pos="829" w:val="left" w:leader="none"/>
          <w:tab w:pos="830" w:val="left" w:leader="none"/>
        </w:tabs>
        <w:spacing w:line="240" w:lineRule="auto" w:before="0" w:after="0"/>
        <w:ind w:left="829" w:right="0" w:hanging="709"/>
        <w:jc w:val="left"/>
      </w:pPr>
      <w:bookmarkStart w:name="_bookmark3" w:id="5"/>
      <w:bookmarkEnd w:id="5"/>
      <w:r>
        <w:rPr/>
        <w:t>De</w:t>
      </w:r>
      <w:r>
        <w:rPr/>
        <w:t> EMC-regelgeving en het ProRail</w:t>
      </w:r>
      <w:r>
        <w:rPr>
          <w:spacing w:val="-10"/>
        </w:rPr>
        <w:t> </w:t>
      </w:r>
      <w:r>
        <w:rPr/>
        <w:t>beleid</w:t>
      </w:r>
    </w:p>
    <w:p>
      <w:pPr>
        <w:pStyle w:val="BodyText"/>
        <w:spacing w:before="1"/>
        <w:rPr>
          <w:b/>
          <w:sz w:val="22"/>
        </w:rPr>
      </w:pPr>
    </w:p>
    <w:p>
      <w:pPr>
        <w:pStyle w:val="Heading3"/>
        <w:numPr>
          <w:ilvl w:val="1"/>
          <w:numId w:val="2"/>
        </w:numPr>
        <w:tabs>
          <w:tab w:pos="829" w:val="left" w:leader="none"/>
          <w:tab w:pos="830" w:val="left" w:leader="none"/>
        </w:tabs>
        <w:spacing w:line="240" w:lineRule="auto" w:before="0" w:after="0"/>
        <w:ind w:left="822" w:right="0" w:hanging="702"/>
        <w:jc w:val="left"/>
      </w:pPr>
      <w:bookmarkStart w:name="_bookmark4" w:id="6"/>
      <w:bookmarkEnd w:id="6"/>
      <w:r>
        <w:rPr/>
        <w:t>De</w:t>
      </w:r>
      <w:r>
        <w:rPr/>
        <w:t> wettelijke grondslag en de Europese</w:t>
      </w:r>
      <w:r>
        <w:rPr>
          <w:spacing w:val="-11"/>
        </w:rPr>
        <w:t> </w:t>
      </w:r>
      <w:r>
        <w:rPr/>
        <w:t>EMC-richtlijn</w:t>
      </w:r>
    </w:p>
    <w:p>
      <w:pPr>
        <w:pStyle w:val="BodyText"/>
        <w:spacing w:line="249" w:lineRule="auto" w:before="9"/>
        <w:ind w:left="829" w:right="522"/>
      </w:pPr>
      <w:r>
        <w:rPr/>
        <w:t>Elektrische en elektronische producten die binnen de EU-landen geleverd worden, dienen te voldoen aan de per product van toepassing zijnde Europese richtlijnen. Leveranciers zijn sinds 1 januari 1996 verplicht te voldoen aan de EMC-richtlijn, inclusief de geldende amendementen.</w:t>
      </w:r>
    </w:p>
    <w:p>
      <w:pPr>
        <w:pStyle w:val="BodyText"/>
        <w:spacing w:line="249" w:lineRule="auto" w:before="121"/>
        <w:ind w:left="829" w:right="875"/>
      </w:pPr>
      <w:r>
        <w:rPr/>
        <w:t>De meest recente versie van de Europese richtlijn 2014/30/EU is inmiddels omgezet in nationale wetgeving, te weten in het Besluit elektromagnetische compatibiliteit</w:t>
      </w:r>
      <w:r>
        <w:rPr>
          <w:spacing w:val="-14"/>
        </w:rPr>
        <w:t> </w:t>
      </w:r>
      <w:r>
        <w:rPr/>
        <w:t>2016</w:t>
      </w:r>
    </w:p>
    <w:p>
      <w:pPr>
        <w:pStyle w:val="BodyText"/>
        <w:spacing w:line="249" w:lineRule="auto" w:before="1"/>
        <w:ind w:left="829" w:right="122"/>
      </w:pPr>
      <w:r>
        <w:rPr/>
        <w:t>(gebaseerd op de Telecommunicatiewet) en in werking getreden op 28 december 2016. Op die datum werd de 'vorige' versie van de EMC-richtlijn 2004/108/EG ingetrokken. Het Besluit</w:t>
      </w:r>
      <w:r>
        <w:rPr>
          <w:spacing w:val="-17"/>
        </w:rPr>
        <w:t> </w:t>
      </w:r>
      <w:r>
        <w:rPr/>
        <w:t>is de grondslag voor de uitwerking van het bedrijfsbeleid van ProRail, vastgelegd in deze richtlijn RLN00007.</w:t>
      </w:r>
    </w:p>
    <w:p>
      <w:pPr>
        <w:pStyle w:val="BodyText"/>
        <w:spacing w:line="249" w:lineRule="auto" w:before="121"/>
        <w:ind w:left="829" w:right="319"/>
        <w:jc w:val="both"/>
      </w:pPr>
      <w:r>
        <w:rPr/>
        <w:t>In dit document wordt door ProRail onder ‘leveranciers’ verstaan alle partijen die in de EMC- richtlijn 2014/30/EU ‘marktdeelnemers’ worden genoemd. Hieronder vallen ‘de fabrikant’, ‘de gemachtigde’, ‘de importeur’ en ‘de distributeur’.</w:t>
      </w:r>
    </w:p>
    <w:p>
      <w:pPr>
        <w:pStyle w:val="BodyText"/>
        <w:spacing w:before="11"/>
      </w:pPr>
    </w:p>
    <w:p>
      <w:pPr>
        <w:pStyle w:val="Heading3"/>
        <w:numPr>
          <w:ilvl w:val="1"/>
          <w:numId w:val="2"/>
        </w:numPr>
        <w:tabs>
          <w:tab w:pos="829" w:val="left" w:leader="none"/>
          <w:tab w:pos="830" w:val="left" w:leader="none"/>
        </w:tabs>
        <w:spacing w:line="240" w:lineRule="auto" w:before="0" w:after="0"/>
        <w:ind w:left="829" w:right="0" w:hanging="709"/>
        <w:jc w:val="left"/>
      </w:pPr>
      <w:bookmarkStart w:name="_bookmark5" w:id="7"/>
      <w:bookmarkEnd w:id="7"/>
      <w:r>
        <w:rPr/>
        <w:t>T</w:t>
      </w:r>
      <w:r>
        <w:rPr/>
        <w:t>oepassingsgebied van</w:t>
      </w:r>
      <w:r>
        <w:rPr>
          <w:spacing w:val="-20"/>
        </w:rPr>
        <w:t> </w:t>
      </w:r>
      <w:r>
        <w:rPr/>
        <w:t>RLN00007</w:t>
      </w:r>
    </w:p>
    <w:p>
      <w:pPr>
        <w:pStyle w:val="BodyText"/>
        <w:spacing w:line="249" w:lineRule="auto" w:before="9"/>
        <w:ind w:left="829" w:right="489"/>
      </w:pPr>
      <w:r>
        <w:rPr/>
        <w:t>Het toepassingsgebied betreft alle apparaten en vaste installaties die onderdeel uitmaken van de HSWI. Hierbij wordt bedoeld alle apparaten en vaste installaties zoals gedefinieerd in het Besluit elektromagnetische compatibiliteit 2016 (en in de EMC-richtlijn 2014/30/EU). In dit document wordt onder ‘apparaten’ of ‘apparatuur’ verstaan ‘alle apparaten en vaste installaties’. Onder de HSWI (hoofdspoorweginfrastructuur) wordt verstaan de HSWI zoals gedefinieerd in de Spoorwegwet.</w:t>
      </w:r>
    </w:p>
    <w:p>
      <w:pPr>
        <w:pStyle w:val="BodyText"/>
        <w:spacing w:before="10"/>
      </w:pPr>
    </w:p>
    <w:p>
      <w:pPr>
        <w:pStyle w:val="Heading3"/>
        <w:numPr>
          <w:ilvl w:val="1"/>
          <w:numId w:val="2"/>
        </w:numPr>
        <w:tabs>
          <w:tab w:pos="829" w:val="left" w:leader="none"/>
          <w:tab w:pos="830" w:val="left" w:leader="none"/>
        </w:tabs>
        <w:spacing w:line="240" w:lineRule="auto" w:before="0" w:after="0"/>
        <w:ind w:left="829" w:right="0" w:hanging="709"/>
        <w:jc w:val="left"/>
      </w:pPr>
      <w:bookmarkStart w:name="_bookmark6" w:id="8"/>
      <w:bookmarkEnd w:id="8"/>
      <w:r>
        <w:rPr/>
        <w:t>T</w:t>
      </w:r>
      <w:r>
        <w:rPr/>
        <w:t>oelichting op de globale inhoud van de Europese</w:t>
      </w:r>
      <w:r>
        <w:rPr>
          <w:spacing w:val="-30"/>
        </w:rPr>
        <w:t> </w:t>
      </w:r>
      <w:r>
        <w:rPr/>
        <w:t>EMC-richtlijn</w:t>
      </w:r>
    </w:p>
    <w:p>
      <w:pPr>
        <w:pStyle w:val="BodyText"/>
        <w:spacing w:before="9"/>
        <w:ind w:left="829"/>
      </w:pPr>
      <w:r>
        <w:rPr/>
        <w:t>De EMC Richtlijn '2014/30/EU' stelt de volgende essentiële eisen:</w:t>
      </w:r>
    </w:p>
    <w:p>
      <w:pPr>
        <w:pStyle w:val="ListParagraph"/>
        <w:numPr>
          <w:ilvl w:val="0"/>
          <w:numId w:val="3"/>
        </w:numPr>
        <w:tabs>
          <w:tab w:pos="1052" w:val="left" w:leader="none"/>
        </w:tabs>
        <w:spacing w:line="240" w:lineRule="auto" w:before="129" w:after="0"/>
        <w:ind w:left="1051" w:right="0" w:hanging="222"/>
        <w:jc w:val="left"/>
        <w:rPr>
          <w:sz w:val="20"/>
        </w:rPr>
      </w:pPr>
      <w:r>
        <w:rPr>
          <w:sz w:val="20"/>
        </w:rPr>
        <w:t>Algemene</w:t>
      </w:r>
      <w:r>
        <w:rPr>
          <w:spacing w:val="-2"/>
          <w:sz w:val="20"/>
        </w:rPr>
        <w:t> </w:t>
      </w:r>
      <w:r>
        <w:rPr>
          <w:sz w:val="20"/>
        </w:rPr>
        <w:t>eisen</w:t>
      </w:r>
    </w:p>
    <w:p>
      <w:pPr>
        <w:pStyle w:val="BodyText"/>
        <w:spacing w:before="129"/>
        <w:ind w:left="829"/>
      </w:pPr>
      <w:r>
        <w:rPr/>
        <w:t>Elektrische en elektronische apparatuur moet zodanig zijn ontworpen en vervaardigd dat:</w:t>
      </w:r>
    </w:p>
    <w:p>
      <w:pPr>
        <w:pStyle w:val="ListParagraph"/>
        <w:numPr>
          <w:ilvl w:val="1"/>
          <w:numId w:val="3"/>
        </w:numPr>
        <w:tabs>
          <w:tab w:pos="1052" w:val="left" w:leader="none"/>
        </w:tabs>
        <w:spacing w:line="249" w:lineRule="auto" w:before="129" w:after="0"/>
        <w:ind w:left="829" w:right="118" w:firstLine="0"/>
        <w:jc w:val="left"/>
        <w:rPr>
          <w:sz w:val="20"/>
        </w:rPr>
      </w:pPr>
      <w:r>
        <w:rPr>
          <w:sz w:val="20"/>
        </w:rPr>
        <w:t>de opgewekte elektromagnetische verstoringen (de zogenaamde emissie) het niveau niet overschrijden waarboven radio- en telecommunicatieapparatuur en andere uitrusting niet meer overeenkomstig zijn bestemming kan</w:t>
      </w:r>
      <w:r>
        <w:rPr>
          <w:spacing w:val="-6"/>
          <w:sz w:val="20"/>
        </w:rPr>
        <w:t> </w:t>
      </w:r>
      <w:r>
        <w:rPr>
          <w:sz w:val="20"/>
        </w:rPr>
        <w:t>functioneren;</w:t>
      </w:r>
    </w:p>
    <w:p>
      <w:pPr>
        <w:pStyle w:val="ListParagraph"/>
        <w:numPr>
          <w:ilvl w:val="1"/>
          <w:numId w:val="3"/>
        </w:numPr>
        <w:tabs>
          <w:tab w:pos="1063" w:val="left" w:leader="none"/>
        </w:tabs>
        <w:spacing w:line="249" w:lineRule="auto" w:before="120" w:after="0"/>
        <w:ind w:left="829" w:right="718" w:firstLine="0"/>
        <w:jc w:val="left"/>
        <w:rPr>
          <w:sz w:val="20"/>
        </w:rPr>
      </w:pPr>
      <w:r>
        <w:rPr>
          <w:sz w:val="20"/>
        </w:rPr>
        <w:t>zij een zodanig niveau van ongevoeligheid voor de bij normaal gebruik te verwachten elektro-magnetische storingen (de zogenaamde immuniteit) bezit dat zij zonder onaanvaardbare verslechtering van het beoogd gebruik kan</w:t>
      </w:r>
      <w:r>
        <w:rPr>
          <w:spacing w:val="-10"/>
          <w:sz w:val="20"/>
        </w:rPr>
        <w:t> </w:t>
      </w:r>
      <w:r>
        <w:rPr>
          <w:sz w:val="20"/>
        </w:rPr>
        <w:t>functioneren.</w:t>
      </w:r>
    </w:p>
    <w:p>
      <w:pPr>
        <w:pStyle w:val="ListParagraph"/>
        <w:numPr>
          <w:ilvl w:val="0"/>
          <w:numId w:val="3"/>
        </w:numPr>
        <w:tabs>
          <w:tab w:pos="1052" w:val="left" w:leader="none"/>
        </w:tabs>
        <w:spacing w:line="240" w:lineRule="auto" w:before="120" w:after="0"/>
        <w:ind w:left="1051" w:right="0" w:hanging="222"/>
        <w:jc w:val="left"/>
        <w:rPr>
          <w:sz w:val="20"/>
        </w:rPr>
      </w:pPr>
      <w:r>
        <w:rPr>
          <w:sz w:val="20"/>
        </w:rPr>
        <w:t>Specifieke eisen voor vaste installaties en beoogd gebruik van</w:t>
      </w:r>
      <w:r>
        <w:rPr>
          <w:spacing w:val="-12"/>
          <w:sz w:val="20"/>
        </w:rPr>
        <w:t> </w:t>
      </w:r>
      <w:r>
        <w:rPr>
          <w:sz w:val="20"/>
        </w:rPr>
        <w:t>componenten</w:t>
      </w:r>
    </w:p>
    <w:p>
      <w:pPr>
        <w:pStyle w:val="BodyText"/>
        <w:spacing w:line="249" w:lineRule="auto" w:before="129"/>
        <w:ind w:left="829" w:right="111"/>
      </w:pPr>
      <w:r>
        <w:rPr/>
        <w:t>Een vaste installatie moet worden geïnstalleerd volgens goede technologische praktijken (‘good engineering practice’) en overeenkomstig de informatie over het beoogd gebruik van de componenten, teneinde aan de essentiële eisen van punt 1 te voldoen.</w:t>
      </w:r>
    </w:p>
    <w:p>
      <w:pPr>
        <w:pStyle w:val="BodyText"/>
        <w:spacing w:line="249" w:lineRule="auto" w:before="120"/>
        <w:ind w:left="829" w:right="245"/>
      </w:pPr>
      <w:r>
        <w:rPr/>
        <w:t>Nadere invulling van de essentiële eisen, de conformiteitsbeoordeling, de technische documentatie en de EU-conformiteitsverklaring is te vinden in de officiële tekst van de Richtlijn ‘EMC Richtlijn 2014/30/EU’. Bij de Richtlijn levert de Europese Unie tevens een informatieve ’Guide for the EMC Directive 2014/30/EU’, waarin de interpretaties van de eisen zijn uitgewerkt.</w:t>
      </w:r>
    </w:p>
    <w:p>
      <w:pPr>
        <w:pStyle w:val="BodyText"/>
        <w:spacing w:line="249" w:lineRule="auto" w:before="120"/>
        <w:ind w:left="829" w:right="678"/>
      </w:pPr>
      <w:r>
        <w:rPr/>
        <w:t>Een beknopte samenvatting van de eisen voor apparatuur en vaste installaties is tevens gegeven in het document: ’General information of the EMC Directive 2014/30/EU, Requirements for placing equipment on the market’.</w:t>
      </w:r>
    </w:p>
    <w:p>
      <w:pPr>
        <w:spacing w:after="0" w:line="249" w:lineRule="auto"/>
        <w:sectPr>
          <w:pgSz w:w="11910" w:h="16840"/>
          <w:pgMar w:header="560" w:footer="312" w:top="1340" w:bottom="500" w:left="1580" w:right="1020"/>
        </w:sectPr>
      </w:pPr>
    </w:p>
    <w:p>
      <w:pPr>
        <w:pStyle w:val="BodyText"/>
        <w:spacing w:line="20" w:lineRule="exact"/>
        <w:ind w:left="108"/>
        <w:rPr>
          <w:sz w:val="2"/>
        </w:rPr>
      </w:pPr>
      <w:r>
        <w:rPr>
          <w:sz w:val="2"/>
        </w:rPr>
        <w:pict>
          <v:group style="width:454.05pt;height:.5pt;mso-position-horizontal-relative:char;mso-position-vertical-relative:line" coordorigin="0,0" coordsize="9081,10">
            <v:line style="position:absolute" from="5,5" to="3029,5" stroked="true" strokeweight=".5pt" strokecolor="#000000">
              <v:stroke dashstyle="solid"/>
            </v:line>
            <v:line style="position:absolute" from="3029,5" to="6052,5" stroked="true" strokeweight=".5pt" strokecolor="#000000">
              <v:stroke dashstyle="solid"/>
            </v:line>
            <v:line style="position:absolute" from="6052,5" to="9076,5" stroked="true" strokeweight=".5pt" strokecolor="#000000">
              <v:stroke dashstyle="solid"/>
            </v:line>
          </v:group>
        </w:pict>
      </w:r>
      <w:r>
        <w:rPr>
          <w:sz w:val="2"/>
        </w:rPr>
      </w:r>
    </w:p>
    <w:p>
      <w:pPr>
        <w:pStyle w:val="BodyText"/>
        <w:spacing w:line="249" w:lineRule="auto" w:before="67"/>
        <w:ind w:left="822" w:right="541"/>
      </w:pPr>
      <w:r>
        <w:rPr/>
        <w:t>Naast de EMC-richtlijn zijn er andere EU richtlijnen opgenomen in de Nederlandse wet, zoals de laagspanningsrichtlijn en de machinerichtlijn, die eisen stellen aan elektrische en elektronische producten. Producten die voldoen aan alle van toepassing zijnde richtlijnen moeten worden voorzien van de CE-markering.</w:t>
      </w:r>
    </w:p>
    <w:p>
      <w:pPr>
        <w:pStyle w:val="BodyText"/>
        <w:spacing w:before="10"/>
      </w:pPr>
    </w:p>
    <w:p>
      <w:pPr>
        <w:pStyle w:val="ListParagraph"/>
        <w:numPr>
          <w:ilvl w:val="1"/>
          <w:numId w:val="2"/>
        </w:numPr>
        <w:tabs>
          <w:tab w:pos="822" w:val="left" w:leader="none"/>
          <w:tab w:pos="823" w:val="left" w:leader="none"/>
        </w:tabs>
        <w:spacing w:line="249" w:lineRule="auto" w:before="1" w:after="0"/>
        <w:ind w:left="822" w:right="524" w:hanging="709"/>
        <w:jc w:val="left"/>
        <w:rPr>
          <w:sz w:val="20"/>
        </w:rPr>
      </w:pPr>
      <w:bookmarkStart w:name="_bookmark7" w:id="9"/>
      <w:bookmarkEnd w:id="9"/>
      <w:r>
        <w:rPr>
          <w:b/>
          <w:sz w:val="20"/>
        </w:rPr>
        <w:t>Het</w:t>
      </w:r>
      <w:r>
        <w:rPr>
          <w:b/>
          <w:sz w:val="20"/>
        </w:rPr>
        <w:t> voldoen aan de EMC-richtlijn door middel van geharmoniseerde EMC-normen </w:t>
      </w:r>
      <w:r>
        <w:rPr>
          <w:sz w:val="20"/>
        </w:rPr>
        <w:t>Door middel van geharmoniseerde EMC-normen kan aangetoond worden dat een product voldoet aan de essentiële eisen van de EMC-richtlijn (‘Vermoeden van conformiteit van uitrusting’, zoals aangegeven in artikel 13 van de EMC Richtlijn 2014/30/EU). </w:t>
      </w:r>
      <w:r>
        <w:rPr>
          <w:spacing w:val="-3"/>
          <w:sz w:val="20"/>
        </w:rPr>
        <w:t>Voor</w:t>
      </w:r>
      <w:r>
        <w:rPr>
          <w:spacing w:val="-15"/>
          <w:sz w:val="20"/>
        </w:rPr>
        <w:t> </w:t>
      </w:r>
      <w:r>
        <w:rPr>
          <w:sz w:val="20"/>
        </w:rPr>
        <w:t>de</w:t>
      </w:r>
    </w:p>
    <w:p>
      <w:pPr>
        <w:pStyle w:val="BodyText"/>
        <w:spacing w:line="249" w:lineRule="auto" w:before="1"/>
        <w:ind w:left="822" w:right="150"/>
      </w:pPr>
      <w:r>
        <w:rPr/>
        <w:t>spoorwegen als geheel en voor producten die binnen de spoorwegen worden toegepast, geldt de normserie NEN-EN 50121 (alle delen 1 t/m 5).Ten behoeve van de CE-markering dient de laatst geharmoniseerde* versie van de normserie NEN-EN 50121 toegepast te worden.</w:t>
      </w:r>
    </w:p>
    <w:p>
      <w:pPr>
        <w:pStyle w:val="BodyText"/>
        <w:spacing w:line="249" w:lineRule="auto" w:before="121"/>
        <w:ind w:left="822" w:right="185"/>
      </w:pPr>
      <w:r>
        <w:rPr/>
        <w:t>De Europese norm voor EMC van spoorwegen NEN-EN 50121 is opgebouwd uit de volgende vijf delen:</w:t>
      </w:r>
    </w:p>
    <w:p>
      <w:pPr>
        <w:pStyle w:val="ListParagraph"/>
        <w:numPr>
          <w:ilvl w:val="0"/>
          <w:numId w:val="4"/>
        </w:numPr>
        <w:tabs>
          <w:tab w:pos="1230" w:val="left" w:leader="none"/>
          <w:tab w:pos="1231" w:val="left" w:leader="none"/>
        </w:tabs>
        <w:spacing w:line="249" w:lineRule="auto" w:before="121" w:after="0"/>
        <w:ind w:left="1230" w:right="917" w:hanging="408"/>
        <w:jc w:val="left"/>
        <w:rPr>
          <w:sz w:val="20"/>
        </w:rPr>
      </w:pPr>
      <w:r>
        <w:rPr>
          <w:sz w:val="20"/>
        </w:rPr>
        <w:t>Deel 1 is het algemene deel, waarin de opbouw van de norm en algemene EMC- aspecten van de spoorwegen worden</w:t>
      </w:r>
      <w:r>
        <w:rPr>
          <w:spacing w:val="-7"/>
          <w:sz w:val="20"/>
        </w:rPr>
        <w:t> </w:t>
      </w:r>
      <w:r>
        <w:rPr>
          <w:sz w:val="20"/>
        </w:rPr>
        <w:t>beschreven.</w:t>
      </w:r>
    </w:p>
    <w:p>
      <w:pPr>
        <w:pStyle w:val="ListParagraph"/>
        <w:numPr>
          <w:ilvl w:val="0"/>
          <w:numId w:val="4"/>
        </w:numPr>
        <w:tabs>
          <w:tab w:pos="1230" w:val="left" w:leader="none"/>
          <w:tab w:pos="1231" w:val="left" w:leader="none"/>
        </w:tabs>
        <w:spacing w:line="249" w:lineRule="auto" w:before="61" w:after="0"/>
        <w:ind w:left="1230" w:right="1272" w:hanging="408"/>
        <w:jc w:val="left"/>
        <w:rPr>
          <w:sz w:val="20"/>
        </w:rPr>
      </w:pPr>
      <w:r>
        <w:rPr>
          <w:sz w:val="20"/>
        </w:rPr>
        <w:t>In deel 2 worden de emissie-eisen van het gehele spoorwegsysteem naar de buitenwereld</w:t>
      </w:r>
      <w:r>
        <w:rPr>
          <w:spacing w:val="-2"/>
          <w:sz w:val="20"/>
        </w:rPr>
        <w:t> </w:t>
      </w:r>
      <w:r>
        <w:rPr>
          <w:sz w:val="20"/>
        </w:rPr>
        <w:t>beschreven.</w:t>
      </w:r>
    </w:p>
    <w:p>
      <w:pPr>
        <w:pStyle w:val="ListParagraph"/>
        <w:numPr>
          <w:ilvl w:val="0"/>
          <w:numId w:val="4"/>
        </w:numPr>
        <w:tabs>
          <w:tab w:pos="1230" w:val="left" w:leader="none"/>
          <w:tab w:pos="1231" w:val="left" w:leader="none"/>
        </w:tabs>
        <w:spacing w:line="249" w:lineRule="auto" w:before="61" w:after="0"/>
        <w:ind w:left="1230" w:right="340" w:hanging="408"/>
        <w:jc w:val="left"/>
        <w:rPr>
          <w:sz w:val="20"/>
        </w:rPr>
      </w:pPr>
      <w:r>
        <w:rPr>
          <w:sz w:val="20"/>
        </w:rPr>
        <w:t>Deel 3 beschrijft de EMC-eisen die gesteld worden aan rijdend materieel, 'rolling stock', en is opgesplitst in twee delen. Deel 3-1 beschrijft de emissie- en immuniteitseisen voor de complete trein en deel 3-2 beschrijft de emissie- en de immuniteitseisen voor de apparatuur die in een trein wordt</w:t>
      </w:r>
      <w:r>
        <w:rPr>
          <w:spacing w:val="-8"/>
          <w:sz w:val="20"/>
        </w:rPr>
        <w:t> </w:t>
      </w:r>
      <w:r>
        <w:rPr>
          <w:sz w:val="20"/>
        </w:rPr>
        <w:t>toegepast.</w:t>
      </w:r>
    </w:p>
    <w:p>
      <w:pPr>
        <w:pStyle w:val="ListParagraph"/>
        <w:numPr>
          <w:ilvl w:val="0"/>
          <w:numId w:val="4"/>
        </w:numPr>
        <w:tabs>
          <w:tab w:pos="1230" w:val="left" w:leader="none"/>
          <w:tab w:pos="1231" w:val="left" w:leader="none"/>
        </w:tabs>
        <w:spacing w:line="249" w:lineRule="auto" w:before="61" w:after="0"/>
        <w:ind w:left="1230" w:right="618" w:hanging="408"/>
        <w:jc w:val="left"/>
        <w:rPr>
          <w:sz w:val="20"/>
        </w:rPr>
      </w:pPr>
      <w:r>
        <w:rPr>
          <w:sz w:val="20"/>
        </w:rPr>
        <w:t>Deel 4 beschrijft de EMC-eisen voor treinbeveiliging- en telecommunicatiesystemen, 'signalling and telecommunications</w:t>
      </w:r>
      <w:r>
        <w:rPr>
          <w:spacing w:val="-5"/>
          <w:sz w:val="20"/>
        </w:rPr>
        <w:t> </w:t>
      </w:r>
      <w:r>
        <w:rPr>
          <w:sz w:val="20"/>
        </w:rPr>
        <w:t>apparatus'.</w:t>
      </w:r>
    </w:p>
    <w:p>
      <w:pPr>
        <w:pStyle w:val="ListParagraph"/>
        <w:numPr>
          <w:ilvl w:val="0"/>
          <w:numId w:val="4"/>
        </w:numPr>
        <w:tabs>
          <w:tab w:pos="1230" w:val="left" w:leader="none"/>
          <w:tab w:pos="1231" w:val="left" w:leader="none"/>
        </w:tabs>
        <w:spacing w:line="249" w:lineRule="auto" w:before="61" w:after="0"/>
        <w:ind w:left="1230" w:right="335" w:hanging="408"/>
        <w:jc w:val="left"/>
        <w:rPr>
          <w:sz w:val="20"/>
        </w:rPr>
      </w:pPr>
      <w:r>
        <w:rPr>
          <w:sz w:val="20"/>
        </w:rPr>
        <w:t>Deel 5 beschrijft de EMC-eisen voor energievoorziening installaties, 'fixed power supply installations'.</w:t>
      </w:r>
    </w:p>
    <w:p>
      <w:pPr>
        <w:pStyle w:val="BodyText"/>
        <w:spacing w:before="7"/>
        <w:rPr>
          <w:sz w:val="29"/>
        </w:rPr>
      </w:pPr>
    </w:p>
    <w:p>
      <w:pPr>
        <w:pStyle w:val="BodyText"/>
        <w:spacing w:line="249" w:lineRule="auto"/>
        <w:ind w:left="822" w:right="274"/>
      </w:pPr>
      <w:r>
        <w:rPr/>
        <w:t>Vanuit ProRail geldt deze normserie NEN-EN 50121 integraal inclusief een aantal aanvullingen (verzwaringen) op deze normserie. De eisen zijn in hoofdstuk 3 beschreven, de aanvullingen in hoofdstuk 4.</w:t>
      </w:r>
    </w:p>
    <w:p>
      <w:pPr>
        <w:pStyle w:val="BodyText"/>
        <w:spacing w:before="120"/>
        <w:ind w:left="822"/>
      </w:pPr>
      <w:r>
        <w:rPr/>
        <w:t>Voor een product zijn niet per definitie alle aanvullende EMC-eisen in RLN00007 (hoofdstuk</w:t>
      </w:r>
    </w:p>
    <w:p>
      <w:pPr>
        <w:pStyle w:val="BodyText"/>
        <w:spacing w:line="249" w:lineRule="auto" w:before="9"/>
        <w:ind w:left="822" w:right="173"/>
      </w:pPr>
      <w:r>
        <w:rPr/>
        <w:t>4) van toepassing. Uit de toelichting gegeven bij de verschillende aanvullingen blijkt of een bepaalde aanvulling al dan niet relevant is. Bij twijfel geldt: alle aanvullingen dienen toegepast te worden, tenzij:</w:t>
      </w:r>
    </w:p>
    <w:p>
      <w:pPr>
        <w:pStyle w:val="ListParagraph"/>
        <w:numPr>
          <w:ilvl w:val="2"/>
          <w:numId w:val="2"/>
        </w:numPr>
        <w:tabs>
          <w:tab w:pos="1230" w:val="left" w:leader="none"/>
          <w:tab w:pos="1231" w:val="left" w:leader="none"/>
        </w:tabs>
        <w:spacing w:line="249" w:lineRule="auto" w:before="120" w:after="0"/>
        <w:ind w:left="1230" w:right="321" w:hanging="408"/>
        <w:jc w:val="left"/>
        <w:rPr>
          <w:sz w:val="20"/>
        </w:rPr>
      </w:pPr>
      <w:r>
        <w:rPr>
          <w:sz w:val="20"/>
        </w:rPr>
        <w:t>er een afspraak is met de betreffende ProRail systeemmanager over het niet</w:t>
      </w:r>
      <w:r>
        <w:rPr>
          <w:spacing w:val="-19"/>
          <w:sz w:val="20"/>
        </w:rPr>
        <w:t> </w:t>
      </w:r>
      <w:r>
        <w:rPr>
          <w:sz w:val="20"/>
        </w:rPr>
        <w:t>toepassen van een bepaalde verzwaring of dat het een niet-vitaal systeem</w:t>
      </w:r>
      <w:r>
        <w:rPr>
          <w:spacing w:val="-13"/>
          <w:sz w:val="20"/>
        </w:rPr>
        <w:t> </w:t>
      </w:r>
      <w:r>
        <w:rPr>
          <w:sz w:val="20"/>
        </w:rPr>
        <w:t>betreft;</w:t>
      </w:r>
    </w:p>
    <w:p>
      <w:pPr>
        <w:pStyle w:val="ListParagraph"/>
        <w:numPr>
          <w:ilvl w:val="2"/>
          <w:numId w:val="2"/>
        </w:numPr>
        <w:tabs>
          <w:tab w:pos="1230" w:val="left" w:leader="none"/>
          <w:tab w:pos="1231" w:val="left" w:leader="none"/>
        </w:tabs>
        <w:spacing w:line="249" w:lineRule="auto" w:before="60" w:after="0"/>
        <w:ind w:left="1230" w:right="963" w:hanging="408"/>
        <w:jc w:val="left"/>
        <w:rPr>
          <w:sz w:val="20"/>
        </w:rPr>
      </w:pPr>
      <w:r>
        <w:rPr>
          <w:sz w:val="20"/>
        </w:rPr>
        <w:t>systeemspecifieke bedrijfsvoorschriften (zoals OVS, ISV) nader definiëren welke aanvullingen toegepast dienen te</w:t>
      </w:r>
      <w:r>
        <w:rPr>
          <w:spacing w:val="-6"/>
          <w:sz w:val="20"/>
        </w:rPr>
        <w:t> </w:t>
      </w:r>
      <w:r>
        <w:rPr>
          <w:sz w:val="20"/>
        </w:rPr>
        <w:t>worden.</w:t>
      </w:r>
    </w:p>
    <w:p>
      <w:pPr>
        <w:pStyle w:val="BodyText"/>
        <w:spacing w:before="7"/>
        <w:rPr>
          <w:sz w:val="29"/>
        </w:rPr>
      </w:pPr>
    </w:p>
    <w:p>
      <w:pPr>
        <w:pStyle w:val="BodyText"/>
        <w:spacing w:line="249" w:lineRule="auto"/>
        <w:ind w:left="822" w:right="152"/>
      </w:pPr>
      <w:r>
        <w:rPr/>
        <w:t>In sommige gevallen kunnen ook minder zware EMC-eisen dan voorgeschreven in RLN00007 of NEN-EN 50121 gelden, als in de installatietechniek maatregelen zijn getroffen conform RLN00138 of indien het niet-vitale apparatuur betreft. Welke EMC-eisen er dan gelden, volgt uit de flowchart welke is opgenomen in bijlage 1.</w:t>
      </w:r>
    </w:p>
    <w:p>
      <w:pPr>
        <w:pStyle w:val="BodyText"/>
        <w:spacing w:line="249" w:lineRule="auto" w:before="121"/>
        <w:ind w:left="822" w:right="363"/>
      </w:pPr>
      <w:r>
        <w:rPr/>
        <w:t>Voor EMC-aspecten met betrekking tot de integratie van afzonderlijke componenten, apparaten of systemen in een installatie wordt verwezen naar RLN00138 Systeemintegratie EMC, bliksem- en overspanningsbeveiliging in technische ruimtes.</w:t>
      </w:r>
    </w:p>
    <w:p>
      <w:pPr>
        <w:pStyle w:val="BodyText"/>
        <w:spacing w:line="249" w:lineRule="auto" w:before="121"/>
        <w:ind w:left="822" w:right="292"/>
      </w:pPr>
      <w:r>
        <w:rPr/>
        <w:t>Voor EMC-eisen aan rijdend materieel wordt verwezen naar de norm NEN-EN 50121-3-1 en NEN-EN 50121-3-2. Dit valt buiten het toepassingsgebied van dit voorschrift.</w:t>
      </w:r>
    </w:p>
    <w:p>
      <w:pPr>
        <w:pStyle w:val="BodyText"/>
        <w:rPr>
          <w:sz w:val="22"/>
        </w:rPr>
      </w:pPr>
    </w:p>
    <w:p>
      <w:pPr>
        <w:pStyle w:val="BodyText"/>
        <w:spacing w:before="1"/>
      </w:pPr>
    </w:p>
    <w:p>
      <w:pPr>
        <w:spacing w:line="249" w:lineRule="auto" w:before="0"/>
        <w:ind w:left="822" w:right="828" w:firstLine="0"/>
        <w:jc w:val="left"/>
        <w:rPr>
          <w:i/>
          <w:sz w:val="16"/>
        </w:rPr>
      </w:pPr>
      <w:r>
        <w:rPr>
          <w:sz w:val="16"/>
        </w:rPr>
        <w:t>* </w:t>
      </w:r>
      <w:r>
        <w:rPr>
          <w:i/>
          <w:sz w:val="16"/>
        </w:rPr>
        <w:t>zie hiervoor de lijst van geharmoniseerde EMC standaarden op: </w:t>
      </w:r>
      <w:hyperlink r:id="rId11">
        <w:r>
          <w:rPr>
            <w:i/>
            <w:color w:val="000077"/>
            <w:sz w:val="16"/>
          </w:rPr>
          <w:t>https://ec.europa.eu/growth/single-market/</w:t>
        </w:r>
      </w:hyperlink>
      <w:r>
        <w:rPr>
          <w:i/>
          <w:color w:val="000077"/>
          <w:sz w:val="16"/>
        </w:rPr>
        <w:t> </w:t>
      </w:r>
      <w:hyperlink r:id="rId11">
        <w:r>
          <w:rPr>
            <w:i/>
            <w:color w:val="000077"/>
            <w:sz w:val="16"/>
          </w:rPr>
          <w:t>european-standards/harmonised-standards/electromagnetic-compatibility_en</w:t>
        </w:r>
      </w:hyperlink>
    </w:p>
    <w:p>
      <w:pPr>
        <w:spacing w:after="0" w:line="249" w:lineRule="auto"/>
        <w:jc w:val="left"/>
        <w:rPr>
          <w:sz w:val="16"/>
        </w:rPr>
        <w:sectPr>
          <w:pgSz w:w="11910" w:h="16840"/>
          <w:pgMar w:header="560" w:footer="312" w:top="1300" w:bottom="500" w:left="1020" w:right="1580"/>
        </w:sectPr>
      </w:pPr>
    </w:p>
    <w:p>
      <w:pPr>
        <w:pStyle w:val="BodyText"/>
        <w:rPr>
          <w:i/>
        </w:rPr>
      </w:pPr>
    </w:p>
    <w:p>
      <w:pPr>
        <w:pStyle w:val="BodyText"/>
        <w:spacing w:before="10"/>
        <w:rPr>
          <w:i/>
          <w:sz w:val="22"/>
        </w:rPr>
      </w:pPr>
    </w:p>
    <w:p>
      <w:pPr>
        <w:pStyle w:val="Heading2"/>
        <w:numPr>
          <w:ilvl w:val="0"/>
          <w:numId w:val="2"/>
        </w:numPr>
        <w:tabs>
          <w:tab w:pos="829" w:val="left" w:leader="none"/>
          <w:tab w:pos="830" w:val="left" w:leader="none"/>
        </w:tabs>
        <w:spacing w:line="240" w:lineRule="auto" w:before="0" w:after="0"/>
        <w:ind w:left="829" w:right="0" w:hanging="709"/>
        <w:jc w:val="left"/>
      </w:pPr>
      <w:bookmarkStart w:name="_bookmark8" w:id="10"/>
      <w:bookmarkEnd w:id="10"/>
      <w:r>
        <w:rPr/>
        <w:t>EMC-eisen</w:t>
      </w:r>
    </w:p>
    <w:p>
      <w:pPr>
        <w:pStyle w:val="BodyText"/>
        <w:spacing w:line="249" w:lineRule="auto" w:before="134"/>
        <w:ind w:left="829" w:right="667"/>
      </w:pPr>
      <w:r>
        <w:rPr/>
        <w:t>In dit hoofdstuk staan de EMC-eisen beschreven die van toepassing zijn op elektrische / elektronische apparaten die worden toegepast in de HSWI.</w:t>
      </w:r>
    </w:p>
    <w:p>
      <w:pPr>
        <w:pStyle w:val="BodyText"/>
        <w:spacing w:before="10"/>
      </w:pPr>
    </w:p>
    <w:p>
      <w:pPr>
        <w:pStyle w:val="Heading3"/>
        <w:numPr>
          <w:ilvl w:val="1"/>
          <w:numId w:val="2"/>
        </w:numPr>
        <w:tabs>
          <w:tab w:pos="829" w:val="left" w:leader="none"/>
          <w:tab w:pos="830" w:val="left" w:leader="none"/>
        </w:tabs>
        <w:spacing w:line="240" w:lineRule="auto" w:before="0" w:after="0"/>
        <w:ind w:left="829" w:right="0" w:hanging="709"/>
        <w:jc w:val="left"/>
      </w:pPr>
      <w:bookmarkStart w:name="_bookmark9" w:id="11"/>
      <w:bookmarkEnd w:id="11"/>
      <w:r>
        <w:rPr/>
        <w:t>Algemene</w:t>
      </w:r>
      <w:r>
        <w:rPr>
          <w:spacing w:val="-3"/>
        </w:rPr>
        <w:t> </w:t>
      </w:r>
      <w:r>
        <w:rPr/>
        <w:t>EMC-eisen</w:t>
      </w:r>
    </w:p>
    <w:p>
      <w:pPr>
        <w:pStyle w:val="BodyText"/>
        <w:spacing w:before="9"/>
        <w:ind w:left="829"/>
      </w:pPr>
      <w:r>
        <w:rPr/>
        <w:t>De volgende eisen worden gesteld:</w:t>
      </w:r>
    </w:p>
    <w:p>
      <w:pPr>
        <w:spacing w:before="132"/>
        <w:ind w:left="829" w:right="0" w:firstLine="0"/>
        <w:jc w:val="left"/>
        <w:rPr>
          <w:sz w:val="16"/>
        </w:rPr>
      </w:pPr>
      <w:r>
        <w:rPr>
          <w:color w:val="878787"/>
          <w:sz w:val="16"/>
        </w:rPr>
        <w:t>EIS-007568</w:t>
      </w:r>
    </w:p>
    <w:p>
      <w:pPr>
        <w:pStyle w:val="BodyText"/>
        <w:spacing w:line="249" w:lineRule="auto" w:before="4"/>
        <w:ind w:left="829" w:right="489"/>
      </w:pPr>
      <w:r>
        <w:rPr/>
        <w:pict>
          <v:line style="position:absolute;mso-position-horizontal-relative:page;mso-position-vertical-relative:paragraph;z-index:1120" from="115.511497pt,.989904pt" to="115.511497pt,57.82389pt" stroked="true" strokeweight="1.417pt" strokecolor="#008000">
            <v:stroke dashstyle="solid"/>
            <w10:wrap type="none"/>
          </v:line>
        </w:pict>
      </w:r>
      <w:r>
        <w:rPr/>
        <w:t>De leverancier dient de van toepassing zijnde EMC-eisen te bepalen voor de start van de ontwerpfase, middels de flowchart in bijlage 1 van de RLN00007. Indien uit deze flowchart blijkt dat alleen de residentiële eisen of industriële eisen van toepassing zijn, dan zijn</w:t>
      </w:r>
    </w:p>
    <w:p>
      <w:pPr>
        <w:pStyle w:val="BodyText"/>
        <w:ind w:left="829"/>
      </w:pPr>
      <w:r>
        <w:rPr/>
        <w:t>EIS-007569 en EIS-007570 in paragraaf 3.2 en alle eisen in hoofdstuk 4 niet van toepassing.</w:t>
      </w:r>
    </w:p>
    <w:p>
      <w:pPr>
        <w:pStyle w:val="BodyText"/>
        <w:rPr>
          <w:sz w:val="22"/>
        </w:rPr>
      </w:pPr>
    </w:p>
    <w:p>
      <w:pPr>
        <w:pStyle w:val="Heading3"/>
        <w:numPr>
          <w:ilvl w:val="1"/>
          <w:numId w:val="2"/>
        </w:numPr>
        <w:tabs>
          <w:tab w:pos="829" w:val="left" w:leader="none"/>
          <w:tab w:pos="830" w:val="left" w:leader="none"/>
        </w:tabs>
        <w:spacing w:line="240" w:lineRule="auto" w:before="173" w:after="0"/>
        <w:ind w:left="829" w:right="0" w:hanging="709"/>
        <w:jc w:val="left"/>
      </w:pPr>
      <w:bookmarkStart w:name="_bookmark10" w:id="12"/>
      <w:bookmarkEnd w:id="12"/>
      <w:r>
        <w:rPr/>
        <w:t>Spoorwegspecifieke</w:t>
      </w:r>
      <w:r>
        <w:rPr>
          <w:spacing w:val="-4"/>
        </w:rPr>
        <w:t> </w:t>
      </w:r>
      <w:r>
        <w:rPr/>
        <w:t>EMC-eisen</w:t>
      </w:r>
    </w:p>
    <w:p>
      <w:pPr>
        <w:spacing w:before="13"/>
        <w:ind w:left="829" w:right="0" w:firstLine="0"/>
        <w:jc w:val="left"/>
        <w:rPr>
          <w:sz w:val="16"/>
        </w:rPr>
      </w:pPr>
      <w:r>
        <w:rPr>
          <w:color w:val="878787"/>
          <w:sz w:val="16"/>
        </w:rPr>
        <w:t>EIS-007569</w:t>
      </w:r>
    </w:p>
    <w:p>
      <w:pPr>
        <w:pStyle w:val="BodyText"/>
        <w:spacing w:line="249" w:lineRule="auto" w:before="4"/>
        <w:ind w:left="829" w:right="445"/>
      </w:pPr>
      <w:r>
        <w:rPr/>
        <w:pict>
          <v:line style="position:absolute;mso-position-horizontal-relative:page;mso-position-vertical-relative:paragraph;z-index:1144" from="115.511497pt,.989889pt" to="115.511497pt,141.823874pt" stroked="true" strokeweight="1.417pt" strokecolor="#008000">
            <v:stroke dashstyle="solid"/>
            <w10:wrap type="none"/>
          </v:line>
        </w:pict>
      </w:r>
      <w:r>
        <w:rPr/>
        <w:t>Apparaten dienen te voldoen aan de EMC-eisen conform de normserie NEN-EN 50121. ProRail hanteert de versies van de NEN-EN 50121 zoals aangegeven in paragraaf 6.1 van RLN00007.</w:t>
      </w:r>
    </w:p>
    <w:p>
      <w:pPr>
        <w:spacing w:before="120"/>
        <w:ind w:left="829" w:right="0" w:firstLine="0"/>
        <w:jc w:val="left"/>
        <w:rPr>
          <w:i/>
          <w:sz w:val="20"/>
        </w:rPr>
      </w:pPr>
      <w:r>
        <w:rPr>
          <w:i/>
          <w:sz w:val="20"/>
        </w:rPr>
        <w:t>Toelichting:</w:t>
      </w:r>
    </w:p>
    <w:p>
      <w:pPr>
        <w:spacing w:line="249" w:lineRule="auto" w:before="9"/>
        <w:ind w:left="829" w:right="245" w:firstLine="0"/>
        <w:jc w:val="left"/>
        <w:rPr>
          <w:i/>
          <w:sz w:val="20"/>
        </w:rPr>
      </w:pPr>
      <w:r>
        <w:rPr>
          <w:i/>
          <w:sz w:val="20"/>
        </w:rPr>
        <w:t>Zie paragraaf 2.4 van de RLN00007 voor toelichting over de opbouw van de normserie NEN- </w:t>
      </w:r>
      <w:r>
        <w:rPr>
          <w:i/>
          <w:sz w:val="20"/>
        </w:rPr>
        <w:t>EN 50121.</w:t>
      </w:r>
    </w:p>
    <w:p>
      <w:pPr>
        <w:spacing w:line="249" w:lineRule="auto" w:before="121"/>
        <w:ind w:left="829" w:right="441" w:firstLine="0"/>
        <w:jc w:val="left"/>
        <w:rPr>
          <w:i/>
          <w:sz w:val="20"/>
        </w:rPr>
      </w:pPr>
      <w:r>
        <w:rPr>
          <w:i/>
          <w:sz w:val="20"/>
        </w:rPr>
        <w:t>De NEN-EN 50121-4:2006 (de laatste geharmoniseerde versie ten tijde van publicatie van </w:t>
      </w:r>
      <w:r>
        <w:rPr>
          <w:i/>
          <w:sz w:val="20"/>
        </w:rPr>
        <w:t>deze RLN00007) vereist nog ‘Pulsed magnetic field’ testen (op basis van NEN-EN-IEC 61000-4-9), deze test is dus nog benodigd ten behoeve van de CE-markering. De NEN-EN 50121-4:2016 heeft aanvullende Radiated immunity testen tussen 5,1GHz en 6GHz.</w:t>
      </w:r>
    </w:p>
    <w:p>
      <w:pPr>
        <w:spacing w:before="181"/>
        <w:ind w:left="829" w:right="0" w:firstLine="0"/>
        <w:jc w:val="left"/>
        <w:rPr>
          <w:sz w:val="16"/>
        </w:rPr>
      </w:pPr>
      <w:r>
        <w:rPr>
          <w:color w:val="878787"/>
          <w:sz w:val="16"/>
        </w:rPr>
        <w:t>EIS-007570</w:t>
      </w:r>
    </w:p>
    <w:p>
      <w:pPr>
        <w:pStyle w:val="BodyText"/>
        <w:spacing w:line="249" w:lineRule="auto" w:before="5"/>
        <w:ind w:left="829" w:right="734"/>
      </w:pPr>
      <w:r>
        <w:rPr/>
        <w:pict>
          <v:line style="position:absolute;mso-position-horizontal-relative:page;mso-position-vertical-relative:paragraph;z-index:1168" from="115.511497pt,1.039873pt" to="115.511497pt,33.873844pt" stroked="true" strokeweight="1.417pt" strokecolor="#008000">
            <v:stroke dashstyle="solid"/>
            <w10:wrap type="none"/>
          </v:line>
        </w:pict>
      </w:r>
      <w:r>
        <w:rPr/>
        <w:t>Apparaten dienen te voldoen aan de aanvullende EMC-eisen op de normserie NEN-EN 50121, conform hoofdstuk 4 van RLN00007.</w:t>
      </w:r>
    </w:p>
    <w:p>
      <w:pPr>
        <w:spacing w:before="181"/>
        <w:ind w:left="829" w:right="0" w:firstLine="0"/>
        <w:jc w:val="left"/>
        <w:rPr>
          <w:sz w:val="16"/>
        </w:rPr>
      </w:pPr>
      <w:r>
        <w:rPr>
          <w:color w:val="878787"/>
          <w:sz w:val="16"/>
        </w:rPr>
        <w:t>EIS-007572</w:t>
      </w:r>
    </w:p>
    <w:p>
      <w:pPr>
        <w:pStyle w:val="BodyText"/>
        <w:spacing w:line="249" w:lineRule="auto" w:before="5"/>
        <w:ind w:left="829" w:right="478"/>
      </w:pPr>
      <w:r>
        <w:rPr/>
        <w:pict>
          <v:line style="position:absolute;mso-position-horizontal-relative:page;mso-position-vertical-relative:paragraph;z-index:1192" from="115.511497pt,1.039873pt" to="115.511497pt,45.873844pt" stroked="true" strokeweight="1.417pt" strokecolor="#008000">
            <v:stroke dashstyle="solid"/>
            <w10:wrap type="none"/>
          </v:line>
        </w:pict>
      </w:r>
      <w:r>
        <w:rPr/>
        <w:t>De leverancier dient een opsomming van alle componenten en/of een beschrijving van het apparaat en/of de vaste installaties te leveren, zodat duidelijk is uit welke combinatie van componenten deze is opgebouwd.</w:t>
      </w:r>
    </w:p>
    <w:p>
      <w:pPr>
        <w:spacing w:before="181"/>
        <w:ind w:left="829" w:right="0" w:firstLine="0"/>
        <w:jc w:val="left"/>
        <w:rPr>
          <w:sz w:val="16"/>
        </w:rPr>
      </w:pPr>
      <w:r>
        <w:rPr>
          <w:color w:val="878787"/>
          <w:sz w:val="16"/>
        </w:rPr>
        <w:t>EIS-007573</w:t>
      </w:r>
    </w:p>
    <w:p>
      <w:pPr>
        <w:pStyle w:val="BodyText"/>
        <w:spacing w:line="249" w:lineRule="auto" w:before="5"/>
        <w:ind w:left="829" w:right="329"/>
      </w:pPr>
      <w:r>
        <w:rPr/>
        <w:pict>
          <v:line style="position:absolute;mso-position-horizontal-relative:page;mso-position-vertical-relative:paragraph;z-index:1216" from="115.511497pt,1.039873pt" to="115.511497pt,45.873874pt" stroked="true" strokeweight="1.417pt" strokecolor="#008000">
            <v:stroke dashstyle="solid"/>
            <w10:wrap type="none"/>
          </v:line>
        </w:pict>
      </w:r>
      <w:r>
        <w:rPr/>
        <w:t>De leverancier dient een gebruikershandleiding te leveren, waarin instructies staan betreffende de wijze van aansluiten, de installatiewijze en het operationeel gebruik van het betreffende apparaat of vaste installatie.</w:t>
      </w:r>
    </w:p>
    <w:p>
      <w:pPr>
        <w:spacing w:before="181"/>
        <w:ind w:left="829" w:right="0" w:firstLine="0"/>
        <w:jc w:val="left"/>
        <w:rPr>
          <w:sz w:val="16"/>
        </w:rPr>
      </w:pPr>
      <w:r>
        <w:rPr>
          <w:color w:val="878787"/>
          <w:sz w:val="16"/>
        </w:rPr>
        <w:t>EIS-007574</w:t>
      </w:r>
    </w:p>
    <w:p>
      <w:pPr>
        <w:pStyle w:val="BodyText"/>
        <w:spacing w:line="249" w:lineRule="auto" w:before="5"/>
        <w:ind w:left="829" w:right="745"/>
      </w:pPr>
      <w:r>
        <w:rPr/>
        <w:pict>
          <v:line style="position:absolute;mso-position-horizontal-relative:page;mso-position-vertical-relative:paragraph;z-index:1240" from="115.511497pt,1.039888pt" to="115.511497pt,75.87389pt" stroked="true" strokeweight="1.417pt" strokecolor="#008000">
            <v:stroke dashstyle="solid"/>
            <w10:wrap type="none"/>
          </v:line>
        </w:pict>
      </w:r>
      <w:r>
        <w:rPr/>
        <w:t>De leverancier dient het apparaat zodanig uit te voeren dat dit in overeenstemming met bestaande (installatie)voorschriften van ProRail geïnstalleerd kan worden.</w:t>
      </w:r>
    </w:p>
    <w:p>
      <w:pPr>
        <w:spacing w:line="249" w:lineRule="auto" w:before="121"/>
        <w:ind w:left="829" w:right="329" w:firstLine="0"/>
        <w:jc w:val="left"/>
        <w:rPr>
          <w:i/>
          <w:sz w:val="20"/>
        </w:rPr>
      </w:pPr>
      <w:r>
        <w:rPr>
          <w:i/>
          <w:sz w:val="20"/>
        </w:rPr>
        <w:t>Toelichting: Bestaande voorschriften zijn onder andere de RLN00138 en de OVS00055-3 </w:t>
      </w:r>
      <w:r>
        <w:rPr>
          <w:i/>
          <w:sz w:val="20"/>
        </w:rPr>
        <w:t>(deze laatste bevat de nadere uitwerking van RLN00138 specifiek voor systemen in de nabijheid van 25kV tractie-energievoorziening).</w:t>
      </w:r>
    </w:p>
    <w:p>
      <w:pPr>
        <w:spacing w:after="0" w:line="249" w:lineRule="auto"/>
        <w:jc w:val="left"/>
        <w:rPr>
          <w:sz w:val="20"/>
        </w:rPr>
        <w:sectPr>
          <w:pgSz w:w="11910" w:h="16840"/>
          <w:pgMar w:header="560" w:footer="312" w:top="1340" w:bottom="500" w:left="1580" w:right="1020"/>
        </w:sectPr>
      </w:pPr>
    </w:p>
    <w:p>
      <w:pPr>
        <w:pStyle w:val="BodyText"/>
        <w:spacing w:line="20" w:lineRule="exact"/>
        <w:ind w:left="108"/>
        <w:rPr>
          <w:sz w:val="2"/>
        </w:rPr>
      </w:pPr>
      <w:r>
        <w:rPr>
          <w:sz w:val="2"/>
        </w:rPr>
        <w:pict>
          <v:group style="width:454.05pt;height:.5pt;mso-position-horizontal-relative:char;mso-position-vertical-relative:line" coordorigin="0,0" coordsize="9081,10">
            <v:line style="position:absolute" from="5,5" to="3029,5" stroked="true" strokeweight=".5pt" strokecolor="#000000">
              <v:stroke dashstyle="solid"/>
            </v:line>
            <v:line style="position:absolute" from="3029,5" to="6052,5" stroked="true" strokeweight=".5pt" strokecolor="#000000">
              <v:stroke dashstyle="solid"/>
            </v:line>
            <v:line style="position:absolute" from="6052,5" to="9076,5" stroked="true" strokeweight=".5pt" strokecolor="#000000">
              <v:stroke dashstyle="solid"/>
            </v:line>
          </v:group>
        </w:pict>
      </w:r>
      <w:r>
        <w:rPr>
          <w:sz w:val="2"/>
        </w:rPr>
      </w:r>
    </w:p>
    <w:p>
      <w:pPr>
        <w:pStyle w:val="BodyText"/>
        <w:rPr>
          <w:i/>
        </w:rPr>
      </w:pPr>
    </w:p>
    <w:p>
      <w:pPr>
        <w:pStyle w:val="BodyText"/>
        <w:spacing w:before="9"/>
        <w:rPr>
          <w:i/>
          <w:sz w:val="15"/>
        </w:rPr>
      </w:pPr>
    </w:p>
    <w:p>
      <w:pPr>
        <w:pStyle w:val="Heading2"/>
        <w:numPr>
          <w:ilvl w:val="0"/>
          <w:numId w:val="2"/>
        </w:numPr>
        <w:tabs>
          <w:tab w:pos="822" w:val="left" w:leader="none"/>
          <w:tab w:pos="823" w:val="left" w:leader="none"/>
        </w:tabs>
        <w:spacing w:line="240" w:lineRule="auto" w:before="92" w:after="0"/>
        <w:ind w:left="822" w:right="0" w:hanging="709"/>
        <w:jc w:val="left"/>
      </w:pPr>
      <w:bookmarkStart w:name="_bookmark11" w:id="13"/>
      <w:bookmarkEnd w:id="13"/>
      <w:r>
        <w:rPr/>
        <w:t>Aanvullende</w:t>
      </w:r>
      <w:r>
        <w:rPr>
          <w:spacing w:val="-4"/>
        </w:rPr>
        <w:t> </w:t>
      </w:r>
      <w:r>
        <w:rPr/>
        <w:t>EMC-eisen</w:t>
      </w:r>
    </w:p>
    <w:p>
      <w:pPr>
        <w:pStyle w:val="BodyText"/>
        <w:spacing w:line="249" w:lineRule="auto" w:before="134"/>
        <w:ind w:left="822" w:right="408"/>
      </w:pPr>
      <w:r>
        <w:rPr/>
        <w:t>Dit hoofdstuk beschrijft de aanvullingen (verzwaringen) op de norm NEN-EN 50121 die van toepassing zijn, inclusief toelichting (zie ook paragraaf 3.1).</w:t>
      </w:r>
    </w:p>
    <w:p>
      <w:pPr>
        <w:pStyle w:val="BodyText"/>
        <w:spacing w:line="249" w:lineRule="auto" w:before="120"/>
        <w:ind w:left="822" w:right="151"/>
      </w:pPr>
      <w:r>
        <w:rPr/>
        <w:t>De genummerde aanvullingen tussen rechte haken zijn bedoeld om een link te kunnen leggen met de vorige versie van RLN00007 (V005, 1-4-2009); deze zijn uitsluitend informatief.</w:t>
      </w:r>
    </w:p>
    <w:p>
      <w:pPr>
        <w:pStyle w:val="BodyText"/>
        <w:spacing w:before="10"/>
      </w:pPr>
    </w:p>
    <w:p>
      <w:pPr>
        <w:pStyle w:val="Heading3"/>
        <w:numPr>
          <w:ilvl w:val="1"/>
          <w:numId w:val="2"/>
        </w:numPr>
        <w:tabs>
          <w:tab w:pos="822" w:val="left" w:leader="none"/>
          <w:tab w:pos="823" w:val="left" w:leader="none"/>
        </w:tabs>
        <w:spacing w:line="240" w:lineRule="auto" w:before="0" w:after="0"/>
        <w:ind w:left="829" w:right="0" w:hanging="716"/>
        <w:jc w:val="left"/>
      </w:pPr>
      <w:bookmarkStart w:name="_bookmark12" w:id="14"/>
      <w:bookmarkEnd w:id="14"/>
      <w:r>
        <w:rPr/>
        <w:t>Immuniteit</w:t>
      </w:r>
      <w:r>
        <w:rPr/>
        <w:t> van de Enclosure port</w:t>
      </w:r>
      <w:r>
        <w:rPr>
          <w:spacing w:val="-8"/>
        </w:rPr>
        <w:t> </w:t>
      </w:r>
      <w:r>
        <w:rPr/>
        <w:t>(1)</w:t>
      </w:r>
    </w:p>
    <w:p>
      <w:pPr>
        <w:spacing w:before="12"/>
        <w:ind w:left="822" w:right="0" w:firstLine="0"/>
        <w:jc w:val="left"/>
        <w:rPr>
          <w:sz w:val="16"/>
        </w:rPr>
      </w:pPr>
      <w:r>
        <w:rPr>
          <w:color w:val="878787"/>
          <w:sz w:val="16"/>
        </w:rPr>
        <w:t>EIS-007575</w:t>
      </w:r>
    </w:p>
    <w:p>
      <w:pPr>
        <w:pStyle w:val="BodyText"/>
        <w:spacing w:line="249" w:lineRule="auto" w:before="4"/>
        <w:ind w:left="822" w:right="625"/>
      </w:pPr>
      <w:r>
        <w:rPr/>
        <w:pict>
          <v:line style="position:absolute;mso-position-horizontal-relative:page;mso-position-vertical-relative:paragraph;z-index:1288" from="87.164497pt,.989904pt" to="87.164497pt,195.823906pt" stroked="true" strokeweight="1.417pt" strokecolor="#008000">
            <v:stroke dashstyle="solid"/>
            <w10:wrap type="none"/>
          </v:line>
        </w:pict>
      </w:r>
      <w:r>
        <w:rPr/>
        <w:t>Apparaten dienen te voldoen aan de immuniteitseisen van 20V/m voor 'radio frequency electromagnetic field' bij specifieke zendfrequenties in de frequentieband 380-470MHz in plaats van de 10V/m conform NEN-EN-IEC 61000-4-3.</w:t>
      </w:r>
    </w:p>
    <w:p>
      <w:pPr>
        <w:spacing w:before="121"/>
        <w:ind w:left="822" w:right="0" w:firstLine="0"/>
        <w:jc w:val="left"/>
        <w:rPr>
          <w:i/>
          <w:sz w:val="20"/>
        </w:rPr>
      </w:pPr>
      <w:r>
        <w:rPr>
          <w:i/>
          <w:sz w:val="20"/>
        </w:rPr>
        <w:t>Toelichting:</w:t>
      </w:r>
    </w:p>
    <w:p>
      <w:pPr>
        <w:spacing w:before="10"/>
        <w:ind w:left="822" w:right="0" w:firstLine="0"/>
        <w:jc w:val="left"/>
        <w:rPr>
          <w:i/>
          <w:sz w:val="20"/>
        </w:rPr>
      </w:pPr>
      <w:r>
        <w:rPr>
          <w:i/>
          <w:sz w:val="20"/>
        </w:rPr>
        <w:t>Zie NEN-EN 50121-4, hoofdstuk 6.2, tabel 2, art. 2.1 of NEN-EN 50121-5, hoofdstuk 6, tabel</w:t>
      </w:r>
    </w:p>
    <w:p>
      <w:pPr>
        <w:spacing w:before="10"/>
        <w:ind w:left="822" w:right="0" w:firstLine="0"/>
        <w:jc w:val="left"/>
        <w:rPr>
          <w:i/>
          <w:sz w:val="20"/>
        </w:rPr>
      </w:pPr>
      <w:r>
        <w:rPr>
          <w:i/>
          <w:sz w:val="20"/>
        </w:rPr>
        <w:t>1, art 1.1.</w:t>
      </w:r>
    </w:p>
    <w:p>
      <w:pPr>
        <w:spacing w:line="249" w:lineRule="auto" w:before="130"/>
        <w:ind w:left="822" w:right="192" w:firstLine="0"/>
        <w:jc w:val="left"/>
        <w:rPr>
          <w:i/>
          <w:sz w:val="20"/>
        </w:rPr>
      </w:pPr>
      <w:r>
        <w:rPr>
          <w:i/>
          <w:sz w:val="20"/>
        </w:rPr>
        <w:t>De beschouwde stoorbron in NEN-EN-IEC 61000-4-3 is onder andere een 'hand held radio </w:t>
      </w:r>
      <w:r>
        <w:rPr>
          <w:i/>
          <w:sz w:val="20"/>
        </w:rPr>
        <w:t>transmitter', zoals een portofoon. Met deze verzwaring is de apparatuur beter bestand tegen het nabije gebruik van portofoons. Voorbeeld: immuniteit van 10V/m conform NEN-EN-IEC 61000-4-3: immuun voor een portofoon van 4W op circa 60 cm afstand. Bij een immuniteit van 20V/m conform NEN-EN-IEC 61000-4-3 is dit circa 30 cm. Indien een portofoon wordt gebruikt binnen een afstand van 60 cm respectievelijk 30 cm, dan is de goede werking van de betreffende apparatuur niet</w:t>
      </w:r>
      <w:r>
        <w:rPr>
          <w:i/>
          <w:spacing w:val="-5"/>
          <w:sz w:val="20"/>
        </w:rPr>
        <w:t> </w:t>
      </w:r>
      <w:r>
        <w:rPr>
          <w:i/>
          <w:sz w:val="20"/>
        </w:rPr>
        <w:t>gegarandeerd.</w:t>
      </w:r>
    </w:p>
    <w:p>
      <w:pPr>
        <w:spacing w:before="121"/>
        <w:ind w:left="822" w:right="0" w:firstLine="0"/>
        <w:jc w:val="left"/>
        <w:rPr>
          <w:i/>
          <w:sz w:val="20"/>
        </w:rPr>
      </w:pPr>
      <w:r>
        <w:rPr>
          <w:i/>
          <w:sz w:val="20"/>
        </w:rPr>
        <w:t>[Aanvulling 2, 15]</w:t>
      </w:r>
    </w:p>
    <w:p>
      <w:pPr>
        <w:pStyle w:val="BodyText"/>
        <w:rPr>
          <w:i/>
          <w:sz w:val="22"/>
        </w:rPr>
      </w:pPr>
    </w:p>
    <w:p>
      <w:pPr>
        <w:pStyle w:val="Heading3"/>
        <w:numPr>
          <w:ilvl w:val="1"/>
          <w:numId w:val="2"/>
        </w:numPr>
        <w:tabs>
          <w:tab w:pos="822" w:val="left" w:leader="none"/>
          <w:tab w:pos="823" w:val="left" w:leader="none"/>
        </w:tabs>
        <w:spacing w:line="240" w:lineRule="auto" w:before="173" w:after="0"/>
        <w:ind w:left="822" w:right="0" w:hanging="709"/>
        <w:jc w:val="left"/>
      </w:pPr>
      <w:bookmarkStart w:name="_bookmark13" w:id="15"/>
      <w:bookmarkEnd w:id="15"/>
      <w:r>
        <w:rPr/>
        <w:t>Immuniteit</w:t>
      </w:r>
      <w:r>
        <w:rPr/>
        <w:t> van de Enclosure port</w:t>
      </w:r>
      <w:r>
        <w:rPr>
          <w:spacing w:val="-8"/>
        </w:rPr>
        <w:t> </w:t>
      </w:r>
      <w:r>
        <w:rPr/>
        <w:t>(2)</w:t>
      </w:r>
    </w:p>
    <w:p>
      <w:pPr>
        <w:spacing w:before="13"/>
        <w:ind w:left="822" w:right="0" w:firstLine="0"/>
        <w:jc w:val="left"/>
        <w:rPr>
          <w:sz w:val="16"/>
        </w:rPr>
      </w:pPr>
      <w:r>
        <w:rPr>
          <w:color w:val="878787"/>
          <w:sz w:val="16"/>
        </w:rPr>
        <w:t>EIS-007576</w:t>
      </w:r>
    </w:p>
    <w:p>
      <w:pPr>
        <w:pStyle w:val="BodyText"/>
        <w:spacing w:before="5"/>
        <w:ind w:left="822"/>
      </w:pPr>
      <w:r>
        <w:rPr/>
        <w:pict>
          <v:line style="position:absolute;mso-position-horizontal-relative:page;mso-position-vertical-relative:paragraph;z-index:1312" from="87.164497pt,1.039873pt" to="87.164497pt,135.873875pt" stroked="true" strokeweight="1.417pt" strokecolor="#008000">
            <v:stroke dashstyle="solid"/>
            <w10:wrap type="none"/>
          </v:line>
        </w:pict>
      </w:r>
      <w:r>
        <w:rPr/>
        <w:t>Apparaten dienen een immuniteitsniveau van:</w:t>
      </w:r>
    </w:p>
    <w:p>
      <w:pPr>
        <w:pStyle w:val="ListParagraph"/>
        <w:numPr>
          <w:ilvl w:val="0"/>
          <w:numId w:val="5"/>
        </w:numPr>
        <w:tabs>
          <w:tab w:pos="945" w:val="left" w:leader="none"/>
        </w:tabs>
        <w:spacing w:line="240" w:lineRule="auto" w:before="130" w:after="0"/>
        <w:ind w:left="944" w:right="0" w:hanging="122"/>
        <w:jc w:val="left"/>
        <w:rPr>
          <w:sz w:val="20"/>
        </w:rPr>
      </w:pPr>
      <w:r>
        <w:rPr>
          <w:sz w:val="20"/>
        </w:rPr>
        <w:t>10V/m in het frequentiegebied 1000MHz tot 1400MHz,</w:t>
      </w:r>
      <w:r>
        <w:rPr>
          <w:spacing w:val="-10"/>
          <w:sz w:val="20"/>
        </w:rPr>
        <w:t> </w:t>
      </w:r>
      <w:r>
        <w:rPr>
          <w:sz w:val="20"/>
        </w:rPr>
        <w:t>en</w:t>
      </w:r>
    </w:p>
    <w:p>
      <w:pPr>
        <w:pStyle w:val="ListParagraph"/>
        <w:numPr>
          <w:ilvl w:val="0"/>
          <w:numId w:val="5"/>
        </w:numPr>
        <w:tabs>
          <w:tab w:pos="945" w:val="left" w:leader="none"/>
        </w:tabs>
        <w:spacing w:line="240" w:lineRule="auto" w:before="130" w:after="0"/>
        <w:ind w:left="944" w:right="0" w:hanging="122"/>
        <w:jc w:val="left"/>
        <w:rPr>
          <w:sz w:val="20"/>
        </w:rPr>
      </w:pPr>
      <w:r>
        <w:rPr>
          <w:sz w:val="20"/>
        </w:rPr>
        <w:t>3V/m in het frequentiegebied 2700MHz tot</w:t>
      </w:r>
      <w:r>
        <w:rPr>
          <w:spacing w:val="-9"/>
          <w:sz w:val="20"/>
        </w:rPr>
        <w:t> </w:t>
      </w:r>
      <w:r>
        <w:rPr>
          <w:sz w:val="20"/>
        </w:rPr>
        <w:t>5100MHz</w:t>
      </w:r>
    </w:p>
    <w:p>
      <w:pPr>
        <w:pStyle w:val="BodyText"/>
        <w:spacing w:before="130"/>
        <w:ind w:left="822"/>
      </w:pPr>
      <w:r>
        <w:rPr/>
        <w:t>te hebben voor 'radio frequency electromagnetic field' conform NEN-EN-IEC 61000-4-3.</w:t>
      </w:r>
    </w:p>
    <w:p>
      <w:pPr>
        <w:spacing w:before="130"/>
        <w:ind w:left="822" w:right="0" w:firstLine="0"/>
        <w:jc w:val="left"/>
        <w:rPr>
          <w:i/>
          <w:sz w:val="20"/>
        </w:rPr>
      </w:pPr>
      <w:r>
        <w:rPr>
          <w:i/>
          <w:sz w:val="20"/>
        </w:rPr>
        <w:t>Toelichting:</w:t>
      </w:r>
    </w:p>
    <w:p>
      <w:pPr>
        <w:spacing w:before="9"/>
        <w:ind w:left="822" w:right="0" w:firstLine="0"/>
        <w:jc w:val="left"/>
        <w:rPr>
          <w:i/>
          <w:sz w:val="20"/>
        </w:rPr>
      </w:pPr>
      <w:r>
        <w:rPr>
          <w:i/>
          <w:sz w:val="20"/>
        </w:rPr>
        <w:t>Zie NEN-EN 50121-4, hoofdstuk 6.2, tabel 2, art. 2.2 of NEN-EN 50121-5, hoofdstuk 6, tabel</w:t>
      </w:r>
    </w:p>
    <w:p>
      <w:pPr>
        <w:spacing w:before="9"/>
        <w:ind w:left="822" w:right="0" w:firstLine="0"/>
        <w:jc w:val="left"/>
        <w:rPr>
          <w:i/>
          <w:sz w:val="20"/>
        </w:rPr>
      </w:pPr>
      <w:r>
        <w:rPr>
          <w:i/>
          <w:sz w:val="20"/>
        </w:rPr>
        <w:t>1, art 1.2.</w:t>
      </w:r>
    </w:p>
    <w:p>
      <w:pPr>
        <w:spacing w:before="129"/>
        <w:ind w:left="822" w:right="0" w:firstLine="0"/>
        <w:jc w:val="left"/>
        <w:rPr>
          <w:i/>
          <w:sz w:val="20"/>
        </w:rPr>
      </w:pPr>
      <w:r>
        <w:rPr>
          <w:i/>
          <w:sz w:val="20"/>
        </w:rPr>
        <w:t>[Aanvulling 2a, nieuwe aanvulling]</w:t>
      </w:r>
    </w:p>
    <w:p>
      <w:pPr>
        <w:pStyle w:val="BodyText"/>
        <w:rPr>
          <w:i/>
          <w:sz w:val="22"/>
        </w:rPr>
      </w:pPr>
    </w:p>
    <w:p>
      <w:pPr>
        <w:pStyle w:val="Heading3"/>
        <w:numPr>
          <w:ilvl w:val="1"/>
          <w:numId w:val="2"/>
        </w:numPr>
        <w:tabs>
          <w:tab w:pos="822" w:val="left" w:leader="none"/>
          <w:tab w:pos="823" w:val="left" w:leader="none"/>
        </w:tabs>
        <w:spacing w:line="240" w:lineRule="auto" w:before="172" w:after="0"/>
        <w:ind w:left="822" w:right="0" w:hanging="709"/>
        <w:jc w:val="left"/>
      </w:pPr>
      <w:bookmarkStart w:name="_bookmark14" w:id="16"/>
      <w:bookmarkEnd w:id="16"/>
      <w:r>
        <w:rPr/>
        <w:t>Immuniteitsniveau</w:t>
      </w:r>
      <w:r>
        <w:rPr/>
        <w:t> voor Fast transients van I/O-ports, DC-power ports, AC-power</w:t>
      </w:r>
      <w:r>
        <w:rPr>
          <w:spacing w:val="-16"/>
        </w:rPr>
        <w:t> </w:t>
      </w:r>
      <w:r>
        <w:rPr/>
        <w:t>ports</w:t>
      </w:r>
    </w:p>
    <w:p>
      <w:pPr>
        <w:spacing w:before="12"/>
        <w:ind w:left="822" w:right="0" w:firstLine="0"/>
        <w:jc w:val="left"/>
        <w:rPr>
          <w:sz w:val="16"/>
        </w:rPr>
      </w:pPr>
      <w:r>
        <w:rPr>
          <w:color w:val="878787"/>
          <w:sz w:val="16"/>
        </w:rPr>
        <w:t>EIS-007577</w:t>
      </w:r>
    </w:p>
    <w:p>
      <w:pPr>
        <w:pStyle w:val="BodyText"/>
        <w:spacing w:line="249" w:lineRule="auto" w:before="4"/>
        <w:ind w:left="822" w:right="285"/>
      </w:pPr>
      <w:r>
        <w:rPr/>
        <w:pict>
          <v:line style="position:absolute;mso-position-horizontal-relative:page;mso-position-vertical-relative:paragraph;z-index:1336" from="87.164497pt,.989858pt" to="87.164497pt,147.82389pt" stroked="true" strokeweight="1.417pt" strokecolor="#008000">
            <v:stroke dashstyle="solid"/>
            <w10:wrap type="none"/>
          </v:line>
        </w:pict>
      </w:r>
      <w:r>
        <w:rPr/>
        <w:t>De I/O-ports, DC-power ports of AC-power ports van apparaten (die verbonden zijn met zwevende treinbeveiligingscircuits) die B-relais schakelen, waarvan de bekrachtigingspoelen niet van dempingsnetwerken zijn voorzien, dienen een immuniteitsniveau van 4 kV peak te hebben voor Fast transients conform NEN-EN-IEC 61000-4-4 met prestatiecriterium A.</w:t>
      </w:r>
    </w:p>
    <w:p>
      <w:pPr>
        <w:spacing w:before="121"/>
        <w:ind w:left="822" w:right="0" w:firstLine="0"/>
        <w:jc w:val="left"/>
        <w:rPr>
          <w:i/>
          <w:sz w:val="20"/>
        </w:rPr>
      </w:pPr>
      <w:r>
        <w:rPr>
          <w:i/>
          <w:sz w:val="20"/>
        </w:rPr>
        <w:t>Toelichting:</w:t>
      </w:r>
    </w:p>
    <w:p>
      <w:pPr>
        <w:spacing w:before="10"/>
        <w:ind w:left="822" w:right="0" w:firstLine="0"/>
        <w:jc w:val="left"/>
        <w:rPr>
          <w:i/>
          <w:sz w:val="20"/>
        </w:rPr>
      </w:pPr>
      <w:r>
        <w:rPr>
          <w:i/>
          <w:sz w:val="20"/>
        </w:rPr>
        <w:t>Zie NEN-EN 50121-4, hoofdstuk 6.2, tabel 3 (art. 3.2), tabel 4 (art. 4.2) en tabel 5 (art. 5.2), of</w:t>
      </w:r>
    </w:p>
    <w:p>
      <w:pPr>
        <w:spacing w:before="10"/>
        <w:ind w:left="822" w:right="0" w:firstLine="0"/>
        <w:jc w:val="left"/>
        <w:rPr>
          <w:i/>
          <w:sz w:val="20"/>
        </w:rPr>
      </w:pPr>
      <w:r>
        <w:rPr>
          <w:i/>
          <w:sz w:val="20"/>
        </w:rPr>
        <w:t>NEN-EN 50121-5, tabel 2 (art. 2.2), tabel 3 (art. 3.3), tabel 4 (art. 4.2) en tabel 5 (art. 5.2).</w:t>
      </w:r>
    </w:p>
    <w:p>
      <w:pPr>
        <w:spacing w:line="249" w:lineRule="auto" w:before="130"/>
        <w:ind w:left="822" w:right="129" w:firstLine="0"/>
        <w:jc w:val="left"/>
        <w:rPr>
          <w:i/>
          <w:sz w:val="20"/>
        </w:rPr>
      </w:pPr>
      <w:r>
        <w:rPr>
          <w:i/>
          <w:sz w:val="20"/>
        </w:rPr>
        <w:t>Deze verzwaring blijkt in de praktijk nodig te zijn, aangezien hogere waarden kunnen optreden </w:t>
      </w:r>
      <w:r>
        <w:rPr>
          <w:i/>
          <w:sz w:val="20"/>
        </w:rPr>
        <w:t>dan in de norm als immuniteitsniveau wordt geëist.</w:t>
      </w:r>
    </w:p>
    <w:p>
      <w:pPr>
        <w:spacing w:before="121"/>
        <w:ind w:left="822" w:right="0" w:firstLine="0"/>
        <w:jc w:val="left"/>
        <w:rPr>
          <w:i/>
          <w:sz w:val="20"/>
        </w:rPr>
      </w:pPr>
      <w:r>
        <w:rPr>
          <w:i/>
          <w:sz w:val="20"/>
        </w:rPr>
        <w:t>[Aanvulling 9, 20]</w:t>
      </w:r>
    </w:p>
    <w:p>
      <w:pPr>
        <w:spacing w:after="0"/>
        <w:jc w:val="left"/>
        <w:rPr>
          <w:sz w:val="20"/>
        </w:rPr>
        <w:sectPr>
          <w:pgSz w:w="11910" w:h="16840"/>
          <w:pgMar w:header="560" w:footer="312" w:top="1300" w:bottom="500" w:left="1020" w:right="1580"/>
        </w:sectPr>
      </w:pPr>
    </w:p>
    <w:p>
      <w:pPr>
        <w:pStyle w:val="BodyText"/>
        <w:spacing w:before="8"/>
        <w:rPr>
          <w:i/>
          <w:sz w:val="18"/>
        </w:rPr>
      </w:pPr>
    </w:p>
    <w:p>
      <w:pPr>
        <w:spacing w:line="153" w:lineRule="auto" w:before="0"/>
        <w:ind w:left="1282" w:right="297" w:hanging="454"/>
        <w:jc w:val="left"/>
        <w:rPr>
          <w:i/>
          <w:sz w:val="20"/>
        </w:rPr>
      </w:pPr>
      <w:r>
        <w:rPr>
          <w:position w:val="-18"/>
        </w:rPr>
        <w:drawing>
          <wp:inline distT="0" distB="0" distL="0" distR="0">
            <wp:extent cx="251993" cy="251993"/>
            <wp:effectExtent l="0" t="0" r="0" b="0"/>
            <wp:docPr id="7" name="image3.png" descr=""/>
            <wp:cNvGraphicFramePr>
              <a:graphicFrameLocks noChangeAspect="1"/>
            </wp:cNvGraphicFramePr>
            <a:graphic>
              <a:graphicData uri="http://schemas.openxmlformats.org/drawingml/2006/picture">
                <pic:pic>
                  <pic:nvPicPr>
                    <pic:cNvPr id="8" name="image3.png"/>
                    <pic:cNvPicPr/>
                  </pic:nvPicPr>
                  <pic:blipFill>
                    <a:blip r:embed="rId12" cstate="print"/>
                    <a:stretch>
                      <a:fillRect/>
                    </a:stretch>
                  </pic:blipFill>
                  <pic:spPr>
                    <a:xfrm>
                      <a:off x="0" y="0"/>
                      <a:ext cx="251993" cy="251993"/>
                    </a:xfrm>
                    <a:prstGeom prst="rect">
                      <a:avLst/>
                    </a:prstGeom>
                  </pic:spPr>
                </pic:pic>
              </a:graphicData>
            </a:graphic>
          </wp:inline>
        </w:drawing>
      </w:r>
      <w:r>
        <w:rPr>
          <w:position w:val="-18"/>
        </w:rPr>
      </w:r>
      <w:r>
        <w:rPr>
          <w:rFonts w:ascii="Times New Roman" w:hAnsi="Times New Roman"/>
          <w:spacing w:val="6"/>
          <w:sz w:val="20"/>
        </w:rPr>
        <w:t> </w:t>
      </w:r>
      <w:r>
        <w:rPr>
          <w:i/>
          <w:sz w:val="20"/>
        </w:rPr>
        <w:t>Onder I/O-ports, DC-power ports, AC-power ports wordt ook verstaan de ‘Ports for </w:t>
      </w:r>
      <w:r>
        <w:rPr>
          <w:i/>
          <w:sz w:val="20"/>
        </w:rPr>
        <w:t>process, measurement and control lines, and long bus’, ‘DC input and DC output</w:t>
      </w:r>
      <w:r>
        <w:rPr>
          <w:i/>
          <w:spacing w:val="-16"/>
          <w:sz w:val="20"/>
        </w:rPr>
        <w:t> </w:t>
      </w:r>
      <w:r>
        <w:rPr>
          <w:i/>
          <w:sz w:val="20"/>
        </w:rPr>
        <w:t>power</w:t>
      </w:r>
    </w:p>
    <w:p>
      <w:pPr>
        <w:spacing w:before="25"/>
        <w:ind w:left="1282" w:right="0" w:firstLine="0"/>
        <w:jc w:val="left"/>
        <w:rPr>
          <w:i/>
          <w:sz w:val="20"/>
        </w:rPr>
      </w:pPr>
      <w:r>
        <w:rPr>
          <w:i/>
          <w:sz w:val="20"/>
        </w:rPr>
        <w:t>ports’ en ‘AC input en AC output power ports’ zoals genoemd in NEN-EN 50121-5.</w:t>
      </w:r>
    </w:p>
    <w:p>
      <w:pPr>
        <w:pStyle w:val="BodyText"/>
        <w:rPr>
          <w:i/>
        </w:rPr>
      </w:pPr>
    </w:p>
    <w:p>
      <w:pPr>
        <w:pStyle w:val="BodyText"/>
        <w:spacing w:before="1"/>
        <w:rPr>
          <w:i/>
          <w:sz w:val="19"/>
        </w:rPr>
      </w:pPr>
    </w:p>
    <w:p>
      <w:pPr>
        <w:pStyle w:val="Heading3"/>
        <w:numPr>
          <w:ilvl w:val="1"/>
          <w:numId w:val="2"/>
        </w:numPr>
        <w:tabs>
          <w:tab w:pos="829" w:val="left" w:leader="none"/>
          <w:tab w:pos="830" w:val="left" w:leader="none"/>
        </w:tabs>
        <w:spacing w:line="240" w:lineRule="auto" w:before="0" w:after="0"/>
        <w:ind w:left="829" w:right="0" w:hanging="709"/>
        <w:jc w:val="left"/>
      </w:pPr>
      <w:bookmarkStart w:name="_bookmark15" w:id="17"/>
      <w:bookmarkEnd w:id="17"/>
      <w:r>
        <w:rPr/>
        <w:t>Immuniteitsniveau</w:t>
      </w:r>
      <w:r>
        <w:rPr/>
        <w:t> voor Surges van I/O-ports, DC-power ports, AC-power</w:t>
      </w:r>
      <w:r>
        <w:rPr>
          <w:spacing w:val="-15"/>
        </w:rPr>
        <w:t> </w:t>
      </w:r>
      <w:r>
        <w:rPr/>
        <w:t>ports</w:t>
      </w:r>
    </w:p>
    <w:p>
      <w:pPr>
        <w:spacing w:before="13"/>
        <w:ind w:left="829" w:right="0" w:firstLine="0"/>
        <w:jc w:val="left"/>
        <w:rPr>
          <w:sz w:val="16"/>
        </w:rPr>
      </w:pPr>
      <w:r>
        <w:rPr>
          <w:color w:val="878787"/>
          <w:sz w:val="16"/>
        </w:rPr>
        <w:t>EIS-007578</w:t>
      </w:r>
    </w:p>
    <w:p>
      <w:pPr>
        <w:pStyle w:val="BodyText"/>
        <w:spacing w:line="249" w:lineRule="auto" w:before="4"/>
        <w:ind w:left="829" w:right="301"/>
      </w:pPr>
      <w:r>
        <w:rPr/>
        <w:pict>
          <v:line style="position:absolute;mso-position-horizontal-relative:page;mso-position-vertical-relative:paragraph;z-index:1360" from="115.511497pt,.989865pt" to="115.511497pt,321.823844pt" stroked="true" strokeweight="1.417pt" strokecolor="#008000">
            <v:stroke dashstyle="solid"/>
            <w10:wrap type="none"/>
          </v:line>
        </w:pict>
      </w:r>
      <w:r>
        <w:rPr/>
        <w:t>De I/O-ports, DC-power ports of AC-power ports van apparaten die via bekabeling elektrisch verbonden zijn met spoorstaven en/of mechanisch bevestigd zijn aan spoorstaven, of die elektrisch verbonden zijn met zwevende treinbeveiligingscircuits, die op de zonegrens</w:t>
      </w:r>
    </w:p>
    <w:p>
      <w:pPr>
        <w:pStyle w:val="BodyText"/>
        <w:spacing w:line="249" w:lineRule="auto"/>
        <w:ind w:left="829" w:right="356"/>
      </w:pPr>
      <w:r>
        <w:rPr/>
        <w:t>LPZ0 / LPZ1-SR (conform RLN00138) niet beveiligd zijn tegen overspanningen, dienen een immuniteitsniveau van 4kV Differential mode (DM) en 4kV Common mode (CM) te hebben voor surges conform NEN-EN-IEC 61000-4-5.</w:t>
      </w:r>
    </w:p>
    <w:p>
      <w:pPr>
        <w:spacing w:before="121"/>
        <w:ind w:left="829" w:right="0" w:firstLine="0"/>
        <w:jc w:val="left"/>
        <w:rPr>
          <w:i/>
          <w:sz w:val="20"/>
        </w:rPr>
      </w:pPr>
      <w:r>
        <w:rPr>
          <w:i/>
          <w:sz w:val="20"/>
        </w:rPr>
        <w:t>Toelichting:</w:t>
      </w:r>
    </w:p>
    <w:p>
      <w:pPr>
        <w:spacing w:before="10"/>
        <w:ind w:left="829" w:right="0" w:firstLine="0"/>
        <w:jc w:val="left"/>
        <w:rPr>
          <w:i/>
          <w:sz w:val="20"/>
        </w:rPr>
      </w:pPr>
      <w:r>
        <w:rPr>
          <w:i/>
          <w:sz w:val="20"/>
        </w:rPr>
        <w:t>Zie NEN-EN 50121-4, hoofdstuk 6.2, tabel 3 (art. 3.3), tabel 4 (art. 4.3) en tabel 5 (art. 5.3), of</w:t>
      </w:r>
    </w:p>
    <w:p>
      <w:pPr>
        <w:spacing w:before="10"/>
        <w:ind w:left="829" w:right="0" w:firstLine="0"/>
        <w:jc w:val="left"/>
        <w:rPr>
          <w:i/>
          <w:sz w:val="20"/>
        </w:rPr>
      </w:pPr>
      <w:r>
        <w:rPr>
          <w:i/>
          <w:sz w:val="20"/>
        </w:rPr>
        <w:t>NEN-EN 50121-5, hoofdstuk 6, tabel 3 (art. 3.4), tabel 4 (art. 4.3) en tabel 5 (art. 5.3).</w:t>
      </w:r>
    </w:p>
    <w:p>
      <w:pPr>
        <w:spacing w:line="249" w:lineRule="auto" w:before="130"/>
        <w:ind w:left="829" w:right="251" w:firstLine="0"/>
        <w:jc w:val="left"/>
        <w:rPr>
          <w:i/>
          <w:sz w:val="20"/>
        </w:rPr>
      </w:pPr>
      <w:r>
        <w:rPr>
          <w:i/>
          <w:sz w:val="20"/>
        </w:rPr>
        <w:t>Deze verzwaring blijkt in de praktijk nodig te zijn, aangezien hogere waarden kunnen </w:t>
      </w:r>
      <w:r>
        <w:rPr>
          <w:i/>
          <w:sz w:val="20"/>
        </w:rPr>
        <w:t>optreden, dan de standaard immuniteitsniveau’s in de norm NEN-EN 50121. Voor bepaalde systemen en situaties zal deze verzwaring mogelijk nog niet voldoende zijn om probleemloos te kunnen functioneren tijdens en na bliksemontladingen. Het is echter niet mogelijk om hogere immuniteitsniveaus te eisen dan </w:t>
      </w:r>
      <w:r>
        <w:rPr>
          <w:i/>
          <w:spacing w:val="-4"/>
          <w:sz w:val="20"/>
        </w:rPr>
        <w:t>4kV, </w:t>
      </w:r>
      <w:r>
        <w:rPr>
          <w:i/>
          <w:sz w:val="20"/>
        </w:rPr>
        <w:t>aangezien de meeste testhuizen dit niet kunnen beproeven. Het is in dergelijke gevallen noodzakelijk om installatiemaatregelen, overspanningsbeveiliging en/of filtering toe te passen (conform RLN00138 danwel de systeemspecifieke uitwerking daarvan in ontwerpvoorschriften en</w:t>
      </w:r>
      <w:r>
        <w:rPr>
          <w:i/>
          <w:spacing w:val="-10"/>
          <w:sz w:val="20"/>
        </w:rPr>
        <w:t> </w:t>
      </w:r>
      <w:r>
        <w:rPr>
          <w:i/>
          <w:sz w:val="20"/>
        </w:rPr>
        <w:t>installatievoorschriften).</w:t>
      </w:r>
    </w:p>
    <w:p>
      <w:pPr>
        <w:spacing w:line="249" w:lineRule="auto" w:before="1"/>
        <w:ind w:left="829" w:right="322" w:firstLine="0"/>
        <w:jc w:val="left"/>
        <w:rPr>
          <w:i/>
          <w:sz w:val="20"/>
        </w:rPr>
      </w:pPr>
      <w:r>
        <w:rPr>
          <w:i/>
          <w:sz w:val="20"/>
        </w:rPr>
        <w:t>Daarmee kunnen de stoorspanningen (‘surges’), waaraan de apparatuur wordt blootgesteld, </w:t>
      </w:r>
      <w:r>
        <w:rPr>
          <w:i/>
          <w:sz w:val="20"/>
        </w:rPr>
        <w:t>beperkt worden tot maximaal 4kV.</w:t>
      </w:r>
    </w:p>
    <w:p>
      <w:pPr>
        <w:spacing w:line="249" w:lineRule="auto" w:before="121"/>
        <w:ind w:left="829" w:right="600" w:firstLine="0"/>
        <w:jc w:val="left"/>
        <w:rPr>
          <w:i/>
          <w:sz w:val="20"/>
        </w:rPr>
      </w:pPr>
      <w:r>
        <w:rPr>
          <w:i/>
          <w:sz w:val="20"/>
        </w:rPr>
        <w:t>Voorbeeld: overweggelijkrichters dienen aan deze 4kV surge-eis te voldoen, aangezien </w:t>
      </w:r>
      <w:r>
        <w:rPr>
          <w:i/>
          <w:sz w:val="20"/>
        </w:rPr>
        <w:t>zij B-relaisschakelingen voeden in een relaiskast bij de overweg. Echter gezien de lange, onbeschermde kabelverbindingen waarmee de apparatuur verbonden is, zijn extra installatiemaatregelen nodig zoals hierboven beschreven.</w:t>
      </w:r>
    </w:p>
    <w:p>
      <w:pPr>
        <w:spacing w:before="121"/>
        <w:ind w:left="829" w:right="0" w:firstLine="0"/>
        <w:jc w:val="left"/>
        <w:rPr>
          <w:i/>
          <w:sz w:val="20"/>
        </w:rPr>
      </w:pPr>
      <w:r>
        <w:rPr>
          <w:i/>
          <w:sz w:val="20"/>
        </w:rPr>
        <w:t>[Aanvulling 10, 11, 21, 22]</w:t>
      </w:r>
    </w:p>
    <w:p>
      <w:pPr>
        <w:pStyle w:val="BodyText"/>
        <w:rPr>
          <w:i/>
          <w:sz w:val="22"/>
        </w:rPr>
      </w:pPr>
    </w:p>
    <w:p>
      <w:pPr>
        <w:pStyle w:val="Heading3"/>
        <w:numPr>
          <w:ilvl w:val="1"/>
          <w:numId w:val="2"/>
        </w:numPr>
        <w:tabs>
          <w:tab w:pos="829" w:val="left" w:leader="none"/>
          <w:tab w:pos="830" w:val="left" w:leader="none"/>
        </w:tabs>
        <w:spacing w:line="249" w:lineRule="auto" w:before="173" w:after="0"/>
        <w:ind w:left="829" w:right="170" w:hanging="709"/>
        <w:jc w:val="left"/>
      </w:pPr>
      <w:bookmarkStart w:name="_bookmark16" w:id="18"/>
      <w:bookmarkEnd w:id="18"/>
      <w:r>
        <w:rPr/>
        <w:t>Immuniteit</w:t>
      </w:r>
      <w:r>
        <w:rPr/>
        <w:t> voor 50 Hz-beïnvloeding in de nabijheid van 25kV</w:t>
      </w:r>
      <w:r>
        <w:rPr>
          <w:spacing w:val="-17"/>
        </w:rPr>
        <w:t> </w:t>
      </w:r>
      <w:r>
        <w:rPr/>
        <w:t>tractie-energievoorziening voor I/O-ports, DC-power ports, AC-power</w:t>
      </w:r>
      <w:r>
        <w:rPr>
          <w:spacing w:val="-9"/>
        </w:rPr>
        <w:t> </w:t>
      </w:r>
      <w:r>
        <w:rPr/>
        <w:t>ports</w:t>
      </w:r>
    </w:p>
    <w:p>
      <w:pPr>
        <w:spacing w:before="4"/>
        <w:ind w:left="829" w:right="0" w:firstLine="0"/>
        <w:jc w:val="left"/>
        <w:rPr>
          <w:sz w:val="16"/>
        </w:rPr>
      </w:pPr>
      <w:r>
        <w:rPr>
          <w:color w:val="878787"/>
          <w:sz w:val="16"/>
        </w:rPr>
        <w:t>EIS-007580</w:t>
      </w:r>
    </w:p>
    <w:p>
      <w:pPr>
        <w:pStyle w:val="BodyText"/>
        <w:spacing w:line="249" w:lineRule="auto" w:before="5"/>
        <w:ind w:left="829" w:right="233"/>
      </w:pPr>
      <w:r>
        <w:rPr/>
        <w:pict>
          <v:line style="position:absolute;mso-position-horizontal-relative:page;mso-position-vertical-relative:paragraph;z-index:1384" from="115.511497pt,1.039874pt" to="115.511497pt,249.439898pt" stroked="true" strokeweight="1.417pt" strokecolor="#008000">
            <v:stroke dashstyle="dash"/>
            <w10:wrap type="none"/>
          </v:line>
        </w:pict>
      </w:r>
      <w:r>
        <w:rPr/>
        <w:t>De I/O-ports, DC-power ports of AC-power ports voor apparatuur en vaste installaties die worden toegepast in de nabijheid van 25 kV tractie-energievoorziening, zoals gedefinieerd in het toepassingsgebied van OVS00055-3, dienen te voldoen aan de immuniteitswaarden voor de optredende 50 Hz common mode (CM) spanningen uit de tabel in de toelichting van deze eis.</w:t>
      </w:r>
    </w:p>
    <w:p>
      <w:pPr>
        <w:spacing w:before="121"/>
        <w:ind w:left="829" w:right="0" w:firstLine="0"/>
        <w:jc w:val="left"/>
        <w:rPr>
          <w:i/>
          <w:sz w:val="20"/>
        </w:rPr>
      </w:pPr>
      <w:r>
        <w:rPr>
          <w:i/>
          <w:sz w:val="20"/>
        </w:rPr>
        <w:t>Toelichting:</w:t>
      </w:r>
    </w:p>
    <w:p>
      <w:pPr>
        <w:pStyle w:val="BodyText"/>
        <w:rPr>
          <w:i/>
        </w:rPr>
      </w:pPr>
    </w:p>
    <w:p>
      <w:pPr>
        <w:pStyle w:val="BodyText"/>
        <w:spacing w:before="1"/>
        <w:rPr>
          <w:i/>
          <w:sz w:val="17"/>
        </w:rPr>
      </w:pPr>
    </w:p>
    <w:tbl>
      <w:tblPr>
        <w:tblW w:w="0" w:type="auto"/>
        <w:jc w:val="left"/>
        <w:tblInd w:w="823" w:type="dxa"/>
        <w:tblBorders>
          <w:top w:val="single" w:sz="5" w:space="0" w:color="00537A"/>
          <w:left w:val="single" w:sz="5" w:space="0" w:color="00537A"/>
          <w:bottom w:val="single" w:sz="5" w:space="0" w:color="00537A"/>
          <w:right w:val="single" w:sz="5" w:space="0" w:color="00537A"/>
          <w:insideH w:val="single" w:sz="5" w:space="0" w:color="00537A"/>
          <w:insideV w:val="single" w:sz="5" w:space="0" w:color="00537A"/>
        </w:tblBorders>
        <w:tblLayout w:type="fixed"/>
        <w:tblCellMar>
          <w:top w:w="0" w:type="dxa"/>
          <w:left w:w="0" w:type="dxa"/>
          <w:bottom w:w="0" w:type="dxa"/>
          <w:right w:w="0" w:type="dxa"/>
        </w:tblCellMar>
        <w:tblLook w:val="01E0"/>
      </w:tblPr>
      <w:tblGrid>
        <w:gridCol w:w="1394"/>
        <w:gridCol w:w="1394"/>
        <w:gridCol w:w="1394"/>
        <w:gridCol w:w="1394"/>
        <w:gridCol w:w="1394"/>
        <w:gridCol w:w="1394"/>
      </w:tblGrid>
      <w:tr>
        <w:trPr>
          <w:trHeight w:val="1036" w:hRule="exact"/>
        </w:trPr>
        <w:tc>
          <w:tcPr>
            <w:tcW w:w="1394" w:type="dxa"/>
            <w:tcBorders>
              <w:bottom w:val="single" w:sz="2" w:space="0" w:color="00537A"/>
            </w:tcBorders>
            <w:shd w:val="clear" w:color="auto" w:fill="BDDDE9"/>
          </w:tcPr>
          <w:p>
            <w:pPr>
              <w:pStyle w:val="TableParagraph"/>
              <w:spacing w:line="249" w:lineRule="auto" w:before="65"/>
              <w:ind w:left="172" w:right="519"/>
              <w:rPr>
                <w:b/>
                <w:sz w:val="18"/>
              </w:rPr>
            </w:pPr>
            <w:r>
              <w:rPr>
                <w:b/>
                <w:sz w:val="18"/>
              </w:rPr>
              <w:t>Bedrijfs</w:t>
            </w:r>
            <w:r>
              <w:rPr>
                <w:b/>
                <w:w w:val="99"/>
                <w:sz w:val="18"/>
              </w:rPr>
              <w:t> </w:t>
            </w:r>
            <w:r>
              <w:rPr>
                <w:b/>
                <w:sz w:val="18"/>
              </w:rPr>
              <w:t>situatie</w:t>
            </w:r>
          </w:p>
        </w:tc>
        <w:tc>
          <w:tcPr>
            <w:tcW w:w="1394" w:type="dxa"/>
            <w:tcBorders>
              <w:bottom w:val="single" w:sz="2" w:space="0" w:color="00537A"/>
            </w:tcBorders>
            <w:shd w:val="clear" w:color="auto" w:fill="BDDDE9"/>
          </w:tcPr>
          <w:p>
            <w:pPr>
              <w:pStyle w:val="TableParagraph"/>
              <w:spacing w:line="249" w:lineRule="auto" w:before="65"/>
              <w:ind w:left="171" w:right="80"/>
              <w:rPr>
                <w:b/>
                <w:sz w:val="18"/>
              </w:rPr>
            </w:pPr>
            <w:r>
              <w:rPr>
                <w:b/>
                <w:sz w:val="18"/>
              </w:rPr>
              <w:t>Beschouwde variabele</w:t>
            </w:r>
          </w:p>
        </w:tc>
        <w:tc>
          <w:tcPr>
            <w:tcW w:w="1394" w:type="dxa"/>
            <w:tcBorders>
              <w:bottom w:val="single" w:sz="2" w:space="0" w:color="00537A"/>
            </w:tcBorders>
            <w:shd w:val="clear" w:color="auto" w:fill="BDDDE9"/>
          </w:tcPr>
          <w:p>
            <w:pPr>
              <w:pStyle w:val="TableParagraph"/>
              <w:spacing w:before="65"/>
              <w:ind w:left="171"/>
              <w:rPr>
                <w:b/>
                <w:sz w:val="18"/>
              </w:rPr>
            </w:pPr>
            <w:r>
              <w:rPr>
                <w:b/>
                <w:sz w:val="18"/>
              </w:rPr>
              <w:t>Aanduiding</w:t>
            </w:r>
          </w:p>
        </w:tc>
        <w:tc>
          <w:tcPr>
            <w:tcW w:w="1394" w:type="dxa"/>
            <w:tcBorders>
              <w:bottom w:val="single" w:sz="2" w:space="0" w:color="00537A"/>
            </w:tcBorders>
            <w:shd w:val="clear" w:color="auto" w:fill="BDDDE9"/>
          </w:tcPr>
          <w:p>
            <w:pPr>
              <w:pStyle w:val="TableParagraph"/>
              <w:spacing w:line="249" w:lineRule="auto" w:before="65"/>
              <w:ind w:left="171" w:right="150"/>
              <w:rPr>
                <w:b/>
                <w:sz w:val="18"/>
              </w:rPr>
            </w:pPr>
            <w:r>
              <w:rPr>
                <w:b/>
                <w:sz w:val="18"/>
              </w:rPr>
              <w:t>Trein beveiligings systemen</w:t>
            </w:r>
          </w:p>
        </w:tc>
        <w:tc>
          <w:tcPr>
            <w:tcW w:w="1394" w:type="dxa"/>
            <w:tcBorders>
              <w:bottom w:val="single" w:sz="2" w:space="0" w:color="00537A"/>
              <w:right w:val="single" w:sz="2" w:space="0" w:color="00537A"/>
            </w:tcBorders>
            <w:shd w:val="clear" w:color="auto" w:fill="BDDDE9"/>
          </w:tcPr>
          <w:p>
            <w:pPr>
              <w:pStyle w:val="TableParagraph"/>
              <w:spacing w:line="249" w:lineRule="auto" w:before="65"/>
              <w:ind w:left="171" w:right="363"/>
              <w:rPr>
                <w:b/>
                <w:sz w:val="18"/>
              </w:rPr>
            </w:pPr>
            <w:r>
              <w:rPr>
                <w:b/>
                <w:sz w:val="18"/>
              </w:rPr>
              <w:t>Telecom systemen</w:t>
            </w:r>
          </w:p>
        </w:tc>
        <w:tc>
          <w:tcPr>
            <w:tcW w:w="1394" w:type="dxa"/>
            <w:tcBorders>
              <w:left w:val="single" w:sz="2" w:space="0" w:color="00537A"/>
              <w:bottom w:val="single" w:sz="2" w:space="0" w:color="00537A"/>
            </w:tcBorders>
            <w:shd w:val="clear" w:color="auto" w:fill="BDDDE9"/>
          </w:tcPr>
          <w:p>
            <w:pPr>
              <w:pStyle w:val="TableParagraph"/>
              <w:spacing w:line="249" w:lineRule="auto" w:before="65"/>
              <w:ind w:left="175" w:right="359"/>
              <w:rPr>
                <w:b/>
                <w:sz w:val="18"/>
              </w:rPr>
            </w:pPr>
            <w:r>
              <w:rPr>
                <w:b/>
                <w:sz w:val="18"/>
              </w:rPr>
              <w:t>Andere systemen (o.b.v. IB- kabels)</w:t>
            </w:r>
          </w:p>
        </w:tc>
      </w:tr>
      <w:tr>
        <w:trPr>
          <w:trHeight w:val="430" w:hRule="exact"/>
        </w:trPr>
        <w:tc>
          <w:tcPr>
            <w:tcW w:w="1394" w:type="dxa"/>
            <w:tcBorders>
              <w:top w:val="single" w:sz="2" w:space="0" w:color="00537A"/>
              <w:bottom w:val="nil"/>
            </w:tcBorders>
          </w:tcPr>
          <w:p>
            <w:pPr>
              <w:pStyle w:val="TableParagraph"/>
              <w:spacing w:line="180" w:lineRule="exact" w:before="75"/>
              <w:ind w:left="172" w:right="509"/>
              <w:rPr>
                <w:sz w:val="18"/>
              </w:rPr>
            </w:pPr>
            <w:r>
              <w:rPr>
                <w:sz w:val="18"/>
              </w:rPr>
              <w:t>Normale situatie</w:t>
            </w:r>
          </w:p>
        </w:tc>
        <w:tc>
          <w:tcPr>
            <w:tcW w:w="1394" w:type="dxa"/>
            <w:tcBorders>
              <w:top w:val="single" w:sz="2" w:space="0" w:color="00537A"/>
              <w:bottom w:val="nil"/>
            </w:tcBorders>
          </w:tcPr>
          <w:p>
            <w:pPr>
              <w:pStyle w:val="TableParagraph"/>
              <w:spacing w:line="193" w:lineRule="exact" w:before="50"/>
              <w:ind w:left="171"/>
              <w:rPr>
                <w:sz w:val="18"/>
              </w:rPr>
            </w:pPr>
            <w:r>
              <w:rPr>
                <w:sz w:val="18"/>
              </w:rPr>
              <w:t>50Hz</w:t>
            </w:r>
          </w:p>
          <w:p>
            <w:pPr>
              <w:pStyle w:val="TableParagraph"/>
              <w:spacing w:line="193" w:lineRule="exact"/>
              <w:ind w:left="171"/>
              <w:rPr>
                <w:sz w:val="18"/>
              </w:rPr>
            </w:pPr>
            <w:r>
              <w:rPr>
                <w:sz w:val="18"/>
              </w:rPr>
              <w:t>Common</w:t>
            </w:r>
          </w:p>
        </w:tc>
        <w:tc>
          <w:tcPr>
            <w:tcW w:w="1394" w:type="dxa"/>
            <w:tcBorders>
              <w:top w:val="single" w:sz="2" w:space="0" w:color="00537A"/>
              <w:bottom w:val="nil"/>
            </w:tcBorders>
          </w:tcPr>
          <w:p>
            <w:pPr>
              <w:pStyle w:val="TableParagraph"/>
              <w:spacing w:before="50"/>
              <w:ind w:left="171"/>
              <w:rPr>
                <w:sz w:val="18"/>
              </w:rPr>
            </w:pPr>
            <w:r>
              <w:rPr>
                <w:sz w:val="18"/>
              </w:rPr>
              <w:t>Vcm</w:t>
            </w:r>
          </w:p>
        </w:tc>
        <w:tc>
          <w:tcPr>
            <w:tcW w:w="1394" w:type="dxa"/>
            <w:tcBorders>
              <w:top w:val="single" w:sz="2" w:space="0" w:color="00537A"/>
              <w:bottom w:val="nil"/>
            </w:tcBorders>
          </w:tcPr>
          <w:p>
            <w:pPr>
              <w:pStyle w:val="TableParagraph"/>
              <w:spacing w:before="50"/>
              <w:ind w:left="171"/>
              <w:rPr>
                <w:sz w:val="18"/>
              </w:rPr>
            </w:pPr>
            <w:r>
              <w:rPr>
                <w:sz w:val="18"/>
              </w:rPr>
              <w:t>285 V</w:t>
            </w:r>
          </w:p>
        </w:tc>
        <w:tc>
          <w:tcPr>
            <w:tcW w:w="1394" w:type="dxa"/>
            <w:tcBorders>
              <w:top w:val="single" w:sz="2" w:space="0" w:color="00537A"/>
              <w:bottom w:val="nil"/>
              <w:right w:val="single" w:sz="2" w:space="0" w:color="00537A"/>
            </w:tcBorders>
          </w:tcPr>
          <w:p>
            <w:pPr>
              <w:pStyle w:val="TableParagraph"/>
              <w:spacing w:before="50"/>
              <w:ind w:left="171"/>
              <w:rPr>
                <w:sz w:val="18"/>
              </w:rPr>
            </w:pPr>
            <w:r>
              <w:rPr>
                <w:sz w:val="18"/>
              </w:rPr>
              <w:t>115 V</w:t>
            </w:r>
          </w:p>
        </w:tc>
        <w:tc>
          <w:tcPr>
            <w:tcW w:w="1394" w:type="dxa"/>
            <w:tcBorders>
              <w:top w:val="single" w:sz="2" w:space="0" w:color="00537A"/>
              <w:left w:val="single" w:sz="2" w:space="0" w:color="00537A"/>
              <w:bottom w:val="nil"/>
            </w:tcBorders>
          </w:tcPr>
          <w:p>
            <w:pPr>
              <w:pStyle w:val="TableParagraph"/>
              <w:spacing w:before="50"/>
              <w:ind w:left="175"/>
              <w:rPr>
                <w:sz w:val="18"/>
              </w:rPr>
            </w:pPr>
            <w:r>
              <w:rPr>
                <w:sz w:val="18"/>
              </w:rPr>
              <w:t>115 V</w:t>
            </w:r>
          </w:p>
        </w:tc>
      </w:tr>
      <w:tr>
        <w:trPr>
          <w:trHeight w:val="180" w:hRule="exact"/>
        </w:trPr>
        <w:tc>
          <w:tcPr>
            <w:tcW w:w="1394" w:type="dxa"/>
            <w:tcBorders>
              <w:top w:val="nil"/>
              <w:bottom w:val="nil"/>
            </w:tcBorders>
          </w:tcPr>
          <w:p>
            <w:pPr>
              <w:pStyle w:val="TableParagraph"/>
              <w:spacing w:line="191" w:lineRule="exact"/>
              <w:ind w:left="172"/>
              <w:rPr>
                <w:sz w:val="18"/>
              </w:rPr>
            </w:pPr>
            <w:r>
              <w:rPr>
                <w:sz w:val="18"/>
              </w:rPr>
              <w:t>('continuous</w:t>
            </w:r>
          </w:p>
        </w:tc>
        <w:tc>
          <w:tcPr>
            <w:tcW w:w="1394" w:type="dxa"/>
            <w:tcBorders>
              <w:top w:val="nil"/>
              <w:bottom w:val="nil"/>
            </w:tcBorders>
          </w:tcPr>
          <w:p>
            <w:pPr>
              <w:pStyle w:val="TableParagraph"/>
              <w:spacing w:line="191" w:lineRule="exact"/>
              <w:ind w:left="171"/>
              <w:rPr>
                <w:sz w:val="18"/>
              </w:rPr>
            </w:pPr>
            <w:r>
              <w:rPr>
                <w:sz w:val="18"/>
              </w:rPr>
              <w:t>mode</w:t>
            </w:r>
          </w:p>
        </w:tc>
        <w:tc>
          <w:tcPr>
            <w:tcW w:w="1394" w:type="dxa"/>
            <w:tcBorders>
              <w:top w:val="nil"/>
              <w:bottom w:val="nil"/>
            </w:tcBorders>
          </w:tcPr>
          <w:p>
            <w:pPr/>
          </w:p>
        </w:tc>
        <w:tc>
          <w:tcPr>
            <w:tcW w:w="1394" w:type="dxa"/>
            <w:tcBorders>
              <w:top w:val="nil"/>
              <w:bottom w:val="nil"/>
            </w:tcBorders>
          </w:tcPr>
          <w:p>
            <w:pPr/>
          </w:p>
        </w:tc>
        <w:tc>
          <w:tcPr>
            <w:tcW w:w="1394" w:type="dxa"/>
            <w:tcBorders>
              <w:top w:val="nil"/>
              <w:bottom w:val="nil"/>
              <w:right w:val="single" w:sz="2" w:space="0" w:color="00537A"/>
            </w:tcBorders>
          </w:tcPr>
          <w:p>
            <w:pPr/>
          </w:p>
        </w:tc>
        <w:tc>
          <w:tcPr>
            <w:tcW w:w="1394" w:type="dxa"/>
            <w:tcBorders>
              <w:top w:val="nil"/>
              <w:left w:val="single" w:sz="2" w:space="0" w:color="00537A"/>
              <w:bottom w:val="nil"/>
            </w:tcBorders>
          </w:tcPr>
          <w:p>
            <w:pPr/>
          </w:p>
        </w:tc>
      </w:tr>
      <w:tr>
        <w:trPr>
          <w:trHeight w:val="282" w:hRule="exact"/>
        </w:trPr>
        <w:tc>
          <w:tcPr>
            <w:tcW w:w="1394" w:type="dxa"/>
            <w:tcBorders>
              <w:top w:val="nil"/>
              <w:bottom w:val="single" w:sz="2" w:space="0" w:color="00537A"/>
            </w:tcBorders>
          </w:tcPr>
          <w:p>
            <w:pPr>
              <w:pStyle w:val="TableParagraph"/>
              <w:spacing w:line="191" w:lineRule="exact"/>
              <w:ind w:left="172"/>
              <w:rPr>
                <w:sz w:val="18"/>
              </w:rPr>
            </w:pPr>
            <w:r>
              <w:rPr>
                <w:sz w:val="18"/>
              </w:rPr>
              <w:t>disturbance')</w:t>
            </w:r>
          </w:p>
        </w:tc>
        <w:tc>
          <w:tcPr>
            <w:tcW w:w="1394" w:type="dxa"/>
            <w:tcBorders>
              <w:top w:val="nil"/>
              <w:bottom w:val="single" w:sz="2" w:space="0" w:color="00537A"/>
            </w:tcBorders>
          </w:tcPr>
          <w:p>
            <w:pPr>
              <w:pStyle w:val="TableParagraph"/>
              <w:spacing w:line="191" w:lineRule="exact"/>
              <w:ind w:left="171"/>
              <w:rPr>
                <w:sz w:val="18"/>
              </w:rPr>
            </w:pPr>
            <w:r>
              <w:rPr>
                <w:sz w:val="18"/>
              </w:rPr>
              <w:t>spanning</w:t>
            </w:r>
          </w:p>
        </w:tc>
        <w:tc>
          <w:tcPr>
            <w:tcW w:w="1394" w:type="dxa"/>
            <w:tcBorders>
              <w:top w:val="nil"/>
              <w:bottom w:val="single" w:sz="2" w:space="0" w:color="00537A"/>
            </w:tcBorders>
          </w:tcPr>
          <w:p>
            <w:pPr/>
          </w:p>
        </w:tc>
        <w:tc>
          <w:tcPr>
            <w:tcW w:w="1394" w:type="dxa"/>
            <w:tcBorders>
              <w:top w:val="nil"/>
              <w:bottom w:val="single" w:sz="2" w:space="0" w:color="00537A"/>
            </w:tcBorders>
          </w:tcPr>
          <w:p>
            <w:pPr/>
          </w:p>
        </w:tc>
        <w:tc>
          <w:tcPr>
            <w:tcW w:w="1394" w:type="dxa"/>
            <w:tcBorders>
              <w:top w:val="nil"/>
              <w:bottom w:val="single" w:sz="2" w:space="0" w:color="00537A"/>
              <w:right w:val="single" w:sz="2" w:space="0" w:color="00537A"/>
            </w:tcBorders>
          </w:tcPr>
          <w:p>
            <w:pPr/>
          </w:p>
        </w:tc>
        <w:tc>
          <w:tcPr>
            <w:tcW w:w="1394" w:type="dxa"/>
            <w:tcBorders>
              <w:top w:val="nil"/>
              <w:left w:val="single" w:sz="2" w:space="0" w:color="00537A"/>
              <w:bottom w:val="single" w:sz="2" w:space="0" w:color="00537A"/>
            </w:tcBorders>
          </w:tcPr>
          <w:p>
            <w:pPr/>
          </w:p>
        </w:tc>
      </w:tr>
      <w:tr>
        <w:trPr>
          <w:trHeight w:val="430" w:hRule="exact"/>
        </w:trPr>
        <w:tc>
          <w:tcPr>
            <w:tcW w:w="1394" w:type="dxa"/>
            <w:tcBorders>
              <w:top w:val="single" w:sz="2" w:space="0" w:color="00537A"/>
              <w:bottom w:val="nil"/>
            </w:tcBorders>
          </w:tcPr>
          <w:p>
            <w:pPr>
              <w:pStyle w:val="TableParagraph"/>
              <w:spacing w:line="180" w:lineRule="exact" w:before="75"/>
              <w:ind w:left="172" w:right="539"/>
              <w:rPr>
                <w:sz w:val="18"/>
              </w:rPr>
            </w:pPr>
            <w:r>
              <w:rPr>
                <w:sz w:val="18"/>
              </w:rPr>
              <w:t>Kortsluit</w:t>
            </w:r>
            <w:r>
              <w:rPr>
                <w:w w:val="99"/>
                <w:sz w:val="18"/>
              </w:rPr>
              <w:t> </w:t>
            </w:r>
            <w:r>
              <w:rPr>
                <w:sz w:val="18"/>
              </w:rPr>
              <w:t>situatie</w:t>
            </w:r>
          </w:p>
        </w:tc>
        <w:tc>
          <w:tcPr>
            <w:tcW w:w="1394" w:type="dxa"/>
            <w:tcBorders>
              <w:top w:val="single" w:sz="2" w:space="0" w:color="00537A"/>
              <w:bottom w:val="nil"/>
            </w:tcBorders>
          </w:tcPr>
          <w:p>
            <w:pPr>
              <w:pStyle w:val="TableParagraph"/>
              <w:spacing w:line="193" w:lineRule="exact" w:before="50"/>
              <w:ind w:left="171"/>
              <w:rPr>
                <w:sz w:val="18"/>
              </w:rPr>
            </w:pPr>
            <w:r>
              <w:rPr>
                <w:sz w:val="18"/>
              </w:rPr>
              <w:t>50Hz</w:t>
            </w:r>
          </w:p>
          <w:p>
            <w:pPr>
              <w:pStyle w:val="TableParagraph"/>
              <w:spacing w:line="193" w:lineRule="exact"/>
              <w:ind w:left="171"/>
              <w:rPr>
                <w:sz w:val="18"/>
              </w:rPr>
            </w:pPr>
            <w:r>
              <w:rPr>
                <w:sz w:val="18"/>
              </w:rPr>
              <w:t>Common</w:t>
            </w:r>
          </w:p>
        </w:tc>
        <w:tc>
          <w:tcPr>
            <w:tcW w:w="1394" w:type="dxa"/>
            <w:tcBorders>
              <w:top w:val="single" w:sz="2" w:space="0" w:color="00537A"/>
              <w:bottom w:val="nil"/>
            </w:tcBorders>
          </w:tcPr>
          <w:p>
            <w:pPr>
              <w:pStyle w:val="TableParagraph"/>
              <w:spacing w:before="50"/>
              <w:ind w:left="171"/>
              <w:rPr>
                <w:sz w:val="18"/>
              </w:rPr>
            </w:pPr>
            <w:r>
              <w:rPr>
                <w:sz w:val="18"/>
              </w:rPr>
              <w:t>Vcm</w:t>
            </w:r>
          </w:p>
        </w:tc>
        <w:tc>
          <w:tcPr>
            <w:tcW w:w="1394" w:type="dxa"/>
            <w:tcBorders>
              <w:top w:val="single" w:sz="2" w:space="0" w:color="00537A"/>
              <w:bottom w:val="nil"/>
            </w:tcBorders>
          </w:tcPr>
          <w:p>
            <w:pPr>
              <w:pStyle w:val="TableParagraph"/>
              <w:spacing w:before="50"/>
              <w:ind w:left="171"/>
              <w:rPr>
                <w:sz w:val="18"/>
              </w:rPr>
            </w:pPr>
            <w:r>
              <w:rPr>
                <w:sz w:val="18"/>
              </w:rPr>
              <w:t>810 V</w:t>
            </w:r>
          </w:p>
        </w:tc>
        <w:tc>
          <w:tcPr>
            <w:tcW w:w="1394" w:type="dxa"/>
            <w:tcBorders>
              <w:top w:val="single" w:sz="2" w:space="0" w:color="00537A"/>
              <w:bottom w:val="nil"/>
              <w:right w:val="single" w:sz="2" w:space="0" w:color="00537A"/>
            </w:tcBorders>
          </w:tcPr>
          <w:p>
            <w:pPr>
              <w:pStyle w:val="TableParagraph"/>
              <w:spacing w:before="50"/>
              <w:ind w:left="171"/>
              <w:rPr>
                <w:sz w:val="18"/>
              </w:rPr>
            </w:pPr>
            <w:r>
              <w:rPr>
                <w:sz w:val="18"/>
              </w:rPr>
              <w:t>410 V</w:t>
            </w:r>
          </w:p>
        </w:tc>
        <w:tc>
          <w:tcPr>
            <w:tcW w:w="1394" w:type="dxa"/>
            <w:tcBorders>
              <w:top w:val="single" w:sz="2" w:space="0" w:color="00537A"/>
              <w:left w:val="single" w:sz="2" w:space="0" w:color="00537A"/>
              <w:bottom w:val="nil"/>
            </w:tcBorders>
          </w:tcPr>
          <w:p>
            <w:pPr>
              <w:pStyle w:val="TableParagraph"/>
              <w:spacing w:before="50"/>
              <w:ind w:left="175"/>
              <w:rPr>
                <w:sz w:val="18"/>
              </w:rPr>
            </w:pPr>
            <w:r>
              <w:rPr>
                <w:sz w:val="18"/>
              </w:rPr>
              <w:t>410 V</w:t>
            </w:r>
          </w:p>
        </w:tc>
      </w:tr>
      <w:tr>
        <w:trPr>
          <w:trHeight w:val="180" w:hRule="exact"/>
        </w:trPr>
        <w:tc>
          <w:tcPr>
            <w:tcW w:w="1394" w:type="dxa"/>
            <w:tcBorders>
              <w:top w:val="nil"/>
              <w:bottom w:val="nil"/>
            </w:tcBorders>
          </w:tcPr>
          <w:p>
            <w:pPr>
              <w:pStyle w:val="TableParagraph"/>
              <w:spacing w:line="191" w:lineRule="exact"/>
              <w:ind w:left="172"/>
              <w:rPr>
                <w:sz w:val="18"/>
              </w:rPr>
            </w:pPr>
            <w:r>
              <w:rPr>
                <w:sz w:val="18"/>
              </w:rPr>
              <w:t>('short</w:t>
            </w:r>
          </w:p>
        </w:tc>
        <w:tc>
          <w:tcPr>
            <w:tcW w:w="1394" w:type="dxa"/>
            <w:tcBorders>
              <w:top w:val="nil"/>
              <w:bottom w:val="nil"/>
            </w:tcBorders>
          </w:tcPr>
          <w:p>
            <w:pPr>
              <w:pStyle w:val="TableParagraph"/>
              <w:spacing w:line="191" w:lineRule="exact"/>
              <w:ind w:left="171"/>
              <w:rPr>
                <w:sz w:val="18"/>
              </w:rPr>
            </w:pPr>
            <w:r>
              <w:rPr>
                <w:sz w:val="18"/>
              </w:rPr>
              <w:t>mode</w:t>
            </w:r>
          </w:p>
        </w:tc>
        <w:tc>
          <w:tcPr>
            <w:tcW w:w="1394" w:type="dxa"/>
            <w:tcBorders>
              <w:top w:val="nil"/>
              <w:bottom w:val="nil"/>
            </w:tcBorders>
          </w:tcPr>
          <w:p>
            <w:pPr/>
          </w:p>
        </w:tc>
        <w:tc>
          <w:tcPr>
            <w:tcW w:w="1394" w:type="dxa"/>
            <w:tcBorders>
              <w:top w:val="nil"/>
              <w:bottom w:val="nil"/>
            </w:tcBorders>
          </w:tcPr>
          <w:p>
            <w:pPr/>
          </w:p>
        </w:tc>
        <w:tc>
          <w:tcPr>
            <w:tcW w:w="1394" w:type="dxa"/>
            <w:tcBorders>
              <w:top w:val="nil"/>
              <w:bottom w:val="nil"/>
              <w:right w:val="single" w:sz="2" w:space="0" w:color="00537A"/>
            </w:tcBorders>
          </w:tcPr>
          <w:p>
            <w:pPr/>
          </w:p>
        </w:tc>
        <w:tc>
          <w:tcPr>
            <w:tcW w:w="1394" w:type="dxa"/>
            <w:tcBorders>
              <w:top w:val="nil"/>
              <w:left w:val="single" w:sz="2" w:space="0" w:color="00537A"/>
              <w:bottom w:val="nil"/>
            </w:tcBorders>
          </w:tcPr>
          <w:p>
            <w:pPr/>
          </w:p>
        </w:tc>
      </w:tr>
      <w:tr>
        <w:trPr>
          <w:trHeight w:val="462" w:hRule="exact"/>
        </w:trPr>
        <w:tc>
          <w:tcPr>
            <w:tcW w:w="1394" w:type="dxa"/>
            <w:tcBorders>
              <w:top w:val="nil"/>
            </w:tcBorders>
          </w:tcPr>
          <w:p>
            <w:pPr>
              <w:pStyle w:val="TableParagraph"/>
              <w:spacing w:line="180" w:lineRule="exact" w:before="8"/>
              <w:ind w:left="172" w:right="164"/>
              <w:rPr>
                <w:sz w:val="18"/>
              </w:rPr>
            </w:pPr>
            <w:r>
              <w:rPr>
                <w:sz w:val="18"/>
              </w:rPr>
              <w:t>duration disturbance')</w:t>
            </w:r>
          </w:p>
        </w:tc>
        <w:tc>
          <w:tcPr>
            <w:tcW w:w="1394" w:type="dxa"/>
            <w:tcBorders>
              <w:top w:val="nil"/>
            </w:tcBorders>
          </w:tcPr>
          <w:p>
            <w:pPr>
              <w:pStyle w:val="TableParagraph"/>
              <w:spacing w:line="191" w:lineRule="exact"/>
              <w:ind w:left="171"/>
              <w:rPr>
                <w:sz w:val="18"/>
              </w:rPr>
            </w:pPr>
            <w:r>
              <w:rPr>
                <w:sz w:val="18"/>
              </w:rPr>
              <w:t>spanning</w:t>
            </w:r>
          </w:p>
        </w:tc>
        <w:tc>
          <w:tcPr>
            <w:tcW w:w="1394" w:type="dxa"/>
            <w:tcBorders>
              <w:top w:val="nil"/>
            </w:tcBorders>
          </w:tcPr>
          <w:p>
            <w:pPr/>
          </w:p>
        </w:tc>
        <w:tc>
          <w:tcPr>
            <w:tcW w:w="1394" w:type="dxa"/>
            <w:tcBorders>
              <w:top w:val="nil"/>
            </w:tcBorders>
          </w:tcPr>
          <w:p>
            <w:pPr/>
          </w:p>
        </w:tc>
        <w:tc>
          <w:tcPr>
            <w:tcW w:w="1394" w:type="dxa"/>
            <w:tcBorders>
              <w:top w:val="nil"/>
              <w:right w:val="single" w:sz="2" w:space="0" w:color="00537A"/>
            </w:tcBorders>
          </w:tcPr>
          <w:p>
            <w:pPr/>
          </w:p>
        </w:tc>
        <w:tc>
          <w:tcPr>
            <w:tcW w:w="1394" w:type="dxa"/>
            <w:tcBorders>
              <w:top w:val="nil"/>
              <w:left w:val="single" w:sz="2" w:space="0" w:color="00537A"/>
            </w:tcBorders>
          </w:tcPr>
          <w:p>
            <w:pPr/>
          </w:p>
        </w:tc>
      </w:tr>
    </w:tbl>
    <w:p>
      <w:pPr>
        <w:spacing w:after="0"/>
        <w:sectPr>
          <w:pgSz w:w="11910" w:h="16840"/>
          <w:pgMar w:header="560" w:footer="312" w:top="1340" w:bottom="500" w:left="1580" w:right="1020"/>
        </w:sectPr>
      </w:pPr>
    </w:p>
    <w:p>
      <w:pPr>
        <w:pStyle w:val="BodyText"/>
        <w:spacing w:line="20" w:lineRule="exact"/>
        <w:ind w:left="108"/>
        <w:rPr>
          <w:sz w:val="2"/>
        </w:rPr>
      </w:pPr>
      <w:r>
        <w:rPr>
          <w:sz w:val="2"/>
        </w:rPr>
        <w:pict>
          <v:group style="width:454.05pt;height:.5pt;mso-position-horizontal-relative:char;mso-position-vertical-relative:line" coordorigin="0,0" coordsize="9081,10">
            <v:line style="position:absolute" from="5,5" to="3029,5" stroked="true" strokeweight=".5pt" strokecolor="#000000">
              <v:stroke dashstyle="solid"/>
            </v:line>
            <v:line style="position:absolute" from="3029,5" to="6052,5" stroked="true" strokeweight=".5pt" strokecolor="#000000">
              <v:stroke dashstyle="solid"/>
            </v:line>
            <v:line style="position:absolute" from="6052,5" to="9076,5" stroked="true" strokeweight=".5pt" strokecolor="#000000">
              <v:stroke dashstyle="solid"/>
            </v:line>
          </v:group>
        </w:pict>
      </w:r>
      <w:r>
        <w:rPr>
          <w:sz w:val="2"/>
        </w:rPr>
      </w:r>
    </w:p>
    <w:p>
      <w:pPr>
        <w:spacing w:line="249" w:lineRule="auto" w:before="67"/>
        <w:ind w:left="822" w:right="218" w:firstLine="0"/>
        <w:jc w:val="left"/>
        <w:rPr>
          <w:i/>
          <w:sz w:val="20"/>
        </w:rPr>
      </w:pPr>
      <w:r>
        <w:rPr/>
        <w:pict>
          <v:line style="position:absolute;mso-position-horizontal-relative:page;mso-position-vertical-relative:paragraph;z-index:1432" from="87.164497pt,4.124889pt" to="87.164497pt,90.958876pt" stroked="true" strokeweight="1.417pt" strokecolor="#008000">
            <v:stroke dashstyle="solid"/>
            <w10:wrap type="none"/>
          </v:line>
        </w:pict>
      </w:r>
      <w:r>
        <w:rPr>
          <w:i/>
          <w:sz w:val="20"/>
        </w:rPr>
        <w:t>Deze waardes geven voldoende bescherming indien de installatiewijze conform OVS00055-3 </w:t>
      </w:r>
      <w:r>
        <w:rPr>
          <w:i/>
          <w:sz w:val="20"/>
        </w:rPr>
        <w:t>is uitgevoerd (waarbij een maximale kabellengte van 5 km voor treinbeveiligingssystemen</w:t>
      </w:r>
    </w:p>
    <w:p>
      <w:pPr>
        <w:spacing w:line="249" w:lineRule="auto" w:before="0"/>
        <w:ind w:left="822" w:right="463" w:firstLine="0"/>
        <w:jc w:val="left"/>
        <w:rPr>
          <w:i/>
          <w:sz w:val="20"/>
        </w:rPr>
      </w:pPr>
      <w:r>
        <w:rPr>
          <w:i/>
          <w:sz w:val="20"/>
        </w:rPr>
        <w:t>en 2 km voor telecom en andere systemen geldt). Indien niet aan deze OVS00055-3 wordt </w:t>
      </w:r>
      <w:r>
        <w:rPr>
          <w:i/>
          <w:sz w:val="20"/>
        </w:rPr>
        <w:t>voldaan, geeft het voldoen aan deze eisen mogelijk onvoldoende bescherming van de apparatuur en vaste installaties.</w:t>
      </w:r>
    </w:p>
    <w:p>
      <w:pPr>
        <w:spacing w:before="120"/>
        <w:ind w:left="822" w:right="0" w:firstLine="0"/>
        <w:jc w:val="left"/>
        <w:rPr>
          <w:i/>
          <w:sz w:val="20"/>
        </w:rPr>
      </w:pPr>
      <w:r>
        <w:rPr>
          <w:i/>
          <w:sz w:val="20"/>
        </w:rPr>
        <w:t>[Aanvulling 13, 23]</w:t>
      </w:r>
    </w:p>
    <w:p>
      <w:pPr>
        <w:spacing w:before="189"/>
        <w:ind w:left="822" w:right="0" w:firstLine="0"/>
        <w:jc w:val="left"/>
        <w:rPr>
          <w:sz w:val="16"/>
        </w:rPr>
      </w:pPr>
      <w:r>
        <w:rPr>
          <w:color w:val="878787"/>
          <w:sz w:val="16"/>
        </w:rPr>
        <w:t>EIS-007582</w:t>
      </w:r>
    </w:p>
    <w:p>
      <w:pPr>
        <w:pStyle w:val="BodyText"/>
        <w:spacing w:line="249" w:lineRule="auto" w:before="5"/>
        <w:ind w:left="822" w:right="306"/>
      </w:pPr>
      <w:r>
        <w:rPr/>
        <w:pict>
          <v:line style="position:absolute;mso-position-horizontal-relative:page;mso-position-vertical-relative:paragraph;z-index:1456" from="87.164497pt,1.039881pt" to="87.164497pt,111.873875pt" stroked="true" strokeweight="1.417pt" strokecolor="#008000">
            <v:stroke dashstyle="solid"/>
            <w10:wrap type="none"/>
          </v:line>
        </w:pict>
      </w:r>
      <w:r>
        <w:rPr/>
        <w:t>De leverancier dient de immuniteit van de I/O-ports, DC-power ports of AC-power ports voor apparatuur en vaste installaties die worden toegepast in de nabijheid van 25 kV tractie- energievoorziening, zoals gedefinieerd in het toepassingsgebied van OVS00055-3, te testen volgens de testmethode conform NEN-EN-IEC 61000-4-16, waarbij de stoorspanningen rechtstreeks op de aders geïnjecteerd worden alsof er onafgeschermde bekabeling wordt toegepast.</w:t>
      </w:r>
    </w:p>
    <w:p>
      <w:pPr>
        <w:spacing w:line="249" w:lineRule="auto" w:before="121"/>
        <w:ind w:left="822" w:right="0" w:firstLine="0"/>
        <w:jc w:val="left"/>
        <w:rPr>
          <w:i/>
          <w:sz w:val="20"/>
        </w:rPr>
      </w:pPr>
      <w:r>
        <w:rPr>
          <w:i/>
          <w:sz w:val="20"/>
        </w:rPr>
        <w:t>Toelichting: Bij coaxiale kabels dient de stoorspanning tussen kern en mantel aangebracht te </w:t>
      </w:r>
      <w:r>
        <w:rPr>
          <w:i/>
          <w:sz w:val="20"/>
        </w:rPr>
        <w:t>worden.</w:t>
      </w:r>
    </w:p>
    <w:p>
      <w:pPr>
        <w:spacing w:after="0" w:line="249" w:lineRule="auto"/>
        <w:jc w:val="left"/>
        <w:rPr>
          <w:sz w:val="20"/>
        </w:rPr>
        <w:sectPr>
          <w:pgSz w:w="11910" w:h="16840"/>
          <w:pgMar w:header="560" w:footer="312" w:top="1300" w:bottom="500" w:left="1020" w:right="1580"/>
        </w:sectPr>
      </w:pPr>
    </w:p>
    <w:p>
      <w:pPr>
        <w:pStyle w:val="BodyText"/>
        <w:rPr>
          <w:i/>
        </w:rPr>
      </w:pPr>
    </w:p>
    <w:p>
      <w:pPr>
        <w:pStyle w:val="BodyText"/>
        <w:spacing w:before="10"/>
        <w:rPr>
          <w:i/>
          <w:sz w:val="22"/>
        </w:rPr>
      </w:pPr>
    </w:p>
    <w:p>
      <w:pPr>
        <w:pStyle w:val="Heading2"/>
        <w:numPr>
          <w:ilvl w:val="0"/>
          <w:numId w:val="2"/>
        </w:numPr>
        <w:tabs>
          <w:tab w:pos="829" w:val="left" w:leader="none"/>
          <w:tab w:pos="830" w:val="left" w:leader="none"/>
        </w:tabs>
        <w:spacing w:line="240" w:lineRule="auto" w:before="0" w:after="0"/>
        <w:ind w:left="829" w:right="0" w:hanging="709"/>
        <w:jc w:val="left"/>
      </w:pPr>
      <w:bookmarkStart w:name="_bookmark17" w:id="19"/>
      <w:bookmarkEnd w:id="19"/>
      <w:r>
        <w:rPr/>
        <w:t>Aantonen</w:t>
      </w:r>
      <w:r>
        <w:rPr/>
        <w:t> dat aan de eisen is</w:t>
      </w:r>
      <w:r>
        <w:rPr>
          <w:spacing w:val="-10"/>
        </w:rPr>
        <w:t> </w:t>
      </w:r>
      <w:r>
        <w:rPr/>
        <w:t>voldaan</w:t>
      </w:r>
    </w:p>
    <w:p>
      <w:pPr>
        <w:spacing w:before="138"/>
        <w:ind w:left="829" w:right="0" w:firstLine="0"/>
        <w:jc w:val="left"/>
        <w:rPr>
          <w:sz w:val="16"/>
        </w:rPr>
      </w:pPr>
      <w:r>
        <w:rPr>
          <w:color w:val="878787"/>
          <w:sz w:val="16"/>
        </w:rPr>
        <w:t>EIS-007584</w:t>
      </w:r>
    </w:p>
    <w:p>
      <w:pPr>
        <w:pStyle w:val="BodyText"/>
        <w:spacing w:line="249" w:lineRule="auto" w:before="5"/>
        <w:ind w:left="829" w:right="185"/>
      </w:pPr>
      <w:r>
        <w:rPr/>
        <w:pict>
          <v:line style="position:absolute;mso-position-horizontal-relative:page;mso-position-vertical-relative:paragraph;z-index:1480" from="115.511497pt,1.039904pt" to="115.511497pt,176.87389pt" stroked="true" strokeweight="1.417pt" strokecolor="#008000">
            <v:stroke dashstyle="solid"/>
            <w10:wrap type="none"/>
          </v:line>
        </w:pict>
      </w:r>
      <w:r>
        <w:rPr/>
        <w:t>De opdrachtnemer dient aan te tonen dat het apparaat of vaste installatie voldoet aan de door ProRail gestelde EMC-eisen door middel van het leveren van een Declaration of Conformity (conformiteitsverklaring), inclusief de bijbehorende testrapporten, uitgegeven door een NEN- EN-ISO/IEC 17025 geaccrediteerde testinstelling.</w:t>
      </w:r>
    </w:p>
    <w:p>
      <w:pPr>
        <w:spacing w:line="249" w:lineRule="auto" w:before="121"/>
        <w:ind w:left="829" w:right="329" w:firstLine="0"/>
        <w:jc w:val="left"/>
        <w:rPr>
          <w:i/>
          <w:sz w:val="20"/>
        </w:rPr>
      </w:pPr>
      <w:r>
        <w:rPr>
          <w:i/>
          <w:sz w:val="20"/>
        </w:rPr>
        <w:t>Toelichting: Conform het NEN-EN-ISO/IEC 17025 dient het rapport minimaal de volgende </w:t>
      </w:r>
      <w:r>
        <w:rPr>
          <w:i/>
          <w:sz w:val="20"/>
        </w:rPr>
        <w:t>onderwerpen te bevatten:</w:t>
      </w:r>
    </w:p>
    <w:p>
      <w:pPr>
        <w:pStyle w:val="ListParagraph"/>
        <w:numPr>
          <w:ilvl w:val="0"/>
          <w:numId w:val="6"/>
        </w:numPr>
        <w:tabs>
          <w:tab w:pos="1237" w:val="left" w:leader="none"/>
          <w:tab w:pos="1238" w:val="left" w:leader="none"/>
        </w:tabs>
        <w:spacing w:line="240" w:lineRule="auto" w:before="120" w:after="0"/>
        <w:ind w:left="1237" w:right="0" w:hanging="408"/>
        <w:jc w:val="left"/>
        <w:rPr>
          <w:sz w:val="20"/>
        </w:rPr>
      </w:pPr>
      <w:r>
        <w:rPr>
          <w:sz w:val="20"/>
        </w:rPr>
        <w:t>Functionele</w:t>
      </w:r>
      <w:r>
        <w:rPr>
          <w:spacing w:val="-2"/>
          <w:sz w:val="20"/>
        </w:rPr>
        <w:t> </w:t>
      </w:r>
      <w:r>
        <w:rPr>
          <w:sz w:val="20"/>
        </w:rPr>
        <w:t>beschrijving;</w:t>
      </w:r>
    </w:p>
    <w:p>
      <w:pPr>
        <w:pStyle w:val="ListParagraph"/>
        <w:numPr>
          <w:ilvl w:val="0"/>
          <w:numId w:val="6"/>
        </w:numPr>
        <w:tabs>
          <w:tab w:pos="1237" w:val="left" w:leader="none"/>
          <w:tab w:pos="1238" w:val="left" w:leader="none"/>
        </w:tabs>
        <w:spacing w:line="240" w:lineRule="auto" w:before="69" w:after="0"/>
        <w:ind w:left="1237" w:right="0" w:hanging="408"/>
        <w:jc w:val="left"/>
        <w:rPr>
          <w:sz w:val="20"/>
        </w:rPr>
      </w:pPr>
      <w:r>
        <w:rPr>
          <w:sz w:val="20"/>
        </w:rPr>
        <w:t>Mode(s) of</w:t>
      </w:r>
      <w:r>
        <w:rPr>
          <w:spacing w:val="-3"/>
          <w:sz w:val="20"/>
        </w:rPr>
        <w:t> </w:t>
      </w:r>
      <w:r>
        <w:rPr>
          <w:sz w:val="20"/>
        </w:rPr>
        <w:t>operation;</w:t>
      </w:r>
    </w:p>
    <w:p>
      <w:pPr>
        <w:pStyle w:val="ListParagraph"/>
        <w:numPr>
          <w:ilvl w:val="0"/>
          <w:numId w:val="6"/>
        </w:numPr>
        <w:tabs>
          <w:tab w:pos="1237" w:val="left" w:leader="none"/>
          <w:tab w:pos="1238" w:val="left" w:leader="none"/>
        </w:tabs>
        <w:spacing w:line="240" w:lineRule="auto" w:before="69" w:after="0"/>
        <w:ind w:left="1237" w:right="0" w:hanging="408"/>
        <w:jc w:val="left"/>
        <w:rPr>
          <w:sz w:val="20"/>
        </w:rPr>
      </w:pPr>
      <w:r>
        <w:rPr>
          <w:sz w:val="20"/>
        </w:rPr>
        <w:t>Performance</w:t>
      </w:r>
      <w:r>
        <w:rPr>
          <w:spacing w:val="-2"/>
          <w:sz w:val="20"/>
        </w:rPr>
        <w:t> </w:t>
      </w:r>
      <w:r>
        <w:rPr>
          <w:sz w:val="20"/>
        </w:rPr>
        <w:t>criteria;</w:t>
      </w:r>
    </w:p>
    <w:p>
      <w:pPr>
        <w:pStyle w:val="ListParagraph"/>
        <w:numPr>
          <w:ilvl w:val="0"/>
          <w:numId w:val="6"/>
        </w:numPr>
        <w:tabs>
          <w:tab w:pos="1237" w:val="left" w:leader="none"/>
          <w:tab w:pos="1238" w:val="left" w:leader="none"/>
        </w:tabs>
        <w:spacing w:line="240" w:lineRule="auto" w:before="69" w:after="0"/>
        <w:ind w:left="1237" w:right="0" w:hanging="408"/>
        <w:jc w:val="left"/>
        <w:rPr>
          <w:sz w:val="20"/>
        </w:rPr>
      </w:pPr>
      <w:r>
        <w:rPr>
          <w:sz w:val="20"/>
        </w:rPr>
        <w:t>Beschrijving</w:t>
      </w:r>
      <w:r>
        <w:rPr>
          <w:spacing w:val="-3"/>
          <w:sz w:val="20"/>
        </w:rPr>
        <w:t> </w:t>
      </w:r>
      <w:r>
        <w:rPr>
          <w:sz w:val="20"/>
        </w:rPr>
        <w:t>testmethode;</w:t>
      </w:r>
    </w:p>
    <w:p>
      <w:pPr>
        <w:pStyle w:val="ListParagraph"/>
        <w:numPr>
          <w:ilvl w:val="0"/>
          <w:numId w:val="6"/>
        </w:numPr>
        <w:tabs>
          <w:tab w:pos="1237" w:val="left" w:leader="none"/>
          <w:tab w:pos="1238" w:val="left" w:leader="none"/>
        </w:tabs>
        <w:spacing w:line="240" w:lineRule="auto" w:before="69" w:after="0"/>
        <w:ind w:left="1237" w:right="0" w:hanging="408"/>
        <w:jc w:val="left"/>
        <w:rPr>
          <w:sz w:val="20"/>
        </w:rPr>
      </w:pPr>
      <w:r>
        <w:rPr>
          <w:sz w:val="20"/>
        </w:rPr>
        <w:t>Testresultaten.</w:t>
      </w:r>
    </w:p>
    <w:p>
      <w:pPr>
        <w:spacing w:after="0" w:line="240" w:lineRule="auto"/>
        <w:jc w:val="left"/>
        <w:rPr>
          <w:sz w:val="20"/>
        </w:rPr>
        <w:sectPr>
          <w:pgSz w:w="11910" w:h="16840"/>
          <w:pgMar w:header="560" w:footer="312" w:top="1340" w:bottom="500" w:left="1580" w:right="1020"/>
        </w:sectPr>
      </w:pPr>
    </w:p>
    <w:p>
      <w:pPr>
        <w:pStyle w:val="BodyText"/>
      </w:pPr>
    </w:p>
    <w:p>
      <w:pPr>
        <w:pStyle w:val="BodyText"/>
        <w:spacing w:before="10"/>
        <w:rPr>
          <w:sz w:val="22"/>
        </w:rPr>
      </w:pPr>
    </w:p>
    <w:p>
      <w:pPr>
        <w:pStyle w:val="Heading2"/>
        <w:numPr>
          <w:ilvl w:val="0"/>
          <w:numId w:val="2"/>
        </w:numPr>
        <w:tabs>
          <w:tab w:pos="822" w:val="left" w:leader="none"/>
          <w:tab w:pos="823" w:val="left" w:leader="none"/>
        </w:tabs>
        <w:spacing w:line="240" w:lineRule="auto" w:before="0" w:after="0"/>
        <w:ind w:left="822" w:right="0" w:hanging="709"/>
        <w:jc w:val="left"/>
      </w:pPr>
      <w:bookmarkStart w:name="_bookmark18" w:id="20"/>
      <w:bookmarkEnd w:id="20"/>
      <w:r>
        <w:rPr/>
        <w:t>Referenties</w:t>
      </w:r>
    </w:p>
    <w:p>
      <w:pPr>
        <w:pStyle w:val="BodyText"/>
        <w:spacing w:line="249" w:lineRule="auto" w:before="134"/>
        <w:ind w:left="822" w:right="141"/>
      </w:pPr>
      <w:r>
        <w:rPr/>
        <w:t>Deze paragraaf geeft een opsomming van de referenties die gebruikt worden in dit voorschrift. Daar waar in dit voorschrift verwezen wordt naar een referentie, maakt deze referentie onderdeel uit van dit voorschrift.</w:t>
      </w:r>
    </w:p>
    <w:p>
      <w:pPr>
        <w:pStyle w:val="BodyText"/>
        <w:spacing w:before="120"/>
        <w:ind w:left="822"/>
      </w:pPr>
      <w:r>
        <w:rPr/>
        <w:t>Indien eisen conflicteren dient de volgende prioriteitsvolgorde te worden aangehouden:</w:t>
      </w:r>
    </w:p>
    <w:p>
      <w:pPr>
        <w:pStyle w:val="ListParagraph"/>
        <w:numPr>
          <w:ilvl w:val="0"/>
          <w:numId w:val="7"/>
        </w:numPr>
        <w:tabs>
          <w:tab w:pos="1230" w:val="left" w:leader="none"/>
          <w:tab w:pos="1231" w:val="left" w:leader="none"/>
        </w:tabs>
        <w:spacing w:line="240" w:lineRule="auto" w:before="129" w:after="0"/>
        <w:ind w:left="1230" w:right="0" w:hanging="408"/>
        <w:jc w:val="left"/>
        <w:rPr>
          <w:sz w:val="20"/>
        </w:rPr>
      </w:pPr>
      <w:r>
        <w:rPr>
          <w:sz w:val="20"/>
        </w:rPr>
        <w:t>Wettelijke eisen (de Nederlandse wetgeving is van</w:t>
      </w:r>
      <w:r>
        <w:rPr>
          <w:spacing w:val="-14"/>
          <w:sz w:val="20"/>
        </w:rPr>
        <w:t> </w:t>
      </w:r>
      <w:r>
        <w:rPr>
          <w:sz w:val="20"/>
        </w:rPr>
        <w:t>toepassing);</w:t>
      </w:r>
    </w:p>
    <w:p>
      <w:pPr>
        <w:pStyle w:val="ListParagraph"/>
        <w:numPr>
          <w:ilvl w:val="0"/>
          <w:numId w:val="7"/>
        </w:numPr>
        <w:tabs>
          <w:tab w:pos="1230" w:val="left" w:leader="none"/>
          <w:tab w:pos="1231" w:val="left" w:leader="none"/>
        </w:tabs>
        <w:spacing w:line="240" w:lineRule="auto" w:before="69" w:after="0"/>
        <w:ind w:left="1230" w:right="0" w:hanging="408"/>
        <w:jc w:val="left"/>
        <w:rPr>
          <w:sz w:val="20"/>
        </w:rPr>
      </w:pPr>
      <w:r>
        <w:rPr>
          <w:sz w:val="20"/>
        </w:rPr>
        <w:t>ProRail Ontwerpvoorschriften (OVS) en Richtlijnen</w:t>
      </w:r>
      <w:r>
        <w:rPr>
          <w:spacing w:val="-8"/>
          <w:sz w:val="20"/>
        </w:rPr>
        <w:t> </w:t>
      </w:r>
      <w:r>
        <w:rPr>
          <w:sz w:val="20"/>
        </w:rPr>
        <w:t>(RLN);</w:t>
      </w:r>
    </w:p>
    <w:p>
      <w:pPr>
        <w:pStyle w:val="ListParagraph"/>
        <w:numPr>
          <w:ilvl w:val="0"/>
          <w:numId w:val="7"/>
        </w:numPr>
        <w:tabs>
          <w:tab w:pos="1230" w:val="left" w:leader="none"/>
          <w:tab w:pos="1231" w:val="left" w:leader="none"/>
        </w:tabs>
        <w:spacing w:line="240" w:lineRule="auto" w:before="69" w:after="0"/>
        <w:ind w:left="1230" w:right="0" w:hanging="408"/>
        <w:jc w:val="left"/>
        <w:rPr>
          <w:sz w:val="20"/>
        </w:rPr>
      </w:pPr>
      <w:r>
        <w:rPr>
          <w:sz w:val="20"/>
        </w:rPr>
        <w:t>Overige ProRail</w:t>
      </w:r>
      <w:r>
        <w:rPr>
          <w:spacing w:val="-4"/>
          <w:sz w:val="20"/>
        </w:rPr>
        <w:t> </w:t>
      </w:r>
      <w:r>
        <w:rPr>
          <w:sz w:val="20"/>
        </w:rPr>
        <w:t>bedrijfsvoorschriften;</w:t>
      </w:r>
    </w:p>
    <w:p>
      <w:pPr>
        <w:pStyle w:val="ListParagraph"/>
        <w:numPr>
          <w:ilvl w:val="0"/>
          <w:numId w:val="7"/>
        </w:numPr>
        <w:tabs>
          <w:tab w:pos="1230" w:val="left" w:leader="none"/>
          <w:tab w:pos="1231" w:val="left" w:leader="none"/>
        </w:tabs>
        <w:spacing w:line="240" w:lineRule="auto" w:before="69" w:after="0"/>
        <w:ind w:left="1230" w:right="0" w:hanging="408"/>
        <w:jc w:val="left"/>
        <w:rPr>
          <w:sz w:val="20"/>
        </w:rPr>
      </w:pPr>
      <w:r>
        <w:rPr>
          <w:sz w:val="20"/>
        </w:rPr>
        <w:t>NEN-EN-IEC-, NEN-EN- en NEN-normen voor</w:t>
      </w:r>
      <w:r>
        <w:rPr>
          <w:spacing w:val="-8"/>
          <w:sz w:val="20"/>
        </w:rPr>
        <w:t> </w:t>
      </w:r>
      <w:r>
        <w:rPr>
          <w:sz w:val="20"/>
        </w:rPr>
        <w:t>railtoepassingen;</w:t>
      </w:r>
    </w:p>
    <w:p>
      <w:pPr>
        <w:pStyle w:val="ListParagraph"/>
        <w:numPr>
          <w:ilvl w:val="0"/>
          <w:numId w:val="7"/>
        </w:numPr>
        <w:tabs>
          <w:tab w:pos="1230" w:val="left" w:leader="none"/>
          <w:tab w:pos="1231" w:val="left" w:leader="none"/>
        </w:tabs>
        <w:spacing w:line="240" w:lineRule="auto" w:before="69" w:after="0"/>
        <w:ind w:left="1230" w:right="0" w:hanging="408"/>
        <w:jc w:val="left"/>
        <w:rPr>
          <w:sz w:val="20"/>
        </w:rPr>
      </w:pPr>
      <w:r>
        <w:rPr>
          <w:sz w:val="20"/>
        </w:rPr>
        <w:t>Overige NEN-EN-IEC-, NEN-EN- en</w:t>
      </w:r>
      <w:r>
        <w:rPr>
          <w:spacing w:val="-7"/>
          <w:sz w:val="20"/>
        </w:rPr>
        <w:t> </w:t>
      </w:r>
      <w:r>
        <w:rPr>
          <w:sz w:val="20"/>
        </w:rPr>
        <w:t>NEN-normen;</w:t>
      </w:r>
    </w:p>
    <w:p>
      <w:pPr>
        <w:pStyle w:val="ListParagraph"/>
        <w:numPr>
          <w:ilvl w:val="0"/>
          <w:numId w:val="7"/>
        </w:numPr>
        <w:tabs>
          <w:tab w:pos="1230" w:val="left" w:leader="none"/>
          <w:tab w:pos="1231" w:val="left" w:leader="none"/>
        </w:tabs>
        <w:spacing w:line="240" w:lineRule="auto" w:before="69" w:after="0"/>
        <w:ind w:left="1230" w:right="0" w:hanging="408"/>
        <w:jc w:val="left"/>
        <w:rPr>
          <w:sz w:val="20"/>
        </w:rPr>
      </w:pPr>
      <w:r>
        <w:rPr>
          <w:sz w:val="20"/>
        </w:rPr>
        <w:t>Overige (internationale)</w:t>
      </w:r>
      <w:r>
        <w:rPr>
          <w:spacing w:val="-4"/>
          <w:sz w:val="20"/>
        </w:rPr>
        <w:t> </w:t>
      </w:r>
      <w:r>
        <w:rPr>
          <w:sz w:val="20"/>
        </w:rPr>
        <w:t>normering.</w:t>
      </w:r>
    </w:p>
    <w:p>
      <w:pPr>
        <w:pStyle w:val="BodyText"/>
        <w:spacing w:before="4"/>
        <w:rPr>
          <w:sz w:val="30"/>
        </w:rPr>
      </w:pPr>
    </w:p>
    <w:p>
      <w:pPr>
        <w:pStyle w:val="BodyText"/>
        <w:spacing w:line="249" w:lineRule="auto"/>
        <w:ind w:left="822" w:right="207"/>
      </w:pPr>
      <w:r>
        <w:rPr/>
        <w:t>Bij aanvang van elk project dient tussen de betrokken partijen afgesproken en vastgelegd te worden welke versies gehanteerd worden van de genoemde normen en bedrijfsvoorschriften. Zonder expliciete afspraak hierover, is altijd de laatst gepubliceerde versie van de norm of voorschrift van toepassing.</w:t>
      </w:r>
    </w:p>
    <w:p>
      <w:pPr>
        <w:pStyle w:val="BodyText"/>
        <w:spacing w:before="10"/>
      </w:pPr>
    </w:p>
    <w:p>
      <w:pPr>
        <w:pStyle w:val="Heading3"/>
        <w:numPr>
          <w:ilvl w:val="1"/>
          <w:numId w:val="2"/>
        </w:numPr>
        <w:tabs>
          <w:tab w:pos="822" w:val="left" w:leader="none"/>
          <w:tab w:pos="823" w:val="left" w:leader="none"/>
        </w:tabs>
        <w:spacing w:line="240" w:lineRule="auto" w:before="0" w:after="0"/>
        <w:ind w:left="822" w:right="0" w:hanging="709"/>
        <w:jc w:val="left"/>
      </w:pPr>
      <w:bookmarkStart w:name="_bookmark19" w:id="21"/>
      <w:bookmarkEnd w:id="21"/>
      <w:r>
        <w:rPr/>
        <w:t>Normen</w:t>
      </w:r>
    </w:p>
    <w:p>
      <w:pPr>
        <w:pStyle w:val="BodyText"/>
        <w:rPr>
          <w:b/>
        </w:rPr>
      </w:pPr>
    </w:p>
    <w:p>
      <w:pPr>
        <w:pStyle w:val="BodyText"/>
        <w:spacing w:before="1" w:after="1"/>
        <w:rPr>
          <w:b/>
          <w:sz w:val="17"/>
        </w:rPr>
      </w:pPr>
    </w:p>
    <w:tbl>
      <w:tblPr>
        <w:tblW w:w="0" w:type="auto"/>
        <w:jc w:val="left"/>
        <w:tblInd w:w="816" w:type="dxa"/>
        <w:tblBorders>
          <w:top w:val="single" w:sz="5" w:space="0" w:color="00537A"/>
          <w:left w:val="single" w:sz="5" w:space="0" w:color="00537A"/>
          <w:bottom w:val="single" w:sz="5" w:space="0" w:color="00537A"/>
          <w:right w:val="single" w:sz="5" w:space="0" w:color="00537A"/>
          <w:insideH w:val="single" w:sz="5" w:space="0" w:color="00537A"/>
          <w:insideV w:val="single" w:sz="5" w:space="0" w:color="00537A"/>
        </w:tblBorders>
        <w:tblLayout w:type="fixed"/>
        <w:tblCellMar>
          <w:top w:w="0" w:type="dxa"/>
          <w:left w:w="0" w:type="dxa"/>
          <w:bottom w:w="0" w:type="dxa"/>
          <w:right w:w="0" w:type="dxa"/>
        </w:tblCellMar>
        <w:tblLook w:val="01E0"/>
      </w:tblPr>
      <w:tblGrid>
        <w:gridCol w:w="2091"/>
        <w:gridCol w:w="6272"/>
      </w:tblGrid>
      <w:tr>
        <w:trPr>
          <w:trHeight w:val="388" w:hRule="exact"/>
        </w:trPr>
        <w:tc>
          <w:tcPr>
            <w:tcW w:w="2091" w:type="dxa"/>
            <w:shd w:val="clear" w:color="auto" w:fill="BDDDE9"/>
          </w:tcPr>
          <w:p>
            <w:pPr>
              <w:pStyle w:val="TableParagraph"/>
              <w:spacing w:before="65"/>
              <w:ind w:left="172"/>
              <w:rPr>
                <w:b/>
                <w:sz w:val="18"/>
              </w:rPr>
            </w:pPr>
            <w:r>
              <w:rPr>
                <w:b/>
                <w:sz w:val="18"/>
              </w:rPr>
              <w:t>Norm</w:t>
            </w:r>
          </w:p>
        </w:tc>
        <w:tc>
          <w:tcPr>
            <w:tcW w:w="6272" w:type="dxa"/>
            <w:shd w:val="clear" w:color="auto" w:fill="BDDDE9"/>
          </w:tcPr>
          <w:p>
            <w:pPr>
              <w:pStyle w:val="TableParagraph"/>
              <w:spacing w:before="65"/>
              <w:ind w:left="172"/>
              <w:rPr>
                <w:b/>
                <w:sz w:val="18"/>
              </w:rPr>
            </w:pPr>
            <w:r>
              <w:rPr>
                <w:b/>
                <w:sz w:val="18"/>
              </w:rPr>
              <w:t>Titel</w:t>
            </w:r>
          </w:p>
        </w:tc>
      </w:tr>
      <w:tr>
        <w:trPr>
          <w:trHeight w:val="535" w:hRule="exact"/>
        </w:trPr>
        <w:tc>
          <w:tcPr>
            <w:tcW w:w="2091" w:type="dxa"/>
            <w:tcBorders>
              <w:bottom w:val="single" w:sz="2" w:space="0" w:color="00537A"/>
            </w:tcBorders>
          </w:tcPr>
          <w:p>
            <w:pPr>
              <w:pStyle w:val="TableParagraph"/>
              <w:spacing w:line="180" w:lineRule="exact" w:before="72"/>
              <w:ind w:left="172" w:right="793"/>
              <w:rPr>
                <w:sz w:val="18"/>
              </w:rPr>
            </w:pPr>
            <w:r>
              <w:rPr>
                <w:sz w:val="18"/>
              </w:rPr>
              <w:t>NEN-EN 50121-1:2017</w:t>
            </w:r>
          </w:p>
        </w:tc>
        <w:tc>
          <w:tcPr>
            <w:tcW w:w="6272" w:type="dxa"/>
            <w:tcBorders>
              <w:bottom w:val="single" w:sz="2" w:space="0" w:color="00537A"/>
            </w:tcBorders>
          </w:tcPr>
          <w:p>
            <w:pPr>
              <w:pStyle w:val="TableParagraph"/>
              <w:spacing w:line="180" w:lineRule="exact" w:before="72"/>
              <w:ind w:left="172"/>
              <w:rPr>
                <w:sz w:val="18"/>
              </w:rPr>
            </w:pPr>
            <w:r>
              <w:rPr>
                <w:sz w:val="18"/>
              </w:rPr>
              <w:t>Spoorwegen en soort- gelijk geleid vervoer - Elektromagnetische compatibiliteit – Deel 1: Algemeen</w:t>
            </w:r>
          </w:p>
        </w:tc>
      </w:tr>
      <w:tr>
        <w:trPr>
          <w:trHeight w:val="709" w:hRule="exact"/>
        </w:trPr>
        <w:tc>
          <w:tcPr>
            <w:tcW w:w="2091" w:type="dxa"/>
            <w:tcBorders>
              <w:top w:val="single" w:sz="2" w:space="0" w:color="00537A"/>
            </w:tcBorders>
          </w:tcPr>
          <w:p>
            <w:pPr>
              <w:pStyle w:val="TableParagraph"/>
              <w:spacing w:line="180" w:lineRule="exact" w:before="72"/>
              <w:ind w:left="172" w:right="793"/>
              <w:rPr>
                <w:sz w:val="18"/>
              </w:rPr>
            </w:pPr>
            <w:r>
              <w:rPr>
                <w:sz w:val="18"/>
              </w:rPr>
              <w:t>NEN-EN 50121-2:2017</w:t>
            </w:r>
          </w:p>
        </w:tc>
        <w:tc>
          <w:tcPr>
            <w:tcW w:w="6272" w:type="dxa"/>
            <w:tcBorders>
              <w:top w:val="single" w:sz="2" w:space="0" w:color="00537A"/>
            </w:tcBorders>
          </w:tcPr>
          <w:p>
            <w:pPr>
              <w:pStyle w:val="TableParagraph"/>
              <w:spacing w:line="180" w:lineRule="exact" w:before="72"/>
              <w:ind w:left="172"/>
              <w:rPr>
                <w:sz w:val="18"/>
              </w:rPr>
            </w:pPr>
            <w:r>
              <w:rPr>
                <w:sz w:val="18"/>
              </w:rPr>
              <w:t>Spoorwegen en soort- gelijk geleid vervoer - Elektromagnetische compatibiliteit – Deel 2: Emissie van het gehele vervoersysteem naar de buitenwereld</w:t>
            </w:r>
          </w:p>
        </w:tc>
      </w:tr>
      <w:tr>
        <w:trPr>
          <w:trHeight w:val="712" w:hRule="exact"/>
        </w:trPr>
        <w:tc>
          <w:tcPr>
            <w:tcW w:w="2091" w:type="dxa"/>
            <w:tcBorders>
              <w:bottom w:val="single" w:sz="2" w:space="0" w:color="00537A"/>
            </w:tcBorders>
          </w:tcPr>
          <w:p>
            <w:pPr>
              <w:pStyle w:val="TableParagraph"/>
              <w:spacing w:line="193" w:lineRule="exact" w:before="47"/>
              <w:ind w:left="172"/>
              <w:rPr>
                <w:sz w:val="18"/>
              </w:rPr>
            </w:pPr>
            <w:r>
              <w:rPr>
                <w:sz w:val="18"/>
              </w:rPr>
              <w:t>NEN-EN</w:t>
            </w:r>
          </w:p>
          <w:p>
            <w:pPr>
              <w:pStyle w:val="TableParagraph"/>
              <w:spacing w:line="193" w:lineRule="exact"/>
              <w:ind w:left="172"/>
              <w:rPr>
                <w:sz w:val="18"/>
              </w:rPr>
            </w:pPr>
            <w:r>
              <w:rPr>
                <w:sz w:val="18"/>
              </w:rPr>
              <w:t>50121-3-1:2017</w:t>
            </w:r>
          </w:p>
        </w:tc>
        <w:tc>
          <w:tcPr>
            <w:tcW w:w="6272" w:type="dxa"/>
            <w:tcBorders>
              <w:bottom w:val="single" w:sz="2" w:space="0" w:color="00537A"/>
            </w:tcBorders>
          </w:tcPr>
          <w:p>
            <w:pPr>
              <w:pStyle w:val="TableParagraph"/>
              <w:spacing w:line="180" w:lineRule="exact" w:before="72"/>
              <w:ind w:left="172"/>
              <w:rPr>
                <w:sz w:val="18"/>
              </w:rPr>
            </w:pPr>
            <w:r>
              <w:rPr>
                <w:sz w:val="18"/>
              </w:rPr>
              <w:t>Spoorwegen en soort- gelijk geleid vervoer - Elektromagnetische compatibiliteit – Deel 3-1: Rollend materieel - Treinen en complete voertuigen</w:t>
            </w:r>
          </w:p>
        </w:tc>
      </w:tr>
      <w:tr>
        <w:trPr>
          <w:trHeight w:val="535" w:hRule="exact"/>
        </w:trPr>
        <w:tc>
          <w:tcPr>
            <w:tcW w:w="2091" w:type="dxa"/>
            <w:tcBorders>
              <w:top w:val="single" w:sz="2" w:space="0" w:color="00537A"/>
              <w:bottom w:val="single" w:sz="2" w:space="0" w:color="00537A"/>
            </w:tcBorders>
          </w:tcPr>
          <w:p>
            <w:pPr>
              <w:pStyle w:val="TableParagraph"/>
              <w:spacing w:line="193" w:lineRule="exact" w:before="50"/>
              <w:ind w:left="172"/>
              <w:rPr>
                <w:sz w:val="18"/>
              </w:rPr>
            </w:pPr>
            <w:r>
              <w:rPr>
                <w:sz w:val="18"/>
              </w:rPr>
              <w:t>NEN-EN</w:t>
            </w:r>
          </w:p>
          <w:p>
            <w:pPr>
              <w:pStyle w:val="TableParagraph"/>
              <w:spacing w:line="193" w:lineRule="exact"/>
              <w:ind w:left="172"/>
              <w:rPr>
                <w:sz w:val="18"/>
              </w:rPr>
            </w:pPr>
            <w:r>
              <w:rPr>
                <w:sz w:val="18"/>
              </w:rPr>
              <w:t>50121-3-2:2017</w:t>
            </w:r>
          </w:p>
        </w:tc>
        <w:tc>
          <w:tcPr>
            <w:tcW w:w="6272" w:type="dxa"/>
            <w:tcBorders>
              <w:top w:val="single" w:sz="2" w:space="0" w:color="00537A"/>
              <w:bottom w:val="single" w:sz="2" w:space="0" w:color="00537A"/>
            </w:tcBorders>
          </w:tcPr>
          <w:p>
            <w:pPr>
              <w:pStyle w:val="TableParagraph"/>
              <w:spacing w:line="180" w:lineRule="exact" w:before="75"/>
              <w:ind w:left="172"/>
              <w:rPr>
                <w:sz w:val="18"/>
              </w:rPr>
            </w:pPr>
            <w:r>
              <w:rPr>
                <w:sz w:val="18"/>
              </w:rPr>
              <w:t>Spoorwegen en soort- gelijk geleid vervoer - Elektromagnetische compatibiliteit – Deel 3-2: Rollend materieel - Apparatuur</w:t>
            </w:r>
          </w:p>
        </w:tc>
      </w:tr>
      <w:tr>
        <w:trPr>
          <w:trHeight w:val="709" w:hRule="exact"/>
        </w:trPr>
        <w:tc>
          <w:tcPr>
            <w:tcW w:w="2091" w:type="dxa"/>
            <w:tcBorders>
              <w:top w:val="single" w:sz="2" w:space="0" w:color="00537A"/>
              <w:bottom w:val="single" w:sz="2" w:space="0" w:color="00537A"/>
            </w:tcBorders>
          </w:tcPr>
          <w:p>
            <w:pPr>
              <w:pStyle w:val="TableParagraph"/>
              <w:spacing w:line="180" w:lineRule="exact" w:before="72"/>
              <w:ind w:left="172" w:right="793"/>
              <w:rPr>
                <w:sz w:val="18"/>
              </w:rPr>
            </w:pPr>
            <w:r>
              <w:rPr>
                <w:sz w:val="18"/>
              </w:rPr>
              <w:t>NEN-EN 50121-4:2016</w:t>
            </w:r>
          </w:p>
        </w:tc>
        <w:tc>
          <w:tcPr>
            <w:tcW w:w="6272" w:type="dxa"/>
            <w:tcBorders>
              <w:top w:val="single" w:sz="2" w:space="0" w:color="00537A"/>
              <w:bottom w:val="single" w:sz="2" w:space="0" w:color="00537A"/>
            </w:tcBorders>
          </w:tcPr>
          <w:p>
            <w:pPr>
              <w:pStyle w:val="TableParagraph"/>
              <w:spacing w:line="180" w:lineRule="exact" w:before="72"/>
              <w:ind w:left="172"/>
              <w:rPr>
                <w:sz w:val="18"/>
              </w:rPr>
            </w:pPr>
            <w:r>
              <w:rPr>
                <w:sz w:val="18"/>
              </w:rPr>
              <w:t>Spoorwegen en soort- gelijk geleid vervoer - Elektromagnetische compatibiliteit – Deel 4: Emissie en immuniteit van sein- en telecommunciatie- apparatuur</w:t>
            </w:r>
          </w:p>
        </w:tc>
      </w:tr>
      <w:tr>
        <w:trPr>
          <w:trHeight w:val="712" w:hRule="exact"/>
        </w:trPr>
        <w:tc>
          <w:tcPr>
            <w:tcW w:w="2091" w:type="dxa"/>
            <w:tcBorders>
              <w:top w:val="single" w:sz="2" w:space="0" w:color="00537A"/>
              <w:bottom w:val="single" w:sz="2" w:space="0" w:color="00537A"/>
            </w:tcBorders>
          </w:tcPr>
          <w:p>
            <w:pPr>
              <w:pStyle w:val="TableParagraph"/>
              <w:spacing w:line="180" w:lineRule="exact" w:before="75"/>
              <w:ind w:left="172" w:right="793"/>
              <w:rPr>
                <w:sz w:val="18"/>
              </w:rPr>
            </w:pPr>
            <w:r>
              <w:rPr>
                <w:sz w:val="18"/>
              </w:rPr>
              <w:t>NEN-EN 50121-5:2017</w:t>
            </w:r>
          </w:p>
        </w:tc>
        <w:tc>
          <w:tcPr>
            <w:tcW w:w="6272" w:type="dxa"/>
            <w:tcBorders>
              <w:top w:val="single" w:sz="2" w:space="0" w:color="00537A"/>
              <w:bottom w:val="single" w:sz="2" w:space="0" w:color="00537A"/>
            </w:tcBorders>
          </w:tcPr>
          <w:p>
            <w:pPr>
              <w:pStyle w:val="TableParagraph"/>
              <w:spacing w:line="180" w:lineRule="exact" w:before="75"/>
              <w:ind w:left="172"/>
              <w:rPr>
                <w:sz w:val="18"/>
              </w:rPr>
            </w:pPr>
            <w:r>
              <w:rPr>
                <w:sz w:val="18"/>
              </w:rPr>
              <w:t>Spoorwegen en soort- gelijk geleid vervoer - Elektromagnetische compatibiliteit – Deel 5: Emissie en immuniteit van vastopgestelde voedingsinstallaties en apparatuur</w:t>
            </w:r>
          </w:p>
        </w:tc>
      </w:tr>
      <w:tr>
        <w:trPr>
          <w:trHeight w:val="535" w:hRule="exact"/>
        </w:trPr>
        <w:tc>
          <w:tcPr>
            <w:tcW w:w="2091" w:type="dxa"/>
            <w:tcBorders>
              <w:top w:val="single" w:sz="2" w:space="0" w:color="00537A"/>
              <w:bottom w:val="single" w:sz="2" w:space="0" w:color="00537A"/>
            </w:tcBorders>
          </w:tcPr>
          <w:p>
            <w:pPr>
              <w:pStyle w:val="TableParagraph"/>
              <w:spacing w:line="180" w:lineRule="exact" w:before="75"/>
              <w:ind w:left="172" w:right="476"/>
              <w:rPr>
                <w:sz w:val="18"/>
              </w:rPr>
            </w:pPr>
            <w:r>
              <w:rPr>
                <w:sz w:val="18"/>
              </w:rPr>
              <w:t>NEN-EN-ISO/IEC</w:t>
            </w:r>
            <w:r>
              <w:rPr>
                <w:w w:val="99"/>
                <w:sz w:val="18"/>
              </w:rPr>
              <w:t> </w:t>
            </w:r>
            <w:r>
              <w:rPr>
                <w:sz w:val="18"/>
              </w:rPr>
              <w:t>17025</w:t>
            </w:r>
          </w:p>
        </w:tc>
        <w:tc>
          <w:tcPr>
            <w:tcW w:w="6272" w:type="dxa"/>
            <w:tcBorders>
              <w:top w:val="single" w:sz="2" w:space="0" w:color="00537A"/>
              <w:bottom w:val="single" w:sz="2" w:space="0" w:color="00537A"/>
            </w:tcBorders>
          </w:tcPr>
          <w:p>
            <w:pPr>
              <w:pStyle w:val="TableParagraph"/>
              <w:spacing w:line="180" w:lineRule="exact" w:before="75"/>
              <w:ind w:left="172" w:right="1284"/>
              <w:rPr>
                <w:sz w:val="18"/>
              </w:rPr>
            </w:pPr>
            <w:r>
              <w:rPr>
                <w:sz w:val="18"/>
              </w:rPr>
              <w:t>Algemene eisen voor de bekwaamheid van beproevings- en kalibratielaboratoria</w:t>
            </w:r>
          </w:p>
        </w:tc>
      </w:tr>
      <w:tr>
        <w:trPr>
          <w:trHeight w:val="709" w:hRule="exact"/>
        </w:trPr>
        <w:tc>
          <w:tcPr>
            <w:tcW w:w="2091" w:type="dxa"/>
            <w:tcBorders>
              <w:top w:val="single" w:sz="2" w:space="0" w:color="00537A"/>
            </w:tcBorders>
          </w:tcPr>
          <w:p>
            <w:pPr>
              <w:pStyle w:val="TableParagraph"/>
              <w:spacing w:line="180" w:lineRule="exact" w:before="72"/>
              <w:ind w:left="172" w:right="855"/>
              <w:rPr>
                <w:sz w:val="18"/>
              </w:rPr>
            </w:pPr>
            <w:r>
              <w:rPr>
                <w:sz w:val="18"/>
              </w:rPr>
              <w:t>NEN-EN-IEC</w:t>
            </w:r>
            <w:r>
              <w:rPr>
                <w:w w:val="99"/>
                <w:sz w:val="18"/>
              </w:rPr>
              <w:t> </w:t>
            </w:r>
            <w:r>
              <w:rPr>
                <w:sz w:val="18"/>
              </w:rPr>
              <w:t>61000-4-3</w:t>
            </w:r>
          </w:p>
        </w:tc>
        <w:tc>
          <w:tcPr>
            <w:tcW w:w="6272" w:type="dxa"/>
            <w:tcBorders>
              <w:top w:val="single" w:sz="2" w:space="0" w:color="00537A"/>
            </w:tcBorders>
          </w:tcPr>
          <w:p>
            <w:pPr>
              <w:pStyle w:val="TableParagraph"/>
              <w:spacing w:line="180" w:lineRule="exact" w:before="72"/>
              <w:ind w:left="172" w:right="218"/>
              <w:rPr>
                <w:sz w:val="18"/>
              </w:rPr>
            </w:pPr>
            <w:r>
              <w:rPr>
                <w:sz w:val="18"/>
              </w:rPr>
              <w:t>Elektromagnetische compatibiliteit (EMC) - Deel 4-3: Beproevingen en meettechnieken - Uitgestraalde, radiofrequente, elektromagnetische velden - Immuniteitsproef</w:t>
            </w:r>
          </w:p>
        </w:tc>
      </w:tr>
      <w:tr>
        <w:trPr>
          <w:trHeight w:val="712" w:hRule="exact"/>
        </w:trPr>
        <w:tc>
          <w:tcPr>
            <w:tcW w:w="2091" w:type="dxa"/>
            <w:tcBorders>
              <w:bottom w:val="single" w:sz="2" w:space="0" w:color="00537A"/>
            </w:tcBorders>
          </w:tcPr>
          <w:p>
            <w:pPr>
              <w:pStyle w:val="TableParagraph"/>
              <w:spacing w:line="180" w:lineRule="exact" w:before="72"/>
              <w:ind w:left="172" w:right="855"/>
              <w:rPr>
                <w:sz w:val="18"/>
              </w:rPr>
            </w:pPr>
            <w:r>
              <w:rPr>
                <w:sz w:val="18"/>
              </w:rPr>
              <w:t>NEN-EN-IEC</w:t>
            </w:r>
            <w:r>
              <w:rPr>
                <w:w w:val="99"/>
                <w:sz w:val="18"/>
              </w:rPr>
              <w:t> </w:t>
            </w:r>
            <w:r>
              <w:rPr>
                <w:sz w:val="18"/>
              </w:rPr>
              <w:t>61000-4-4</w:t>
            </w:r>
          </w:p>
        </w:tc>
        <w:tc>
          <w:tcPr>
            <w:tcW w:w="6272" w:type="dxa"/>
            <w:tcBorders>
              <w:bottom w:val="single" w:sz="2" w:space="0" w:color="00537A"/>
            </w:tcBorders>
          </w:tcPr>
          <w:p>
            <w:pPr>
              <w:pStyle w:val="TableParagraph"/>
              <w:spacing w:line="180" w:lineRule="exact" w:before="72"/>
              <w:ind w:left="172" w:right="565"/>
              <w:rPr>
                <w:sz w:val="18"/>
              </w:rPr>
            </w:pPr>
            <w:r>
              <w:rPr>
                <w:sz w:val="18"/>
              </w:rPr>
              <w:t>Elektromagnetische compatibiliteit (EMC) - Deel 4-4: Beproevingen en meettechnieken - Snelle elektrische transiënten en lawines - Immuniteitsproef</w:t>
            </w:r>
          </w:p>
        </w:tc>
      </w:tr>
      <w:tr>
        <w:trPr>
          <w:trHeight w:val="535" w:hRule="exact"/>
        </w:trPr>
        <w:tc>
          <w:tcPr>
            <w:tcW w:w="2091" w:type="dxa"/>
            <w:tcBorders>
              <w:top w:val="single" w:sz="2" w:space="0" w:color="00537A"/>
              <w:bottom w:val="single" w:sz="2" w:space="0" w:color="00537A"/>
            </w:tcBorders>
          </w:tcPr>
          <w:p>
            <w:pPr>
              <w:pStyle w:val="TableParagraph"/>
              <w:spacing w:line="180" w:lineRule="exact" w:before="75"/>
              <w:ind w:left="172" w:right="855"/>
              <w:rPr>
                <w:sz w:val="18"/>
              </w:rPr>
            </w:pPr>
            <w:r>
              <w:rPr>
                <w:sz w:val="18"/>
              </w:rPr>
              <w:t>NEN-EN-IEC</w:t>
            </w:r>
            <w:r>
              <w:rPr>
                <w:w w:val="99"/>
                <w:sz w:val="18"/>
              </w:rPr>
              <w:t> </w:t>
            </w:r>
            <w:r>
              <w:rPr>
                <w:sz w:val="18"/>
              </w:rPr>
              <w:t>61000-4-5</w:t>
            </w:r>
          </w:p>
        </w:tc>
        <w:tc>
          <w:tcPr>
            <w:tcW w:w="6272" w:type="dxa"/>
            <w:tcBorders>
              <w:top w:val="single" w:sz="2" w:space="0" w:color="00537A"/>
              <w:bottom w:val="single" w:sz="2" w:space="0" w:color="00537A"/>
            </w:tcBorders>
          </w:tcPr>
          <w:p>
            <w:pPr>
              <w:pStyle w:val="TableParagraph"/>
              <w:spacing w:line="180" w:lineRule="exact" w:before="75"/>
              <w:ind w:left="172"/>
              <w:rPr>
                <w:sz w:val="18"/>
              </w:rPr>
            </w:pPr>
            <w:r>
              <w:rPr>
                <w:sz w:val="18"/>
              </w:rPr>
              <w:t>Elektromagnetische compatibiliteit (EMC) - Deel 4-5: Beproevingen en meettechnieken - Stootspanningen - Immuniteitsproef</w:t>
            </w:r>
          </w:p>
        </w:tc>
      </w:tr>
      <w:tr>
        <w:trPr>
          <w:trHeight w:val="709" w:hRule="exact"/>
        </w:trPr>
        <w:tc>
          <w:tcPr>
            <w:tcW w:w="2091" w:type="dxa"/>
            <w:tcBorders>
              <w:top w:val="single" w:sz="2" w:space="0" w:color="00537A"/>
            </w:tcBorders>
          </w:tcPr>
          <w:p>
            <w:pPr>
              <w:pStyle w:val="TableParagraph"/>
              <w:spacing w:line="180" w:lineRule="exact" w:before="72"/>
              <w:ind w:left="172" w:right="855"/>
              <w:rPr>
                <w:sz w:val="18"/>
              </w:rPr>
            </w:pPr>
            <w:r>
              <w:rPr>
                <w:sz w:val="18"/>
              </w:rPr>
              <w:t>NEN-EN-IEC</w:t>
            </w:r>
            <w:r>
              <w:rPr>
                <w:w w:val="99"/>
                <w:sz w:val="18"/>
              </w:rPr>
              <w:t> </w:t>
            </w:r>
            <w:r>
              <w:rPr>
                <w:sz w:val="18"/>
              </w:rPr>
              <w:t>61000-4-16</w:t>
            </w:r>
          </w:p>
        </w:tc>
        <w:tc>
          <w:tcPr>
            <w:tcW w:w="6272" w:type="dxa"/>
            <w:tcBorders>
              <w:top w:val="single" w:sz="2" w:space="0" w:color="00537A"/>
            </w:tcBorders>
          </w:tcPr>
          <w:p>
            <w:pPr>
              <w:pStyle w:val="TableParagraph"/>
              <w:spacing w:line="180" w:lineRule="exact" w:before="72"/>
              <w:ind w:left="172" w:right="396"/>
              <w:jc w:val="both"/>
              <w:rPr>
                <w:sz w:val="18"/>
              </w:rPr>
            </w:pPr>
            <w:r>
              <w:rPr>
                <w:sz w:val="18"/>
              </w:rPr>
              <w:t>Elektromagnetische compatibiliteit (EMC) - Deel 4-16: Beproevingen</w:t>
            </w:r>
            <w:r>
              <w:rPr>
                <w:spacing w:val="-10"/>
                <w:sz w:val="18"/>
              </w:rPr>
              <w:t> </w:t>
            </w:r>
            <w:r>
              <w:rPr>
                <w:sz w:val="18"/>
              </w:rPr>
              <w:t>en meettechnieken - Beproeving van immuniteit voor geleide meervoudige storingen in het frequentiegebied 0 Hz tot 150</w:t>
            </w:r>
            <w:r>
              <w:rPr>
                <w:spacing w:val="-10"/>
                <w:sz w:val="18"/>
              </w:rPr>
              <w:t> </w:t>
            </w:r>
            <w:r>
              <w:rPr>
                <w:sz w:val="18"/>
              </w:rPr>
              <w:t>Hz</w:t>
            </w:r>
          </w:p>
        </w:tc>
      </w:tr>
    </w:tbl>
    <w:p>
      <w:pPr>
        <w:spacing w:after="0" w:line="180" w:lineRule="exact"/>
        <w:jc w:val="both"/>
        <w:rPr>
          <w:sz w:val="18"/>
        </w:rPr>
        <w:sectPr>
          <w:headerReference w:type="default" r:id="rId13"/>
          <w:headerReference w:type="even" r:id="rId14"/>
          <w:pgSz w:w="11910" w:h="16840"/>
          <w:pgMar w:header="560" w:footer="312" w:top="1340" w:bottom="500" w:left="1020" w:right="1580"/>
        </w:sectPr>
      </w:pPr>
    </w:p>
    <w:p>
      <w:pPr>
        <w:pStyle w:val="BodyText"/>
        <w:rPr>
          <w:b/>
        </w:rPr>
      </w:pPr>
    </w:p>
    <w:p>
      <w:pPr>
        <w:pStyle w:val="BodyText"/>
        <w:spacing w:before="6"/>
        <w:rPr>
          <w:b/>
          <w:sz w:val="18"/>
        </w:rPr>
      </w:pPr>
    </w:p>
    <w:p>
      <w:pPr>
        <w:pStyle w:val="Heading3"/>
        <w:numPr>
          <w:ilvl w:val="1"/>
          <w:numId w:val="2"/>
        </w:numPr>
        <w:tabs>
          <w:tab w:pos="829" w:val="left" w:leader="none"/>
          <w:tab w:pos="830" w:val="left" w:leader="none"/>
        </w:tabs>
        <w:spacing w:line="240" w:lineRule="auto" w:before="93" w:after="0"/>
        <w:ind w:left="829" w:right="0" w:hanging="709"/>
        <w:jc w:val="left"/>
      </w:pPr>
      <w:bookmarkStart w:name="_bookmark20" w:id="22"/>
      <w:bookmarkEnd w:id="22"/>
      <w:r>
        <w:rPr/>
        <w:t>Bedrijfsvoorschriften</w:t>
      </w:r>
      <w:r>
        <w:rPr>
          <w:spacing w:val="-4"/>
        </w:rPr>
        <w:t> </w:t>
      </w:r>
      <w:r>
        <w:rPr/>
        <w:t>ProRail</w:t>
      </w:r>
    </w:p>
    <w:p>
      <w:pPr>
        <w:pStyle w:val="BodyText"/>
        <w:spacing w:before="9"/>
        <w:ind w:left="829"/>
      </w:pPr>
      <w:r>
        <w:rPr/>
        <w:t>In dit voorschrift wordt naar de volgende ProRail bedrijfsvoorschriften verwezen:</w:t>
      </w:r>
    </w:p>
    <w:p>
      <w:pPr>
        <w:pStyle w:val="BodyText"/>
      </w:pPr>
    </w:p>
    <w:p>
      <w:pPr>
        <w:pStyle w:val="BodyText"/>
        <w:spacing w:before="1" w:after="1"/>
        <w:rPr>
          <w:sz w:val="17"/>
        </w:rPr>
      </w:pPr>
    </w:p>
    <w:tbl>
      <w:tblPr>
        <w:tblW w:w="0" w:type="auto"/>
        <w:jc w:val="left"/>
        <w:tblInd w:w="823" w:type="dxa"/>
        <w:tblBorders>
          <w:top w:val="single" w:sz="5" w:space="0" w:color="00537A"/>
          <w:left w:val="single" w:sz="5" w:space="0" w:color="00537A"/>
          <w:bottom w:val="single" w:sz="5" w:space="0" w:color="00537A"/>
          <w:right w:val="single" w:sz="5" w:space="0" w:color="00537A"/>
          <w:insideH w:val="single" w:sz="5" w:space="0" w:color="00537A"/>
          <w:insideV w:val="single" w:sz="5" w:space="0" w:color="00537A"/>
        </w:tblBorders>
        <w:tblLayout w:type="fixed"/>
        <w:tblCellMar>
          <w:top w:w="0" w:type="dxa"/>
          <w:left w:w="0" w:type="dxa"/>
          <w:bottom w:w="0" w:type="dxa"/>
          <w:right w:w="0" w:type="dxa"/>
        </w:tblCellMar>
        <w:tblLook w:val="01E0"/>
      </w:tblPr>
      <w:tblGrid>
        <w:gridCol w:w="2091"/>
        <w:gridCol w:w="6272"/>
      </w:tblGrid>
      <w:tr>
        <w:trPr>
          <w:trHeight w:val="388" w:hRule="exact"/>
        </w:trPr>
        <w:tc>
          <w:tcPr>
            <w:tcW w:w="2091" w:type="dxa"/>
            <w:tcBorders>
              <w:bottom w:val="single" w:sz="2" w:space="0" w:color="00537A"/>
            </w:tcBorders>
            <w:shd w:val="clear" w:color="auto" w:fill="BDDDE9"/>
          </w:tcPr>
          <w:p>
            <w:pPr>
              <w:pStyle w:val="TableParagraph"/>
              <w:spacing w:before="65"/>
              <w:ind w:left="172"/>
              <w:rPr>
                <w:b/>
                <w:sz w:val="18"/>
              </w:rPr>
            </w:pPr>
            <w:r>
              <w:rPr>
                <w:b/>
                <w:sz w:val="18"/>
              </w:rPr>
              <w:t>Voorschrift</w:t>
            </w:r>
          </w:p>
        </w:tc>
        <w:tc>
          <w:tcPr>
            <w:tcW w:w="6272" w:type="dxa"/>
            <w:tcBorders>
              <w:bottom w:val="single" w:sz="2" w:space="0" w:color="00537A"/>
            </w:tcBorders>
            <w:shd w:val="clear" w:color="auto" w:fill="BDDDE9"/>
          </w:tcPr>
          <w:p>
            <w:pPr>
              <w:pStyle w:val="TableParagraph"/>
              <w:spacing w:before="65"/>
              <w:ind w:left="172"/>
              <w:rPr>
                <w:b/>
                <w:sz w:val="18"/>
              </w:rPr>
            </w:pPr>
            <w:r>
              <w:rPr>
                <w:b/>
                <w:sz w:val="18"/>
              </w:rPr>
              <w:t>Titel</w:t>
            </w:r>
          </w:p>
        </w:tc>
      </w:tr>
      <w:tr>
        <w:trPr>
          <w:trHeight w:val="535" w:hRule="exact"/>
        </w:trPr>
        <w:tc>
          <w:tcPr>
            <w:tcW w:w="2091" w:type="dxa"/>
            <w:tcBorders>
              <w:top w:val="single" w:sz="2" w:space="0" w:color="00537A"/>
              <w:bottom w:val="single" w:sz="2" w:space="0" w:color="00537A"/>
            </w:tcBorders>
          </w:tcPr>
          <w:p>
            <w:pPr>
              <w:pStyle w:val="TableParagraph"/>
              <w:spacing w:before="50"/>
              <w:ind w:left="172"/>
              <w:rPr>
                <w:sz w:val="18"/>
              </w:rPr>
            </w:pPr>
            <w:r>
              <w:rPr>
                <w:sz w:val="18"/>
              </w:rPr>
              <w:t>OVS00055-3</w:t>
            </w:r>
          </w:p>
        </w:tc>
        <w:tc>
          <w:tcPr>
            <w:tcW w:w="6272" w:type="dxa"/>
            <w:tcBorders>
              <w:top w:val="single" w:sz="2" w:space="0" w:color="00537A"/>
              <w:bottom w:val="single" w:sz="2" w:space="0" w:color="00537A"/>
            </w:tcBorders>
          </w:tcPr>
          <w:p>
            <w:pPr>
              <w:pStyle w:val="TableParagraph"/>
              <w:spacing w:line="180" w:lineRule="exact" w:before="75"/>
              <w:ind w:left="172" w:right="545"/>
              <w:rPr>
                <w:sz w:val="18"/>
              </w:rPr>
            </w:pPr>
            <w:r>
              <w:rPr>
                <w:sz w:val="18"/>
              </w:rPr>
              <w:t>Aarding railinfra-installaties van treinbeveiliging, telecommunicatie en E&amp;W-installaties bij 25 kV / 50 Hz Tractie-energievoorziening</w:t>
            </w:r>
          </w:p>
        </w:tc>
      </w:tr>
      <w:tr>
        <w:trPr>
          <w:trHeight w:val="529" w:hRule="exact"/>
        </w:trPr>
        <w:tc>
          <w:tcPr>
            <w:tcW w:w="2091" w:type="dxa"/>
            <w:tcBorders>
              <w:top w:val="single" w:sz="2" w:space="0" w:color="00537A"/>
            </w:tcBorders>
          </w:tcPr>
          <w:p>
            <w:pPr>
              <w:pStyle w:val="TableParagraph"/>
              <w:spacing w:before="47"/>
              <w:ind w:left="172"/>
              <w:rPr>
                <w:sz w:val="18"/>
              </w:rPr>
            </w:pPr>
            <w:r>
              <w:rPr>
                <w:sz w:val="18"/>
              </w:rPr>
              <w:t>RLN00138</w:t>
            </w:r>
          </w:p>
        </w:tc>
        <w:tc>
          <w:tcPr>
            <w:tcW w:w="6272" w:type="dxa"/>
            <w:tcBorders>
              <w:top w:val="single" w:sz="2" w:space="0" w:color="00537A"/>
            </w:tcBorders>
          </w:tcPr>
          <w:p>
            <w:pPr>
              <w:pStyle w:val="TableParagraph"/>
              <w:spacing w:line="180" w:lineRule="exact" w:before="72"/>
              <w:ind w:left="172" w:right="895"/>
              <w:rPr>
                <w:sz w:val="18"/>
              </w:rPr>
            </w:pPr>
            <w:r>
              <w:rPr>
                <w:sz w:val="18"/>
              </w:rPr>
              <w:t>Systeemintegratie EMC, bliksem- en overspanningsbeveiliging in technische ruimtes</w:t>
            </w:r>
          </w:p>
        </w:tc>
      </w:tr>
    </w:tbl>
    <w:p>
      <w:pPr>
        <w:pStyle w:val="BodyText"/>
      </w:pPr>
    </w:p>
    <w:p>
      <w:pPr>
        <w:pStyle w:val="BodyText"/>
      </w:pPr>
    </w:p>
    <w:p>
      <w:pPr>
        <w:pStyle w:val="BodyText"/>
        <w:spacing w:before="2"/>
        <w:rPr>
          <w:sz w:val="27"/>
        </w:rPr>
      </w:pPr>
    </w:p>
    <w:p>
      <w:pPr>
        <w:pStyle w:val="Heading3"/>
        <w:numPr>
          <w:ilvl w:val="1"/>
          <w:numId w:val="2"/>
        </w:numPr>
        <w:tabs>
          <w:tab w:pos="829" w:val="left" w:leader="none"/>
          <w:tab w:pos="830" w:val="left" w:leader="none"/>
        </w:tabs>
        <w:spacing w:line="240" w:lineRule="auto" w:before="93" w:after="0"/>
        <w:ind w:left="829" w:right="0" w:hanging="709"/>
        <w:jc w:val="left"/>
      </w:pPr>
      <w:bookmarkStart w:name="_bookmark21" w:id="23"/>
      <w:bookmarkEnd w:id="23"/>
      <w:r>
        <w:rPr/>
        <w:t>Overige</w:t>
      </w:r>
      <w:r>
        <w:rPr>
          <w:spacing w:val="-3"/>
        </w:rPr>
        <w:t> </w:t>
      </w:r>
      <w:r>
        <w:rPr/>
        <w:t>referenties</w:t>
      </w:r>
    </w:p>
    <w:p>
      <w:pPr>
        <w:pStyle w:val="BodyText"/>
        <w:rPr>
          <w:b/>
        </w:rPr>
      </w:pPr>
    </w:p>
    <w:p>
      <w:pPr>
        <w:pStyle w:val="BodyText"/>
        <w:spacing w:before="1"/>
        <w:rPr>
          <w:b/>
          <w:sz w:val="17"/>
        </w:rPr>
      </w:pPr>
    </w:p>
    <w:tbl>
      <w:tblPr>
        <w:tblW w:w="0" w:type="auto"/>
        <w:jc w:val="left"/>
        <w:tblInd w:w="823" w:type="dxa"/>
        <w:tblBorders>
          <w:top w:val="single" w:sz="5" w:space="0" w:color="00537A"/>
          <w:left w:val="single" w:sz="5" w:space="0" w:color="00537A"/>
          <w:bottom w:val="single" w:sz="5" w:space="0" w:color="00537A"/>
          <w:right w:val="single" w:sz="5" w:space="0" w:color="00537A"/>
          <w:insideH w:val="single" w:sz="5" w:space="0" w:color="00537A"/>
          <w:insideV w:val="single" w:sz="5" w:space="0" w:color="00537A"/>
        </w:tblBorders>
        <w:tblLayout w:type="fixed"/>
        <w:tblCellMar>
          <w:top w:w="0" w:type="dxa"/>
          <w:left w:w="0" w:type="dxa"/>
          <w:bottom w:w="0" w:type="dxa"/>
          <w:right w:w="0" w:type="dxa"/>
        </w:tblCellMar>
        <w:tblLook w:val="01E0"/>
      </w:tblPr>
      <w:tblGrid>
        <w:gridCol w:w="2091"/>
        <w:gridCol w:w="6272"/>
      </w:tblGrid>
      <w:tr>
        <w:trPr>
          <w:trHeight w:val="388" w:hRule="exact"/>
        </w:trPr>
        <w:tc>
          <w:tcPr>
            <w:tcW w:w="2091" w:type="dxa"/>
            <w:shd w:val="clear" w:color="auto" w:fill="BDDDE9"/>
          </w:tcPr>
          <w:p>
            <w:pPr>
              <w:pStyle w:val="TableParagraph"/>
              <w:spacing w:before="65"/>
              <w:ind w:left="172"/>
              <w:rPr>
                <w:b/>
                <w:sz w:val="18"/>
              </w:rPr>
            </w:pPr>
            <w:r>
              <w:rPr>
                <w:b/>
                <w:sz w:val="18"/>
              </w:rPr>
              <w:t>Referentie</w:t>
            </w:r>
          </w:p>
        </w:tc>
        <w:tc>
          <w:tcPr>
            <w:tcW w:w="6272" w:type="dxa"/>
            <w:shd w:val="clear" w:color="auto" w:fill="BDDDE9"/>
          </w:tcPr>
          <w:p>
            <w:pPr>
              <w:pStyle w:val="TableParagraph"/>
              <w:spacing w:before="65"/>
              <w:ind w:left="172"/>
              <w:rPr>
                <w:b/>
                <w:sz w:val="18"/>
              </w:rPr>
            </w:pPr>
            <w:r>
              <w:rPr>
                <w:b/>
                <w:sz w:val="18"/>
              </w:rPr>
              <w:t>Titel</w:t>
            </w:r>
          </w:p>
        </w:tc>
      </w:tr>
      <w:tr>
        <w:trPr>
          <w:trHeight w:val="892" w:hRule="exact"/>
        </w:trPr>
        <w:tc>
          <w:tcPr>
            <w:tcW w:w="2091" w:type="dxa"/>
            <w:tcBorders>
              <w:bottom w:val="single" w:sz="2" w:space="0" w:color="00537A"/>
            </w:tcBorders>
          </w:tcPr>
          <w:p>
            <w:pPr>
              <w:pStyle w:val="TableParagraph"/>
              <w:spacing w:line="180" w:lineRule="exact" w:before="72"/>
              <w:ind w:left="172" w:right="325"/>
              <w:rPr>
                <w:sz w:val="18"/>
              </w:rPr>
            </w:pPr>
            <w:r>
              <w:rPr>
                <w:sz w:val="18"/>
              </w:rPr>
              <w:t>Besluit elektromagnetische</w:t>
            </w:r>
            <w:r>
              <w:rPr>
                <w:w w:val="99"/>
                <w:sz w:val="18"/>
              </w:rPr>
              <w:t> </w:t>
            </w:r>
            <w:r>
              <w:rPr>
                <w:sz w:val="18"/>
              </w:rPr>
              <w:t>compatibiliteit 2016</w:t>
            </w:r>
          </w:p>
        </w:tc>
        <w:tc>
          <w:tcPr>
            <w:tcW w:w="6272" w:type="dxa"/>
            <w:tcBorders>
              <w:bottom w:val="single" w:sz="2" w:space="0" w:color="00537A"/>
            </w:tcBorders>
          </w:tcPr>
          <w:p>
            <w:pPr>
              <w:pStyle w:val="TableParagraph"/>
              <w:spacing w:line="180" w:lineRule="exact" w:before="72"/>
              <w:ind w:left="172" w:right="218"/>
              <w:rPr>
                <w:sz w:val="18"/>
              </w:rPr>
            </w:pPr>
            <w:r>
              <w:rPr>
                <w:sz w:val="18"/>
              </w:rPr>
              <w:t>Besluit van 12 december 2016, houdende regels inzake elektromagnetische compatibiliteit van uitrusting ter implementatie van richtlijn 2014/30/EU (Besluit elektromagnetische compatibiliteit 2016), Geldend van 28-12-2016 t/m heden</w:t>
            </w:r>
          </w:p>
        </w:tc>
      </w:tr>
      <w:tr>
        <w:trPr>
          <w:trHeight w:val="892" w:hRule="exact"/>
        </w:trPr>
        <w:tc>
          <w:tcPr>
            <w:tcW w:w="2091" w:type="dxa"/>
            <w:tcBorders>
              <w:top w:val="single" w:sz="2" w:space="0" w:color="00537A"/>
            </w:tcBorders>
          </w:tcPr>
          <w:p>
            <w:pPr>
              <w:pStyle w:val="TableParagraph"/>
              <w:spacing w:before="50"/>
              <w:ind w:left="172"/>
              <w:rPr>
                <w:sz w:val="18"/>
              </w:rPr>
            </w:pPr>
            <w:r>
              <w:rPr>
                <w:sz w:val="18"/>
              </w:rPr>
              <w:t>Spoorwegwet</w:t>
            </w:r>
          </w:p>
        </w:tc>
        <w:tc>
          <w:tcPr>
            <w:tcW w:w="6272" w:type="dxa"/>
            <w:tcBorders>
              <w:top w:val="single" w:sz="2" w:space="0" w:color="00537A"/>
            </w:tcBorders>
          </w:tcPr>
          <w:p>
            <w:pPr>
              <w:pStyle w:val="TableParagraph"/>
              <w:spacing w:line="180" w:lineRule="exact" w:before="75"/>
              <w:ind w:left="172" w:right="218"/>
              <w:rPr>
                <w:sz w:val="18"/>
              </w:rPr>
            </w:pPr>
            <w:r>
              <w:rPr>
                <w:sz w:val="18"/>
              </w:rPr>
              <w:t>Wet van 23 april 2003, houdende nieuwe algemene regels over de aanleg, het beheer, de toegankelijkheid en het gebruik van spoorwegen alsmede over het verkeer over spoorwegen (Spoorwegwet), Geldend van 26-11-2016 t/m heden</w:t>
            </w:r>
          </w:p>
        </w:tc>
      </w:tr>
      <w:tr>
        <w:trPr>
          <w:trHeight w:val="535" w:hRule="exact"/>
        </w:trPr>
        <w:tc>
          <w:tcPr>
            <w:tcW w:w="2091" w:type="dxa"/>
            <w:tcBorders>
              <w:bottom w:val="single" w:sz="2" w:space="0" w:color="00537A"/>
            </w:tcBorders>
          </w:tcPr>
          <w:p>
            <w:pPr>
              <w:pStyle w:val="TableParagraph"/>
              <w:spacing w:line="180" w:lineRule="exact" w:before="72"/>
              <w:ind w:left="172" w:right="806"/>
              <w:rPr>
                <w:sz w:val="18"/>
              </w:rPr>
            </w:pPr>
            <w:r>
              <w:rPr>
                <w:sz w:val="18"/>
              </w:rPr>
              <w:t>EMC Richtlijn 2014/30/EU</w:t>
            </w:r>
          </w:p>
        </w:tc>
        <w:tc>
          <w:tcPr>
            <w:tcW w:w="6272" w:type="dxa"/>
            <w:tcBorders>
              <w:bottom w:val="single" w:sz="2" w:space="0" w:color="00537A"/>
            </w:tcBorders>
          </w:tcPr>
          <w:p>
            <w:pPr>
              <w:pStyle w:val="TableParagraph"/>
              <w:spacing w:line="180" w:lineRule="exact" w:before="72"/>
              <w:ind w:left="172" w:right="174"/>
              <w:rPr>
                <w:sz w:val="18"/>
              </w:rPr>
            </w:pPr>
            <w:r>
              <w:rPr>
                <w:sz w:val="18"/>
              </w:rPr>
              <w:t>Richtlijn 2014/30/EU, 26 februari 2014, betreffende de harmonisatie van de wetgevingen van de lidstaten inzake elektromagnetische compatibiliteit</w:t>
            </w:r>
          </w:p>
        </w:tc>
      </w:tr>
      <w:tr>
        <w:trPr>
          <w:trHeight w:val="532" w:hRule="exact"/>
        </w:trPr>
        <w:tc>
          <w:tcPr>
            <w:tcW w:w="2091" w:type="dxa"/>
            <w:tcBorders>
              <w:top w:val="single" w:sz="2" w:space="0" w:color="00537A"/>
              <w:bottom w:val="single" w:sz="2" w:space="0" w:color="00537A"/>
            </w:tcBorders>
          </w:tcPr>
          <w:p>
            <w:pPr>
              <w:pStyle w:val="TableParagraph"/>
              <w:spacing w:line="180" w:lineRule="exact" w:before="72"/>
              <w:ind w:left="172" w:right="185"/>
              <w:rPr>
                <w:sz w:val="18"/>
              </w:rPr>
            </w:pPr>
            <w:r>
              <w:rPr>
                <w:sz w:val="18"/>
              </w:rPr>
              <w:t>Guide for the EMC Directive 2014/30/EU</w:t>
            </w:r>
          </w:p>
        </w:tc>
        <w:tc>
          <w:tcPr>
            <w:tcW w:w="6272" w:type="dxa"/>
            <w:tcBorders>
              <w:top w:val="single" w:sz="2" w:space="0" w:color="00537A"/>
              <w:bottom w:val="single" w:sz="2" w:space="0" w:color="00537A"/>
            </w:tcBorders>
          </w:tcPr>
          <w:p>
            <w:pPr>
              <w:pStyle w:val="TableParagraph"/>
              <w:spacing w:before="47"/>
              <w:ind w:left="172"/>
              <w:rPr>
                <w:sz w:val="18"/>
              </w:rPr>
            </w:pPr>
            <w:r>
              <w:rPr>
                <w:sz w:val="18"/>
              </w:rPr>
              <w:t>Guide for the EMC Directive 2014/30/EU, Final Draft, 4 May 16</w:t>
            </w:r>
          </w:p>
        </w:tc>
      </w:tr>
      <w:tr>
        <w:trPr>
          <w:trHeight w:val="529" w:hRule="exact"/>
        </w:trPr>
        <w:tc>
          <w:tcPr>
            <w:tcW w:w="2091" w:type="dxa"/>
            <w:tcBorders>
              <w:top w:val="single" w:sz="2" w:space="0" w:color="00537A"/>
            </w:tcBorders>
          </w:tcPr>
          <w:p>
            <w:pPr>
              <w:pStyle w:val="TableParagraph"/>
              <w:spacing w:line="180" w:lineRule="exact" w:before="72"/>
              <w:ind w:left="172" w:right="305"/>
              <w:rPr>
                <w:sz w:val="18"/>
              </w:rPr>
            </w:pPr>
            <w:r>
              <w:rPr>
                <w:sz w:val="18"/>
              </w:rPr>
              <w:t>General information 2014/30/EU</w:t>
            </w:r>
          </w:p>
        </w:tc>
        <w:tc>
          <w:tcPr>
            <w:tcW w:w="6272" w:type="dxa"/>
            <w:tcBorders>
              <w:top w:val="single" w:sz="2" w:space="0" w:color="00537A"/>
            </w:tcBorders>
          </w:tcPr>
          <w:p>
            <w:pPr>
              <w:pStyle w:val="TableParagraph"/>
              <w:spacing w:line="180" w:lineRule="exact" w:before="72"/>
              <w:ind w:left="172"/>
              <w:rPr>
                <w:sz w:val="18"/>
              </w:rPr>
            </w:pPr>
            <w:r>
              <w:rPr>
                <w:sz w:val="18"/>
              </w:rPr>
              <w:t>General information of the EMC Directive 2014/30/EU, Requirements for placing equipment of the market</w:t>
            </w:r>
          </w:p>
        </w:tc>
      </w:tr>
    </w:tbl>
    <w:p>
      <w:pPr>
        <w:spacing w:after="0" w:line="180" w:lineRule="exact"/>
        <w:rPr>
          <w:sz w:val="18"/>
        </w:rPr>
        <w:sectPr>
          <w:pgSz w:w="11910" w:h="16840"/>
          <w:pgMar w:header="560" w:footer="312" w:top="1340" w:bottom="500" w:left="1580" w:right="1020"/>
        </w:sectPr>
      </w:pPr>
    </w:p>
    <w:p>
      <w:pPr>
        <w:pStyle w:val="BodyText"/>
        <w:rPr>
          <w:b/>
        </w:rPr>
      </w:pPr>
    </w:p>
    <w:p>
      <w:pPr>
        <w:pStyle w:val="BodyText"/>
        <w:spacing w:before="10"/>
        <w:rPr>
          <w:b/>
          <w:sz w:val="22"/>
        </w:rPr>
      </w:pPr>
    </w:p>
    <w:p>
      <w:pPr>
        <w:pStyle w:val="Heading2"/>
        <w:numPr>
          <w:ilvl w:val="0"/>
          <w:numId w:val="2"/>
        </w:numPr>
        <w:tabs>
          <w:tab w:pos="822" w:val="left" w:leader="none"/>
          <w:tab w:pos="823" w:val="left" w:leader="none"/>
        </w:tabs>
        <w:spacing w:line="240" w:lineRule="auto" w:before="0" w:after="0"/>
        <w:ind w:left="822" w:right="0" w:hanging="709"/>
        <w:jc w:val="left"/>
      </w:pPr>
      <w:bookmarkStart w:name="_bookmark22" w:id="24"/>
      <w:bookmarkEnd w:id="24"/>
      <w:r>
        <w:rPr/>
        <w:t>Revisiegegevens</w:t>
      </w:r>
    </w:p>
    <w:p>
      <w:pPr>
        <w:pStyle w:val="BodyText"/>
        <w:rPr>
          <w:b/>
        </w:rPr>
      </w:pPr>
    </w:p>
    <w:p>
      <w:pPr>
        <w:pStyle w:val="BodyText"/>
        <w:spacing w:before="7"/>
        <w:rPr>
          <w:b/>
          <w:sz w:val="17"/>
        </w:rPr>
      </w:pPr>
    </w:p>
    <w:tbl>
      <w:tblPr>
        <w:tblW w:w="0" w:type="auto"/>
        <w:jc w:val="left"/>
        <w:tblInd w:w="816" w:type="dxa"/>
        <w:tblBorders>
          <w:top w:val="single" w:sz="5" w:space="0" w:color="00537A"/>
          <w:left w:val="single" w:sz="5" w:space="0" w:color="00537A"/>
          <w:bottom w:val="single" w:sz="5" w:space="0" w:color="00537A"/>
          <w:right w:val="single" w:sz="5" w:space="0" w:color="00537A"/>
          <w:insideH w:val="single" w:sz="5" w:space="0" w:color="00537A"/>
          <w:insideV w:val="single" w:sz="5" w:space="0" w:color="00537A"/>
        </w:tblBorders>
        <w:tblLayout w:type="fixed"/>
        <w:tblCellMar>
          <w:top w:w="0" w:type="dxa"/>
          <w:left w:w="0" w:type="dxa"/>
          <w:bottom w:w="0" w:type="dxa"/>
          <w:right w:w="0" w:type="dxa"/>
        </w:tblCellMar>
        <w:tblLook w:val="01E0"/>
      </w:tblPr>
      <w:tblGrid>
        <w:gridCol w:w="1520"/>
        <w:gridCol w:w="1014"/>
        <w:gridCol w:w="1774"/>
        <w:gridCol w:w="4054"/>
      </w:tblGrid>
      <w:tr>
        <w:trPr>
          <w:trHeight w:val="604" w:hRule="exact"/>
        </w:trPr>
        <w:tc>
          <w:tcPr>
            <w:tcW w:w="1520" w:type="dxa"/>
            <w:tcBorders>
              <w:bottom w:val="single" w:sz="2" w:space="0" w:color="00537A"/>
              <w:right w:val="single" w:sz="2" w:space="0" w:color="00537A"/>
            </w:tcBorders>
            <w:shd w:val="clear" w:color="auto" w:fill="BDDDE9"/>
          </w:tcPr>
          <w:p>
            <w:pPr>
              <w:pStyle w:val="TableParagraph"/>
              <w:spacing w:before="65"/>
              <w:ind w:left="172"/>
              <w:rPr>
                <w:b/>
                <w:sz w:val="18"/>
              </w:rPr>
            </w:pPr>
            <w:r>
              <w:rPr>
                <w:b/>
                <w:sz w:val="18"/>
              </w:rPr>
              <w:t>Datum</w:t>
            </w:r>
          </w:p>
        </w:tc>
        <w:tc>
          <w:tcPr>
            <w:tcW w:w="1014" w:type="dxa"/>
            <w:tcBorders>
              <w:left w:val="single" w:sz="2" w:space="0" w:color="00537A"/>
              <w:bottom w:val="single" w:sz="2" w:space="0" w:color="00537A"/>
            </w:tcBorders>
            <w:shd w:val="clear" w:color="auto" w:fill="BDDDE9"/>
          </w:tcPr>
          <w:p>
            <w:pPr>
              <w:pStyle w:val="TableParagraph"/>
              <w:spacing w:before="65"/>
              <w:ind w:left="175"/>
              <w:rPr>
                <w:b/>
                <w:sz w:val="18"/>
              </w:rPr>
            </w:pPr>
            <w:r>
              <w:rPr>
                <w:b/>
                <w:sz w:val="18"/>
              </w:rPr>
              <w:t>Versie</w:t>
            </w:r>
          </w:p>
        </w:tc>
        <w:tc>
          <w:tcPr>
            <w:tcW w:w="1774" w:type="dxa"/>
            <w:tcBorders>
              <w:bottom w:val="single" w:sz="2" w:space="0" w:color="00537A"/>
              <w:right w:val="single" w:sz="2" w:space="0" w:color="00537A"/>
            </w:tcBorders>
            <w:shd w:val="clear" w:color="auto" w:fill="BDDDE9"/>
          </w:tcPr>
          <w:p>
            <w:pPr>
              <w:pStyle w:val="TableParagraph"/>
              <w:spacing w:line="249" w:lineRule="auto" w:before="65"/>
              <w:ind w:left="171" w:right="633"/>
              <w:rPr>
                <w:b/>
                <w:sz w:val="18"/>
              </w:rPr>
            </w:pPr>
            <w:r>
              <w:rPr>
                <w:b/>
                <w:sz w:val="18"/>
              </w:rPr>
              <w:t>Hoofdstuk/ paragraaf</w:t>
            </w:r>
          </w:p>
        </w:tc>
        <w:tc>
          <w:tcPr>
            <w:tcW w:w="4054" w:type="dxa"/>
            <w:tcBorders>
              <w:left w:val="single" w:sz="2" w:space="0" w:color="00537A"/>
              <w:bottom w:val="single" w:sz="2" w:space="0" w:color="00537A"/>
            </w:tcBorders>
            <w:shd w:val="clear" w:color="auto" w:fill="BDDDE9"/>
          </w:tcPr>
          <w:p>
            <w:pPr>
              <w:pStyle w:val="TableParagraph"/>
              <w:spacing w:before="65"/>
              <w:ind w:left="175"/>
              <w:rPr>
                <w:b/>
                <w:sz w:val="18"/>
              </w:rPr>
            </w:pPr>
            <w:r>
              <w:rPr>
                <w:b/>
                <w:sz w:val="18"/>
              </w:rPr>
              <w:t>Wijziging</w:t>
            </w:r>
          </w:p>
        </w:tc>
      </w:tr>
      <w:tr>
        <w:trPr>
          <w:trHeight w:val="1252" w:hRule="exact"/>
        </w:trPr>
        <w:tc>
          <w:tcPr>
            <w:tcW w:w="1520" w:type="dxa"/>
            <w:tcBorders>
              <w:top w:val="single" w:sz="2" w:space="0" w:color="00537A"/>
              <w:right w:val="single" w:sz="2" w:space="0" w:color="00537A"/>
            </w:tcBorders>
          </w:tcPr>
          <w:p>
            <w:pPr>
              <w:pStyle w:val="TableParagraph"/>
              <w:spacing w:before="50"/>
              <w:ind w:left="172"/>
              <w:rPr>
                <w:sz w:val="18"/>
              </w:rPr>
            </w:pPr>
            <w:r>
              <w:rPr>
                <w:sz w:val="18"/>
              </w:rPr>
              <w:t>1 juni 2017</w:t>
            </w:r>
          </w:p>
        </w:tc>
        <w:tc>
          <w:tcPr>
            <w:tcW w:w="1014" w:type="dxa"/>
            <w:tcBorders>
              <w:top w:val="single" w:sz="2" w:space="0" w:color="00537A"/>
              <w:left w:val="single" w:sz="2" w:space="0" w:color="00537A"/>
            </w:tcBorders>
          </w:tcPr>
          <w:p>
            <w:pPr>
              <w:pStyle w:val="TableParagraph"/>
              <w:spacing w:before="50"/>
              <w:ind w:left="175"/>
              <w:rPr>
                <w:sz w:val="18"/>
              </w:rPr>
            </w:pPr>
            <w:r>
              <w:rPr>
                <w:sz w:val="18"/>
              </w:rPr>
              <w:t>006</w:t>
            </w:r>
          </w:p>
        </w:tc>
        <w:tc>
          <w:tcPr>
            <w:tcW w:w="1774" w:type="dxa"/>
            <w:tcBorders>
              <w:top w:val="single" w:sz="2" w:space="0" w:color="00537A"/>
              <w:right w:val="single" w:sz="2" w:space="0" w:color="00537A"/>
            </w:tcBorders>
          </w:tcPr>
          <w:p>
            <w:pPr>
              <w:pStyle w:val="TableParagraph"/>
              <w:spacing w:before="50"/>
              <w:ind w:left="171"/>
              <w:rPr>
                <w:sz w:val="18"/>
              </w:rPr>
            </w:pPr>
            <w:r>
              <w:rPr>
                <w:sz w:val="18"/>
              </w:rPr>
              <w:t>Alle</w:t>
            </w:r>
          </w:p>
        </w:tc>
        <w:tc>
          <w:tcPr>
            <w:tcW w:w="4054" w:type="dxa"/>
            <w:tcBorders>
              <w:top w:val="single" w:sz="2" w:space="0" w:color="00537A"/>
              <w:left w:val="single" w:sz="2" w:space="0" w:color="00537A"/>
            </w:tcBorders>
          </w:tcPr>
          <w:p>
            <w:pPr>
              <w:pStyle w:val="TableParagraph"/>
              <w:spacing w:line="180" w:lineRule="exact" w:before="75"/>
              <w:ind w:left="175" w:right="428"/>
              <w:rPr>
                <w:sz w:val="18"/>
              </w:rPr>
            </w:pPr>
            <w:r>
              <w:rPr>
                <w:sz w:val="18"/>
              </w:rPr>
              <w:t>Update op basis van NEN-EN 50121:2016/2017, onderhoudsdossier verwerkt, aanvullende EMC-eisen samengevoegd in hoofdstuk 4, omgezet naar eisenbibliotheek ProRail, redactionele aanpassingen in hele document.</w:t>
            </w:r>
          </w:p>
        </w:tc>
      </w:tr>
      <w:tr>
        <w:trPr>
          <w:trHeight w:val="892" w:hRule="exact"/>
        </w:trPr>
        <w:tc>
          <w:tcPr>
            <w:tcW w:w="1520" w:type="dxa"/>
            <w:tcBorders>
              <w:right w:val="single" w:sz="2" w:space="0" w:color="00537A"/>
            </w:tcBorders>
          </w:tcPr>
          <w:p>
            <w:pPr>
              <w:pStyle w:val="TableParagraph"/>
              <w:spacing w:before="47"/>
              <w:ind w:left="172"/>
              <w:rPr>
                <w:sz w:val="18"/>
              </w:rPr>
            </w:pPr>
            <w:r>
              <w:rPr>
                <w:sz w:val="18"/>
              </w:rPr>
              <w:t>1 april 2009</w:t>
            </w:r>
          </w:p>
        </w:tc>
        <w:tc>
          <w:tcPr>
            <w:tcW w:w="1014" w:type="dxa"/>
            <w:tcBorders>
              <w:left w:val="single" w:sz="2" w:space="0" w:color="00537A"/>
            </w:tcBorders>
          </w:tcPr>
          <w:p>
            <w:pPr>
              <w:pStyle w:val="TableParagraph"/>
              <w:spacing w:before="47"/>
              <w:ind w:left="175"/>
              <w:rPr>
                <w:sz w:val="18"/>
              </w:rPr>
            </w:pPr>
            <w:r>
              <w:rPr>
                <w:sz w:val="18"/>
              </w:rPr>
              <w:t>005</w:t>
            </w:r>
          </w:p>
        </w:tc>
        <w:tc>
          <w:tcPr>
            <w:tcW w:w="1774" w:type="dxa"/>
            <w:tcBorders>
              <w:right w:val="single" w:sz="2" w:space="0" w:color="00537A"/>
            </w:tcBorders>
          </w:tcPr>
          <w:p>
            <w:pPr>
              <w:pStyle w:val="TableParagraph"/>
              <w:spacing w:before="47"/>
              <w:ind w:left="171"/>
              <w:rPr>
                <w:sz w:val="18"/>
              </w:rPr>
            </w:pPr>
            <w:r>
              <w:rPr>
                <w:sz w:val="18"/>
              </w:rPr>
              <w:t>Alle</w:t>
            </w:r>
          </w:p>
        </w:tc>
        <w:tc>
          <w:tcPr>
            <w:tcW w:w="4054" w:type="dxa"/>
            <w:tcBorders>
              <w:left w:val="single" w:sz="2" w:space="0" w:color="00537A"/>
            </w:tcBorders>
          </w:tcPr>
          <w:p>
            <w:pPr>
              <w:pStyle w:val="TableParagraph"/>
              <w:spacing w:line="180" w:lineRule="exact" w:before="72"/>
              <w:ind w:left="175" w:right="488"/>
              <w:rPr>
                <w:sz w:val="18"/>
              </w:rPr>
            </w:pPr>
            <w:r>
              <w:rPr>
                <w:sz w:val="18"/>
              </w:rPr>
              <w:t>Update op basis van NEN-EN</w:t>
            </w:r>
            <w:r>
              <w:rPr>
                <w:spacing w:val="-7"/>
                <w:sz w:val="18"/>
              </w:rPr>
              <w:t> </w:t>
            </w:r>
            <w:r>
              <w:rPr>
                <w:sz w:val="18"/>
              </w:rPr>
              <w:t>50121:2006 en voortschrijdend inzicht, samenhang met RLN00138 verduidelijkt, tekstueel verduidelijkt, onderhoudsdossier</w:t>
            </w:r>
            <w:r>
              <w:rPr>
                <w:spacing w:val="-4"/>
                <w:sz w:val="18"/>
              </w:rPr>
              <w:t> </w:t>
            </w:r>
            <w:r>
              <w:rPr>
                <w:sz w:val="18"/>
              </w:rPr>
              <w:t>verwerkt.</w:t>
            </w:r>
          </w:p>
        </w:tc>
      </w:tr>
      <w:tr>
        <w:trPr>
          <w:trHeight w:val="355" w:hRule="exact"/>
        </w:trPr>
        <w:tc>
          <w:tcPr>
            <w:tcW w:w="1520" w:type="dxa"/>
            <w:tcBorders>
              <w:bottom w:val="single" w:sz="2" w:space="0" w:color="00537A"/>
              <w:right w:val="single" w:sz="2" w:space="0" w:color="00537A"/>
            </w:tcBorders>
          </w:tcPr>
          <w:p>
            <w:pPr>
              <w:pStyle w:val="TableParagraph"/>
              <w:spacing w:before="47"/>
              <w:ind w:left="172"/>
              <w:rPr>
                <w:sz w:val="18"/>
              </w:rPr>
            </w:pPr>
            <w:r>
              <w:rPr>
                <w:sz w:val="18"/>
              </w:rPr>
              <w:t>19 sept 2007</w:t>
            </w:r>
          </w:p>
        </w:tc>
        <w:tc>
          <w:tcPr>
            <w:tcW w:w="1014" w:type="dxa"/>
            <w:tcBorders>
              <w:left w:val="single" w:sz="2" w:space="0" w:color="00537A"/>
              <w:bottom w:val="single" w:sz="2" w:space="0" w:color="00537A"/>
            </w:tcBorders>
          </w:tcPr>
          <w:p>
            <w:pPr>
              <w:pStyle w:val="TableParagraph"/>
              <w:spacing w:before="47"/>
              <w:ind w:left="175"/>
              <w:rPr>
                <w:sz w:val="18"/>
              </w:rPr>
            </w:pPr>
            <w:r>
              <w:rPr>
                <w:sz w:val="18"/>
              </w:rPr>
              <w:t>004</w:t>
            </w:r>
          </w:p>
        </w:tc>
        <w:tc>
          <w:tcPr>
            <w:tcW w:w="1774" w:type="dxa"/>
            <w:tcBorders>
              <w:bottom w:val="single" w:sz="2" w:space="0" w:color="00537A"/>
              <w:right w:val="single" w:sz="2" w:space="0" w:color="00537A"/>
            </w:tcBorders>
          </w:tcPr>
          <w:p>
            <w:pPr>
              <w:pStyle w:val="TableParagraph"/>
              <w:spacing w:before="47"/>
              <w:ind w:left="171"/>
              <w:rPr>
                <w:sz w:val="18"/>
              </w:rPr>
            </w:pPr>
            <w:r>
              <w:rPr>
                <w:sz w:val="18"/>
              </w:rPr>
              <w:t>Voorpagina</w:t>
            </w:r>
          </w:p>
        </w:tc>
        <w:tc>
          <w:tcPr>
            <w:tcW w:w="4054" w:type="dxa"/>
            <w:tcBorders>
              <w:left w:val="single" w:sz="2" w:space="0" w:color="00537A"/>
              <w:bottom w:val="single" w:sz="2" w:space="0" w:color="00537A"/>
            </w:tcBorders>
          </w:tcPr>
          <w:p>
            <w:pPr>
              <w:pStyle w:val="TableParagraph"/>
              <w:spacing w:before="47"/>
              <w:ind w:left="175"/>
              <w:rPr>
                <w:sz w:val="18"/>
              </w:rPr>
            </w:pPr>
            <w:r>
              <w:rPr>
                <w:sz w:val="18"/>
              </w:rPr>
              <w:t>Disclaimer toegevoegd</w:t>
            </w:r>
          </w:p>
        </w:tc>
      </w:tr>
      <w:tr>
        <w:trPr>
          <w:trHeight w:val="532" w:hRule="exact"/>
        </w:trPr>
        <w:tc>
          <w:tcPr>
            <w:tcW w:w="1520" w:type="dxa"/>
            <w:tcBorders>
              <w:top w:val="single" w:sz="2" w:space="0" w:color="00537A"/>
              <w:bottom w:val="single" w:sz="2" w:space="0" w:color="00537A"/>
              <w:right w:val="single" w:sz="2" w:space="0" w:color="00537A"/>
            </w:tcBorders>
          </w:tcPr>
          <w:p>
            <w:pPr>
              <w:pStyle w:val="TableParagraph"/>
              <w:spacing w:before="47"/>
              <w:ind w:left="172"/>
              <w:rPr>
                <w:sz w:val="18"/>
              </w:rPr>
            </w:pPr>
            <w:r>
              <w:rPr>
                <w:sz w:val="18"/>
              </w:rPr>
              <w:t>15 dec 2003</w:t>
            </w:r>
          </w:p>
        </w:tc>
        <w:tc>
          <w:tcPr>
            <w:tcW w:w="1014" w:type="dxa"/>
            <w:tcBorders>
              <w:top w:val="single" w:sz="2" w:space="0" w:color="00537A"/>
              <w:left w:val="single" w:sz="2" w:space="0" w:color="00537A"/>
              <w:bottom w:val="single" w:sz="2" w:space="0" w:color="00537A"/>
            </w:tcBorders>
          </w:tcPr>
          <w:p>
            <w:pPr>
              <w:pStyle w:val="TableParagraph"/>
              <w:spacing w:before="47"/>
              <w:ind w:left="175"/>
              <w:rPr>
                <w:sz w:val="18"/>
              </w:rPr>
            </w:pPr>
            <w:r>
              <w:rPr>
                <w:sz w:val="18"/>
              </w:rPr>
              <w:t>003</w:t>
            </w:r>
          </w:p>
        </w:tc>
        <w:tc>
          <w:tcPr>
            <w:tcW w:w="1774" w:type="dxa"/>
            <w:tcBorders>
              <w:top w:val="single" w:sz="2" w:space="0" w:color="00537A"/>
              <w:bottom w:val="single" w:sz="2" w:space="0" w:color="00537A"/>
              <w:right w:val="single" w:sz="2" w:space="0" w:color="00537A"/>
            </w:tcBorders>
          </w:tcPr>
          <w:p>
            <w:pPr>
              <w:pStyle w:val="TableParagraph"/>
              <w:spacing w:before="47"/>
              <w:ind w:left="171"/>
              <w:rPr>
                <w:sz w:val="18"/>
              </w:rPr>
            </w:pPr>
            <w:r>
              <w:rPr>
                <w:sz w:val="18"/>
              </w:rPr>
              <w:t>Alle</w:t>
            </w:r>
          </w:p>
        </w:tc>
        <w:tc>
          <w:tcPr>
            <w:tcW w:w="4054" w:type="dxa"/>
            <w:tcBorders>
              <w:top w:val="single" w:sz="2" w:space="0" w:color="00537A"/>
              <w:left w:val="single" w:sz="2" w:space="0" w:color="00537A"/>
              <w:bottom w:val="single" w:sz="2" w:space="0" w:color="00537A"/>
            </w:tcBorders>
          </w:tcPr>
          <w:p>
            <w:pPr>
              <w:pStyle w:val="TableParagraph"/>
              <w:spacing w:line="180" w:lineRule="exact" w:before="72"/>
              <w:ind w:left="175" w:right="127"/>
              <w:rPr>
                <w:sz w:val="18"/>
              </w:rPr>
            </w:pPr>
            <w:r>
              <w:rPr>
                <w:sz w:val="18"/>
              </w:rPr>
              <w:t>Uitbreiding van het toepassingsgebied tot 25 kV 50Hz en 15kV 16,7 Hz</w:t>
            </w:r>
          </w:p>
        </w:tc>
      </w:tr>
      <w:tr>
        <w:trPr>
          <w:trHeight w:val="709" w:hRule="exact"/>
        </w:trPr>
        <w:tc>
          <w:tcPr>
            <w:tcW w:w="1520" w:type="dxa"/>
            <w:tcBorders>
              <w:top w:val="single" w:sz="2" w:space="0" w:color="00537A"/>
              <w:bottom w:val="single" w:sz="2" w:space="0" w:color="00537A"/>
              <w:right w:val="single" w:sz="2" w:space="0" w:color="00537A"/>
            </w:tcBorders>
          </w:tcPr>
          <w:p>
            <w:pPr>
              <w:pStyle w:val="TableParagraph"/>
              <w:spacing w:before="47"/>
              <w:ind w:left="172"/>
              <w:rPr>
                <w:sz w:val="18"/>
              </w:rPr>
            </w:pPr>
            <w:r>
              <w:rPr>
                <w:sz w:val="18"/>
              </w:rPr>
              <w:t>5 nov 2001</w:t>
            </w:r>
          </w:p>
        </w:tc>
        <w:tc>
          <w:tcPr>
            <w:tcW w:w="1014" w:type="dxa"/>
            <w:tcBorders>
              <w:top w:val="single" w:sz="2" w:space="0" w:color="00537A"/>
              <w:left w:val="single" w:sz="2" w:space="0" w:color="00537A"/>
              <w:bottom w:val="single" w:sz="2" w:space="0" w:color="00537A"/>
            </w:tcBorders>
          </w:tcPr>
          <w:p>
            <w:pPr>
              <w:pStyle w:val="TableParagraph"/>
              <w:spacing w:before="47"/>
              <w:ind w:left="175"/>
              <w:rPr>
                <w:sz w:val="18"/>
              </w:rPr>
            </w:pPr>
            <w:r>
              <w:rPr>
                <w:sz w:val="18"/>
              </w:rPr>
              <w:t>002</w:t>
            </w:r>
          </w:p>
        </w:tc>
        <w:tc>
          <w:tcPr>
            <w:tcW w:w="1774" w:type="dxa"/>
            <w:tcBorders>
              <w:top w:val="single" w:sz="2" w:space="0" w:color="00537A"/>
              <w:bottom w:val="single" w:sz="2" w:space="0" w:color="00537A"/>
              <w:right w:val="single" w:sz="2" w:space="0" w:color="00537A"/>
            </w:tcBorders>
          </w:tcPr>
          <w:p>
            <w:pPr>
              <w:pStyle w:val="TableParagraph"/>
              <w:spacing w:before="47"/>
              <w:ind w:left="171"/>
              <w:rPr>
                <w:sz w:val="18"/>
              </w:rPr>
            </w:pPr>
            <w:r>
              <w:rPr>
                <w:sz w:val="18"/>
              </w:rPr>
              <w:t>Alle</w:t>
            </w:r>
          </w:p>
        </w:tc>
        <w:tc>
          <w:tcPr>
            <w:tcW w:w="4054" w:type="dxa"/>
            <w:tcBorders>
              <w:top w:val="single" w:sz="2" w:space="0" w:color="00537A"/>
              <w:left w:val="single" w:sz="2" w:space="0" w:color="00537A"/>
              <w:bottom w:val="single" w:sz="2" w:space="0" w:color="00537A"/>
            </w:tcBorders>
          </w:tcPr>
          <w:p>
            <w:pPr>
              <w:pStyle w:val="TableParagraph"/>
              <w:spacing w:line="180" w:lineRule="exact" w:before="72"/>
              <w:ind w:left="175" w:right="348"/>
              <w:rPr>
                <w:sz w:val="18"/>
              </w:rPr>
            </w:pPr>
            <w:r>
              <w:rPr>
                <w:sz w:val="18"/>
              </w:rPr>
              <w:t>Update naar aanleiding van verschijnen van NEN- EN 50121:2000, vervanger van ENV 50121:1996</w:t>
            </w:r>
          </w:p>
        </w:tc>
      </w:tr>
      <w:tr>
        <w:trPr>
          <w:trHeight w:val="532" w:hRule="exact"/>
        </w:trPr>
        <w:tc>
          <w:tcPr>
            <w:tcW w:w="1520" w:type="dxa"/>
            <w:tcBorders>
              <w:top w:val="single" w:sz="2" w:space="0" w:color="00537A"/>
              <w:right w:val="single" w:sz="2" w:space="0" w:color="00537A"/>
            </w:tcBorders>
          </w:tcPr>
          <w:p>
            <w:pPr>
              <w:pStyle w:val="TableParagraph"/>
              <w:spacing w:before="50"/>
              <w:ind w:left="172"/>
              <w:rPr>
                <w:sz w:val="18"/>
              </w:rPr>
            </w:pPr>
            <w:r>
              <w:rPr>
                <w:sz w:val="18"/>
              </w:rPr>
              <w:t>1 juli 1998</w:t>
            </w:r>
          </w:p>
        </w:tc>
        <w:tc>
          <w:tcPr>
            <w:tcW w:w="1014" w:type="dxa"/>
            <w:tcBorders>
              <w:top w:val="single" w:sz="2" w:space="0" w:color="00537A"/>
              <w:left w:val="single" w:sz="2" w:space="0" w:color="00537A"/>
            </w:tcBorders>
          </w:tcPr>
          <w:p>
            <w:pPr>
              <w:pStyle w:val="TableParagraph"/>
              <w:spacing w:before="50"/>
              <w:ind w:left="175"/>
              <w:rPr>
                <w:sz w:val="18"/>
              </w:rPr>
            </w:pPr>
            <w:r>
              <w:rPr>
                <w:sz w:val="18"/>
              </w:rPr>
              <w:t>001</w:t>
            </w:r>
          </w:p>
        </w:tc>
        <w:tc>
          <w:tcPr>
            <w:tcW w:w="1774" w:type="dxa"/>
            <w:tcBorders>
              <w:top w:val="single" w:sz="2" w:space="0" w:color="00537A"/>
              <w:right w:val="single" w:sz="2" w:space="0" w:color="00537A"/>
            </w:tcBorders>
          </w:tcPr>
          <w:p>
            <w:pPr>
              <w:pStyle w:val="TableParagraph"/>
              <w:spacing w:before="50"/>
              <w:ind w:left="171"/>
              <w:rPr>
                <w:sz w:val="18"/>
              </w:rPr>
            </w:pPr>
            <w:r>
              <w:rPr>
                <w:sz w:val="18"/>
              </w:rPr>
              <w:t>Alle</w:t>
            </w:r>
          </w:p>
        </w:tc>
        <w:tc>
          <w:tcPr>
            <w:tcW w:w="4054" w:type="dxa"/>
            <w:tcBorders>
              <w:top w:val="single" w:sz="2" w:space="0" w:color="00537A"/>
              <w:left w:val="single" w:sz="2" w:space="0" w:color="00537A"/>
            </w:tcBorders>
          </w:tcPr>
          <w:p>
            <w:pPr>
              <w:pStyle w:val="TableParagraph"/>
              <w:spacing w:line="180" w:lineRule="exact" w:before="75"/>
              <w:ind w:left="175" w:right="338"/>
              <w:rPr>
                <w:sz w:val="18"/>
              </w:rPr>
            </w:pPr>
            <w:r>
              <w:rPr>
                <w:sz w:val="18"/>
              </w:rPr>
              <w:t>Nieuw document, toepassingsgebied 1500V DC</w:t>
            </w:r>
          </w:p>
        </w:tc>
      </w:tr>
    </w:tbl>
    <w:p>
      <w:pPr>
        <w:spacing w:after="0" w:line="180" w:lineRule="exact"/>
        <w:rPr>
          <w:sz w:val="18"/>
        </w:rPr>
        <w:sectPr>
          <w:pgSz w:w="11910" w:h="16840"/>
          <w:pgMar w:header="560" w:footer="312" w:top="1340" w:bottom="500" w:left="1020" w:right="1580"/>
        </w:sectPr>
      </w:pPr>
    </w:p>
    <w:p>
      <w:pPr>
        <w:pStyle w:val="BodyText"/>
        <w:rPr>
          <w:b/>
        </w:rPr>
      </w:pPr>
    </w:p>
    <w:p>
      <w:pPr>
        <w:pStyle w:val="Heading2"/>
        <w:numPr>
          <w:ilvl w:val="0"/>
          <w:numId w:val="2"/>
        </w:numPr>
        <w:tabs>
          <w:tab w:pos="822" w:val="left" w:leader="none"/>
          <w:tab w:pos="823" w:val="left" w:leader="none"/>
        </w:tabs>
        <w:spacing w:line="240" w:lineRule="auto" w:before="232" w:after="0"/>
        <w:ind w:left="822" w:right="0" w:hanging="709"/>
        <w:jc w:val="left"/>
      </w:pPr>
      <w:bookmarkStart w:name="_bookmark23" w:id="25"/>
      <w:bookmarkEnd w:id="25"/>
      <w:r>
        <w:rPr/>
        <w:t>Bijlage</w:t>
      </w:r>
      <w:r>
        <w:rPr/>
        <w:t> 1 Flowchart EMC-eisen</w:t>
      </w:r>
      <w:r>
        <w:rPr>
          <w:spacing w:val="-8"/>
        </w:rPr>
        <w:t> </w:t>
      </w:r>
      <w:r>
        <w:rPr/>
        <w:t>(normatief)</w:t>
      </w:r>
    </w:p>
    <w:p>
      <w:pPr>
        <w:pStyle w:val="BodyText"/>
        <w:spacing w:before="10"/>
        <w:rPr>
          <w:b/>
          <w:sz w:val="27"/>
        </w:rPr>
      </w:pPr>
      <w:r>
        <w:rPr/>
        <w:drawing>
          <wp:anchor distT="0" distB="0" distL="0" distR="0" allowOverlap="1" layoutInCell="1" locked="0" behindDoc="0" simplePos="0" relativeHeight="1504">
            <wp:simplePos x="0" y="0"/>
            <wp:positionH relativeFrom="page">
              <wp:posOffset>1169987</wp:posOffset>
            </wp:positionH>
            <wp:positionV relativeFrom="paragraph">
              <wp:posOffset>228827</wp:posOffset>
            </wp:positionV>
            <wp:extent cx="7651635" cy="5429250"/>
            <wp:effectExtent l="0" t="0" r="0" b="0"/>
            <wp:wrapTopAndBottom/>
            <wp:docPr id="17" name="image4.png" descr=""/>
            <wp:cNvGraphicFramePr>
              <a:graphicFrameLocks noChangeAspect="1"/>
            </wp:cNvGraphicFramePr>
            <a:graphic>
              <a:graphicData uri="http://schemas.openxmlformats.org/drawingml/2006/picture">
                <pic:pic>
                  <pic:nvPicPr>
                    <pic:cNvPr id="18" name="image4.png"/>
                    <pic:cNvPicPr/>
                  </pic:nvPicPr>
                  <pic:blipFill>
                    <a:blip r:embed="rId19" cstate="print"/>
                    <a:stretch>
                      <a:fillRect/>
                    </a:stretch>
                  </pic:blipFill>
                  <pic:spPr>
                    <a:xfrm>
                      <a:off x="0" y="0"/>
                      <a:ext cx="7651635" cy="5429250"/>
                    </a:xfrm>
                    <a:prstGeom prst="rect">
                      <a:avLst/>
                    </a:prstGeom>
                  </pic:spPr>
                </pic:pic>
              </a:graphicData>
            </a:graphic>
          </wp:anchor>
        </w:drawing>
      </w:r>
    </w:p>
    <w:p>
      <w:pPr>
        <w:spacing w:after="0"/>
        <w:rPr>
          <w:sz w:val="27"/>
        </w:rPr>
        <w:sectPr>
          <w:headerReference w:type="default" r:id="rId15"/>
          <w:headerReference w:type="even" r:id="rId16"/>
          <w:footerReference w:type="default" r:id="rId17"/>
          <w:footerReference w:type="even" r:id="rId18"/>
          <w:pgSz w:w="16840" w:h="11910" w:orient="landscape"/>
          <w:pgMar w:header="588" w:footer="312" w:top="920" w:bottom="500" w:left="1020" w:right="1020"/>
          <w:pgNumType w:start="13"/>
        </w:sectPr>
      </w:pPr>
    </w:p>
    <w:p>
      <w:pPr>
        <w:pStyle w:val="BodyText"/>
        <w:rPr>
          <w:b/>
        </w:rPr>
      </w:pPr>
    </w:p>
    <w:p>
      <w:pPr>
        <w:pStyle w:val="BodyText"/>
        <w:rPr>
          <w:b/>
        </w:rPr>
      </w:pPr>
    </w:p>
    <w:p>
      <w:pPr>
        <w:pStyle w:val="BodyText"/>
        <w:rPr>
          <w:b/>
        </w:rPr>
      </w:pPr>
    </w:p>
    <w:p>
      <w:pPr>
        <w:pStyle w:val="BodyText"/>
        <w:rPr>
          <w:b/>
        </w:rPr>
      </w:pPr>
    </w:p>
    <w:p>
      <w:pPr>
        <w:pStyle w:val="Heading2"/>
        <w:numPr>
          <w:ilvl w:val="0"/>
          <w:numId w:val="2"/>
        </w:numPr>
        <w:tabs>
          <w:tab w:pos="822" w:val="left" w:leader="none"/>
          <w:tab w:pos="823" w:val="left" w:leader="none"/>
        </w:tabs>
        <w:spacing w:line="240" w:lineRule="auto" w:before="222" w:after="0"/>
        <w:ind w:left="822" w:right="0" w:hanging="709"/>
        <w:jc w:val="left"/>
      </w:pPr>
      <w:bookmarkStart w:name="_bookmark24" w:id="26"/>
      <w:bookmarkEnd w:id="26"/>
      <w:r>
        <w:rPr/>
        <w:t>B</w:t>
      </w:r>
      <w:r>
        <w:rPr/>
        <w:t>ijlage 2 Verschillenanalyse EMC-normen</w:t>
      </w:r>
      <w:r>
        <w:rPr>
          <w:spacing w:val="-23"/>
        </w:rPr>
        <w:t> </w:t>
      </w:r>
      <w:r>
        <w:rPr/>
        <w:t>(informatief)</w:t>
      </w:r>
    </w:p>
    <w:p>
      <w:pPr>
        <w:pStyle w:val="BodyText"/>
        <w:spacing w:before="10"/>
        <w:rPr>
          <w:b/>
          <w:sz w:val="36"/>
        </w:rPr>
      </w:pPr>
    </w:p>
    <w:p>
      <w:pPr>
        <w:spacing w:before="0"/>
        <w:ind w:left="822" w:right="0" w:firstLine="0"/>
        <w:jc w:val="left"/>
        <w:rPr>
          <w:i/>
          <w:sz w:val="18"/>
        </w:rPr>
      </w:pPr>
      <w:r>
        <w:rPr>
          <w:i/>
          <w:color w:val="666666"/>
          <w:sz w:val="18"/>
        </w:rPr>
        <w:t>Tabel 1: Verschillen qua immuniteit IEC 61000-6-1 / IEC 61000-6-2 / EN 50121-4 / EN 50121-5 / RLN00007</w:t>
      </w:r>
    </w:p>
    <w:p>
      <w:pPr>
        <w:pStyle w:val="BodyText"/>
        <w:spacing w:before="4"/>
        <w:rPr>
          <w:i/>
          <w:sz w:val="6"/>
        </w:rPr>
      </w:pPr>
    </w:p>
    <w:tbl>
      <w:tblPr>
        <w:tblW w:w="0" w:type="auto"/>
        <w:jc w:val="left"/>
        <w:tblInd w:w="816" w:type="dxa"/>
        <w:tblBorders>
          <w:top w:val="single" w:sz="5" w:space="0" w:color="00537A"/>
          <w:left w:val="single" w:sz="5" w:space="0" w:color="00537A"/>
          <w:bottom w:val="single" w:sz="5" w:space="0" w:color="00537A"/>
          <w:right w:val="single" w:sz="5" w:space="0" w:color="00537A"/>
          <w:insideH w:val="single" w:sz="5" w:space="0" w:color="00537A"/>
          <w:insideV w:val="single" w:sz="5" w:space="0" w:color="00537A"/>
        </w:tblBorders>
        <w:tblLayout w:type="fixed"/>
        <w:tblCellMar>
          <w:top w:w="0" w:type="dxa"/>
          <w:left w:w="0" w:type="dxa"/>
          <w:bottom w:w="0" w:type="dxa"/>
          <w:right w:w="0" w:type="dxa"/>
        </w:tblCellMar>
        <w:tblLook w:val="01E0"/>
      </w:tblPr>
      <w:tblGrid>
        <w:gridCol w:w="670"/>
        <w:gridCol w:w="670"/>
        <w:gridCol w:w="1341"/>
        <w:gridCol w:w="1535"/>
        <w:gridCol w:w="1535"/>
        <w:gridCol w:w="1635"/>
        <w:gridCol w:w="1682"/>
        <w:gridCol w:w="1635"/>
        <w:gridCol w:w="3157"/>
      </w:tblGrid>
      <w:tr>
        <w:trPr>
          <w:trHeight w:val="388" w:hRule="exact"/>
        </w:trPr>
        <w:tc>
          <w:tcPr>
            <w:tcW w:w="670" w:type="dxa"/>
            <w:vMerge w:val="restart"/>
            <w:shd w:val="clear" w:color="auto" w:fill="BDDDE9"/>
          </w:tcPr>
          <w:p>
            <w:pPr>
              <w:pStyle w:val="TableParagraph"/>
              <w:rPr>
                <w:i/>
                <w:sz w:val="20"/>
              </w:rPr>
            </w:pPr>
          </w:p>
          <w:p>
            <w:pPr>
              <w:pStyle w:val="TableParagraph"/>
              <w:rPr>
                <w:i/>
                <w:sz w:val="20"/>
              </w:rPr>
            </w:pPr>
          </w:p>
          <w:p>
            <w:pPr>
              <w:pStyle w:val="TableParagraph"/>
              <w:spacing w:before="1"/>
              <w:rPr>
                <w:i/>
                <w:sz w:val="20"/>
              </w:rPr>
            </w:pPr>
          </w:p>
          <w:p>
            <w:pPr>
              <w:pStyle w:val="TableParagraph"/>
              <w:spacing w:before="1"/>
              <w:ind w:left="149"/>
              <w:rPr>
                <w:b/>
                <w:sz w:val="18"/>
              </w:rPr>
            </w:pPr>
            <w:r>
              <w:rPr>
                <w:b/>
                <w:sz w:val="18"/>
              </w:rPr>
              <w:t>Port</w:t>
            </w:r>
          </w:p>
        </w:tc>
        <w:tc>
          <w:tcPr>
            <w:tcW w:w="670" w:type="dxa"/>
            <w:vMerge w:val="restart"/>
            <w:shd w:val="clear" w:color="auto" w:fill="BDDDE9"/>
          </w:tcPr>
          <w:p>
            <w:pPr>
              <w:pStyle w:val="TableParagraph"/>
              <w:rPr>
                <w:i/>
                <w:sz w:val="20"/>
              </w:rPr>
            </w:pPr>
          </w:p>
          <w:p>
            <w:pPr>
              <w:pStyle w:val="TableParagraph"/>
              <w:rPr>
                <w:i/>
                <w:sz w:val="20"/>
              </w:rPr>
            </w:pPr>
          </w:p>
          <w:p>
            <w:pPr>
              <w:pStyle w:val="TableParagraph"/>
              <w:spacing w:before="1"/>
              <w:rPr>
                <w:i/>
                <w:sz w:val="20"/>
              </w:rPr>
            </w:pPr>
          </w:p>
          <w:p>
            <w:pPr>
              <w:pStyle w:val="TableParagraph"/>
              <w:spacing w:before="1"/>
              <w:ind w:left="209"/>
              <w:rPr>
                <w:b/>
                <w:sz w:val="18"/>
              </w:rPr>
            </w:pPr>
            <w:r>
              <w:rPr>
                <w:b/>
                <w:sz w:val="18"/>
              </w:rPr>
              <w:t>Nr.</w:t>
            </w:r>
          </w:p>
        </w:tc>
        <w:tc>
          <w:tcPr>
            <w:tcW w:w="1341" w:type="dxa"/>
            <w:vMerge w:val="restart"/>
            <w:shd w:val="clear" w:color="auto" w:fill="BDDDE9"/>
          </w:tcPr>
          <w:p>
            <w:pPr>
              <w:pStyle w:val="TableParagraph"/>
              <w:rPr>
                <w:i/>
                <w:sz w:val="20"/>
              </w:rPr>
            </w:pPr>
          </w:p>
          <w:p>
            <w:pPr>
              <w:pStyle w:val="TableParagraph"/>
              <w:rPr>
                <w:i/>
                <w:sz w:val="20"/>
              </w:rPr>
            </w:pPr>
          </w:p>
          <w:p>
            <w:pPr>
              <w:pStyle w:val="TableParagraph"/>
              <w:spacing w:before="1"/>
              <w:rPr>
                <w:i/>
                <w:sz w:val="20"/>
              </w:rPr>
            </w:pPr>
          </w:p>
          <w:p>
            <w:pPr>
              <w:pStyle w:val="TableParagraph"/>
              <w:spacing w:before="1"/>
              <w:ind w:left="171"/>
              <w:rPr>
                <w:b/>
                <w:sz w:val="18"/>
              </w:rPr>
            </w:pPr>
            <w:r>
              <w:rPr>
                <w:b/>
                <w:sz w:val="18"/>
              </w:rPr>
              <w:t>Norm</w:t>
            </w:r>
          </w:p>
        </w:tc>
        <w:tc>
          <w:tcPr>
            <w:tcW w:w="1535" w:type="dxa"/>
            <w:tcBorders>
              <w:right w:val="single" w:sz="2" w:space="0" w:color="00537A"/>
            </w:tcBorders>
            <w:shd w:val="clear" w:color="auto" w:fill="BDDDE9"/>
          </w:tcPr>
          <w:p>
            <w:pPr/>
          </w:p>
        </w:tc>
        <w:tc>
          <w:tcPr>
            <w:tcW w:w="4853" w:type="dxa"/>
            <w:gridSpan w:val="3"/>
            <w:tcBorders>
              <w:left w:val="single" w:sz="2" w:space="0" w:color="00537A"/>
              <w:right w:val="single" w:sz="2" w:space="0" w:color="00537A"/>
            </w:tcBorders>
            <w:shd w:val="clear" w:color="auto" w:fill="BDDDE9"/>
          </w:tcPr>
          <w:p>
            <w:pPr>
              <w:pStyle w:val="TableParagraph"/>
              <w:spacing w:before="65"/>
              <w:ind w:left="1354"/>
              <w:rPr>
                <w:b/>
                <w:sz w:val="18"/>
              </w:rPr>
            </w:pPr>
            <w:r>
              <w:rPr>
                <w:b/>
                <w:sz w:val="18"/>
              </w:rPr>
              <w:t>Omschrijving verschillen</w:t>
            </w:r>
          </w:p>
        </w:tc>
        <w:tc>
          <w:tcPr>
            <w:tcW w:w="1635" w:type="dxa"/>
            <w:vMerge w:val="restart"/>
            <w:tcBorders>
              <w:left w:val="single" w:sz="2" w:space="0" w:color="00537A"/>
            </w:tcBorders>
            <w:shd w:val="clear" w:color="auto" w:fill="BDDDE9"/>
          </w:tcPr>
          <w:p>
            <w:pPr>
              <w:pStyle w:val="TableParagraph"/>
              <w:spacing w:line="249" w:lineRule="auto" w:before="65"/>
              <w:ind w:left="175" w:right="530"/>
              <w:jc w:val="both"/>
              <w:rPr>
                <w:b/>
                <w:sz w:val="18"/>
              </w:rPr>
            </w:pPr>
            <w:r>
              <w:rPr>
                <w:b/>
                <w:sz w:val="18"/>
              </w:rPr>
              <w:t>Aanvulling</w:t>
            </w:r>
            <w:r>
              <w:rPr>
                <w:b/>
                <w:w w:val="99"/>
                <w:sz w:val="18"/>
              </w:rPr>
              <w:t> </w:t>
            </w:r>
            <w:r>
              <w:rPr>
                <w:b/>
                <w:sz w:val="18"/>
              </w:rPr>
              <w:t>ProRail op Spoorweg EMC norm</w:t>
            </w:r>
          </w:p>
        </w:tc>
        <w:tc>
          <w:tcPr>
            <w:tcW w:w="3157" w:type="dxa"/>
            <w:vMerge w:val="restart"/>
            <w:shd w:val="clear" w:color="auto" w:fill="BDDDE9"/>
          </w:tcPr>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spacing w:before="168"/>
              <w:ind w:left="171"/>
              <w:rPr>
                <w:b/>
                <w:sz w:val="18"/>
              </w:rPr>
            </w:pPr>
            <w:r>
              <w:rPr>
                <w:b/>
                <w:sz w:val="18"/>
              </w:rPr>
              <w:t>Bijzonderheden</w:t>
            </w:r>
          </w:p>
        </w:tc>
      </w:tr>
      <w:tr>
        <w:trPr>
          <w:trHeight w:val="648" w:hRule="exact"/>
        </w:trPr>
        <w:tc>
          <w:tcPr>
            <w:tcW w:w="670" w:type="dxa"/>
            <w:vMerge/>
            <w:shd w:val="clear" w:color="auto" w:fill="BDDDE9"/>
          </w:tcPr>
          <w:p>
            <w:pPr/>
          </w:p>
        </w:tc>
        <w:tc>
          <w:tcPr>
            <w:tcW w:w="670" w:type="dxa"/>
            <w:vMerge/>
            <w:shd w:val="clear" w:color="auto" w:fill="BDDDE9"/>
          </w:tcPr>
          <w:p>
            <w:pPr/>
          </w:p>
        </w:tc>
        <w:tc>
          <w:tcPr>
            <w:tcW w:w="1341" w:type="dxa"/>
            <w:vMerge/>
            <w:shd w:val="clear" w:color="auto" w:fill="BDDDE9"/>
          </w:tcPr>
          <w:p>
            <w:pPr/>
          </w:p>
        </w:tc>
        <w:tc>
          <w:tcPr>
            <w:tcW w:w="1535" w:type="dxa"/>
            <w:tcBorders>
              <w:right w:val="single" w:sz="2" w:space="0" w:color="00537A"/>
            </w:tcBorders>
            <w:shd w:val="clear" w:color="auto" w:fill="BDDDE9"/>
          </w:tcPr>
          <w:p>
            <w:pPr>
              <w:pStyle w:val="TableParagraph"/>
              <w:spacing w:line="249" w:lineRule="auto" w:before="109"/>
              <w:ind w:left="311" w:right="215" w:hanging="81"/>
              <w:rPr>
                <w:b/>
                <w:sz w:val="18"/>
              </w:rPr>
            </w:pPr>
            <w:r>
              <w:rPr>
                <w:b/>
                <w:sz w:val="18"/>
              </w:rPr>
              <w:t>Residentiële EMC norm</w:t>
            </w:r>
          </w:p>
        </w:tc>
        <w:tc>
          <w:tcPr>
            <w:tcW w:w="1535" w:type="dxa"/>
            <w:tcBorders>
              <w:left w:val="single" w:sz="2" w:space="0" w:color="00537A"/>
              <w:right w:val="single" w:sz="2" w:space="0" w:color="00537A"/>
            </w:tcBorders>
            <w:shd w:val="clear" w:color="auto" w:fill="BDDDE9"/>
          </w:tcPr>
          <w:p>
            <w:pPr>
              <w:pStyle w:val="TableParagraph"/>
              <w:spacing w:line="249" w:lineRule="auto" w:before="65"/>
              <w:ind w:left="314" w:right="289" w:hanging="5"/>
              <w:rPr>
                <w:b/>
                <w:sz w:val="18"/>
              </w:rPr>
            </w:pPr>
            <w:r>
              <w:rPr>
                <w:b/>
                <w:sz w:val="18"/>
              </w:rPr>
              <w:t>Industriële EMC norm</w:t>
            </w:r>
          </w:p>
        </w:tc>
        <w:tc>
          <w:tcPr>
            <w:tcW w:w="1635" w:type="dxa"/>
            <w:tcBorders>
              <w:left w:val="single" w:sz="2" w:space="0" w:color="00537A"/>
            </w:tcBorders>
            <w:shd w:val="clear" w:color="auto" w:fill="BDDDE9"/>
          </w:tcPr>
          <w:p>
            <w:pPr>
              <w:pStyle w:val="TableParagraph"/>
              <w:spacing w:line="249" w:lineRule="auto" w:before="65"/>
              <w:ind w:left="365" w:right="341" w:firstLine="15"/>
              <w:rPr>
                <w:b/>
                <w:sz w:val="18"/>
              </w:rPr>
            </w:pPr>
            <w:r>
              <w:rPr>
                <w:b/>
                <w:sz w:val="18"/>
              </w:rPr>
              <w:t>Spoorweg EMC norm</w:t>
            </w:r>
          </w:p>
        </w:tc>
        <w:tc>
          <w:tcPr>
            <w:tcW w:w="1682" w:type="dxa"/>
            <w:tcBorders>
              <w:right w:val="single" w:sz="2" w:space="0" w:color="00537A"/>
            </w:tcBorders>
            <w:shd w:val="clear" w:color="auto" w:fill="BDDDE9"/>
          </w:tcPr>
          <w:p>
            <w:pPr>
              <w:pStyle w:val="TableParagraph"/>
              <w:spacing w:line="249" w:lineRule="auto" w:before="65"/>
              <w:ind w:left="385" w:right="368" w:firstLine="15"/>
              <w:rPr>
                <w:b/>
                <w:sz w:val="18"/>
              </w:rPr>
            </w:pPr>
            <w:r>
              <w:rPr>
                <w:b/>
                <w:sz w:val="18"/>
              </w:rPr>
              <w:t>Spoorweg EMC norm</w:t>
            </w:r>
          </w:p>
        </w:tc>
        <w:tc>
          <w:tcPr>
            <w:tcW w:w="1635" w:type="dxa"/>
            <w:vMerge/>
            <w:tcBorders>
              <w:left w:val="single" w:sz="2" w:space="0" w:color="00537A"/>
            </w:tcBorders>
            <w:shd w:val="clear" w:color="auto" w:fill="BDDDE9"/>
          </w:tcPr>
          <w:p>
            <w:pPr/>
          </w:p>
        </w:tc>
        <w:tc>
          <w:tcPr>
            <w:tcW w:w="3157" w:type="dxa"/>
            <w:vMerge/>
            <w:shd w:val="clear" w:color="auto" w:fill="BDDDE9"/>
          </w:tcPr>
          <w:p>
            <w:pPr/>
          </w:p>
        </w:tc>
      </w:tr>
      <w:tr>
        <w:trPr>
          <w:trHeight w:val="604" w:hRule="exact"/>
        </w:trPr>
        <w:tc>
          <w:tcPr>
            <w:tcW w:w="670" w:type="dxa"/>
            <w:vMerge/>
            <w:shd w:val="clear" w:color="auto" w:fill="BDDDE9"/>
          </w:tcPr>
          <w:p>
            <w:pPr/>
          </w:p>
        </w:tc>
        <w:tc>
          <w:tcPr>
            <w:tcW w:w="670" w:type="dxa"/>
            <w:vMerge/>
            <w:shd w:val="clear" w:color="auto" w:fill="BDDDE9"/>
          </w:tcPr>
          <w:p>
            <w:pPr/>
          </w:p>
        </w:tc>
        <w:tc>
          <w:tcPr>
            <w:tcW w:w="1341" w:type="dxa"/>
            <w:vMerge/>
            <w:shd w:val="clear" w:color="auto" w:fill="BDDDE9"/>
          </w:tcPr>
          <w:p>
            <w:pPr/>
          </w:p>
        </w:tc>
        <w:tc>
          <w:tcPr>
            <w:tcW w:w="1535" w:type="dxa"/>
            <w:tcBorders>
              <w:bottom w:val="single" w:sz="2" w:space="0" w:color="00537A"/>
              <w:right w:val="single" w:sz="2" w:space="0" w:color="00537A"/>
            </w:tcBorders>
            <w:shd w:val="clear" w:color="auto" w:fill="BDDDE9"/>
          </w:tcPr>
          <w:p>
            <w:pPr>
              <w:pStyle w:val="TableParagraph"/>
              <w:spacing w:before="65"/>
              <w:ind w:left="301" w:right="303"/>
              <w:jc w:val="center"/>
              <w:rPr>
                <w:b/>
                <w:sz w:val="18"/>
              </w:rPr>
            </w:pPr>
            <w:r>
              <w:rPr>
                <w:b/>
                <w:sz w:val="18"/>
              </w:rPr>
              <w:t>61000-6-1:</w:t>
            </w:r>
          </w:p>
          <w:p>
            <w:pPr>
              <w:pStyle w:val="TableParagraph"/>
              <w:spacing w:before="8"/>
              <w:ind w:left="301" w:right="302"/>
              <w:jc w:val="center"/>
              <w:rPr>
                <w:b/>
                <w:sz w:val="18"/>
              </w:rPr>
            </w:pPr>
            <w:r>
              <w:rPr>
                <w:b/>
                <w:sz w:val="18"/>
              </w:rPr>
              <w:t>2016</w:t>
            </w:r>
          </w:p>
        </w:tc>
        <w:tc>
          <w:tcPr>
            <w:tcW w:w="1535" w:type="dxa"/>
            <w:tcBorders>
              <w:left w:val="single" w:sz="2" w:space="0" w:color="00537A"/>
              <w:bottom w:val="single" w:sz="2" w:space="0" w:color="00537A"/>
              <w:right w:val="single" w:sz="2" w:space="0" w:color="00537A"/>
            </w:tcBorders>
            <w:shd w:val="clear" w:color="auto" w:fill="BDDDE9"/>
          </w:tcPr>
          <w:p>
            <w:pPr>
              <w:pStyle w:val="TableParagraph"/>
              <w:spacing w:before="65"/>
              <w:ind w:left="301" w:right="301"/>
              <w:jc w:val="center"/>
              <w:rPr>
                <w:b/>
                <w:sz w:val="18"/>
              </w:rPr>
            </w:pPr>
            <w:r>
              <w:rPr>
                <w:b/>
                <w:sz w:val="18"/>
              </w:rPr>
              <w:t>61000-6-2:</w:t>
            </w:r>
          </w:p>
          <w:p>
            <w:pPr>
              <w:pStyle w:val="TableParagraph"/>
              <w:spacing w:before="8"/>
              <w:ind w:left="301" w:right="301"/>
              <w:jc w:val="center"/>
              <w:rPr>
                <w:b/>
                <w:sz w:val="18"/>
              </w:rPr>
            </w:pPr>
            <w:r>
              <w:rPr>
                <w:b/>
                <w:sz w:val="18"/>
              </w:rPr>
              <w:t>2016</w:t>
            </w:r>
          </w:p>
        </w:tc>
        <w:tc>
          <w:tcPr>
            <w:tcW w:w="1635" w:type="dxa"/>
            <w:tcBorders>
              <w:left w:val="single" w:sz="2" w:space="0" w:color="00537A"/>
              <w:bottom w:val="single" w:sz="2" w:space="0" w:color="00537A"/>
            </w:tcBorders>
            <w:shd w:val="clear" w:color="auto" w:fill="BDDDE9"/>
          </w:tcPr>
          <w:p>
            <w:pPr>
              <w:pStyle w:val="TableParagraph"/>
              <w:spacing w:before="65"/>
              <w:ind w:left="229"/>
              <w:rPr>
                <w:b/>
                <w:sz w:val="18"/>
              </w:rPr>
            </w:pPr>
            <w:r>
              <w:rPr>
                <w:b/>
                <w:sz w:val="18"/>
              </w:rPr>
              <w:t>50121-4: 2016</w:t>
            </w:r>
          </w:p>
        </w:tc>
        <w:tc>
          <w:tcPr>
            <w:tcW w:w="1682" w:type="dxa"/>
            <w:tcBorders>
              <w:bottom w:val="single" w:sz="2" w:space="0" w:color="00537A"/>
              <w:right w:val="single" w:sz="2" w:space="0" w:color="00537A"/>
            </w:tcBorders>
            <w:shd w:val="clear" w:color="auto" w:fill="BDDDE9"/>
          </w:tcPr>
          <w:p>
            <w:pPr>
              <w:pStyle w:val="TableParagraph"/>
              <w:spacing w:before="65"/>
              <w:ind w:left="249"/>
              <w:rPr>
                <w:b/>
                <w:sz w:val="18"/>
              </w:rPr>
            </w:pPr>
            <w:r>
              <w:rPr>
                <w:b/>
                <w:sz w:val="18"/>
              </w:rPr>
              <w:t>50121-5: 2017</w:t>
            </w:r>
          </w:p>
        </w:tc>
        <w:tc>
          <w:tcPr>
            <w:tcW w:w="1635" w:type="dxa"/>
            <w:tcBorders>
              <w:left w:val="single" w:sz="2" w:space="0" w:color="00537A"/>
              <w:bottom w:val="single" w:sz="2" w:space="0" w:color="00537A"/>
            </w:tcBorders>
            <w:shd w:val="clear" w:color="auto" w:fill="BDDDE9"/>
          </w:tcPr>
          <w:p>
            <w:pPr>
              <w:pStyle w:val="TableParagraph"/>
              <w:spacing w:line="249" w:lineRule="auto" w:before="65"/>
              <w:ind w:left="175" w:right="501"/>
              <w:rPr>
                <w:b/>
                <w:sz w:val="18"/>
              </w:rPr>
            </w:pPr>
            <w:r>
              <w:rPr>
                <w:b/>
                <w:sz w:val="18"/>
              </w:rPr>
              <w:t>RLN00007: 2016</w:t>
            </w:r>
          </w:p>
        </w:tc>
        <w:tc>
          <w:tcPr>
            <w:tcW w:w="3157" w:type="dxa"/>
            <w:vMerge/>
            <w:shd w:val="clear" w:color="auto" w:fill="BDDDE9"/>
          </w:tcPr>
          <w:p>
            <w:pPr/>
          </w:p>
        </w:tc>
      </w:tr>
      <w:tr>
        <w:trPr>
          <w:trHeight w:val="1252" w:hRule="exact"/>
        </w:trPr>
        <w:tc>
          <w:tcPr>
            <w:tcW w:w="670" w:type="dxa"/>
            <w:vMerge w:val="restart"/>
          </w:tcPr>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spacing w:before="1"/>
              <w:rPr>
                <w:i/>
                <w:sz w:val="19"/>
              </w:rPr>
            </w:pPr>
          </w:p>
          <w:p>
            <w:pPr>
              <w:pStyle w:val="TableParagraph"/>
              <w:spacing w:line="180" w:lineRule="exact"/>
              <w:ind w:left="171" w:right="117"/>
              <w:rPr>
                <w:sz w:val="18"/>
              </w:rPr>
            </w:pPr>
            <w:r>
              <w:rPr>
                <w:sz w:val="18"/>
              </w:rPr>
              <w:t>En clo sure port</w:t>
            </w:r>
          </w:p>
        </w:tc>
        <w:tc>
          <w:tcPr>
            <w:tcW w:w="670" w:type="dxa"/>
            <w:tcBorders>
              <w:bottom w:val="single" w:sz="2" w:space="0" w:color="00537A"/>
              <w:right w:val="single" w:sz="2" w:space="0" w:color="00537A"/>
            </w:tcBorders>
          </w:tcPr>
          <w:p>
            <w:pPr>
              <w:pStyle w:val="TableParagraph"/>
              <w:rPr>
                <w:i/>
                <w:sz w:val="20"/>
              </w:rPr>
            </w:pPr>
          </w:p>
          <w:p>
            <w:pPr>
              <w:pStyle w:val="TableParagraph"/>
              <w:spacing w:before="3"/>
              <w:rPr>
                <w:i/>
                <w:sz w:val="23"/>
              </w:rPr>
            </w:pPr>
          </w:p>
          <w:p>
            <w:pPr>
              <w:pStyle w:val="TableParagraph"/>
              <w:ind w:right="2"/>
              <w:jc w:val="center"/>
              <w:rPr>
                <w:sz w:val="18"/>
              </w:rPr>
            </w:pPr>
            <w:r>
              <w:rPr>
                <w:w w:val="99"/>
                <w:sz w:val="18"/>
              </w:rPr>
              <w:t>1</w:t>
            </w:r>
          </w:p>
        </w:tc>
        <w:tc>
          <w:tcPr>
            <w:tcW w:w="1341" w:type="dxa"/>
            <w:tcBorders>
              <w:left w:val="single" w:sz="2" w:space="0" w:color="00537A"/>
              <w:bottom w:val="single" w:sz="2" w:space="0" w:color="00537A"/>
              <w:right w:val="single" w:sz="2" w:space="0" w:color="00537A"/>
            </w:tcBorders>
          </w:tcPr>
          <w:p>
            <w:pPr>
              <w:pStyle w:val="TableParagraph"/>
              <w:spacing w:line="180" w:lineRule="exact" w:before="132"/>
              <w:ind w:left="174" w:right="125"/>
              <w:rPr>
                <w:sz w:val="18"/>
              </w:rPr>
            </w:pPr>
            <w:r>
              <w:rPr>
                <w:sz w:val="18"/>
              </w:rPr>
              <w:t>'Power- frequency magnetic field'</w:t>
            </w:r>
          </w:p>
          <w:p>
            <w:pPr>
              <w:pStyle w:val="TableParagraph"/>
              <w:spacing w:before="34"/>
              <w:ind w:left="174"/>
              <w:rPr>
                <w:sz w:val="18"/>
              </w:rPr>
            </w:pPr>
            <w:r>
              <w:rPr>
                <w:sz w:val="18"/>
              </w:rPr>
              <w:t>61000-4-8</w:t>
            </w:r>
          </w:p>
        </w:tc>
        <w:tc>
          <w:tcPr>
            <w:tcW w:w="1535" w:type="dxa"/>
            <w:tcBorders>
              <w:top w:val="single" w:sz="2" w:space="0" w:color="00537A"/>
              <w:left w:val="single" w:sz="2" w:space="0" w:color="00537A"/>
              <w:bottom w:val="single" w:sz="2" w:space="0" w:color="00537A"/>
              <w:right w:val="single" w:sz="2" w:space="0" w:color="00537A"/>
            </w:tcBorders>
            <w:shd w:val="clear" w:color="auto" w:fill="E2E9BD"/>
          </w:tcPr>
          <w:p>
            <w:pPr>
              <w:pStyle w:val="TableParagraph"/>
              <w:rPr>
                <w:i/>
                <w:sz w:val="20"/>
              </w:rPr>
            </w:pPr>
          </w:p>
          <w:p>
            <w:pPr>
              <w:pStyle w:val="TableParagraph"/>
              <w:spacing w:before="8"/>
              <w:rPr>
                <w:i/>
                <w:sz w:val="15"/>
              </w:rPr>
            </w:pPr>
          </w:p>
          <w:p>
            <w:pPr>
              <w:pStyle w:val="TableParagraph"/>
              <w:spacing w:line="193" w:lineRule="exact"/>
              <w:ind w:left="175"/>
              <w:rPr>
                <w:sz w:val="18"/>
              </w:rPr>
            </w:pPr>
            <w:r>
              <w:rPr>
                <w:sz w:val="18"/>
              </w:rPr>
              <w:t>3A/m, 50Hz /</w:t>
            </w:r>
          </w:p>
          <w:p>
            <w:pPr>
              <w:pStyle w:val="TableParagraph"/>
              <w:spacing w:line="193" w:lineRule="exact"/>
              <w:ind w:left="175"/>
              <w:rPr>
                <w:sz w:val="18"/>
              </w:rPr>
            </w:pPr>
            <w:r>
              <w:rPr>
                <w:sz w:val="18"/>
              </w:rPr>
              <w:t>60Hz</w:t>
            </w:r>
          </w:p>
        </w:tc>
        <w:tc>
          <w:tcPr>
            <w:tcW w:w="1535" w:type="dxa"/>
            <w:tcBorders>
              <w:top w:val="single" w:sz="2" w:space="0" w:color="00537A"/>
              <w:left w:val="single" w:sz="2" w:space="0" w:color="00537A"/>
              <w:bottom w:val="single" w:sz="2" w:space="0" w:color="00537A"/>
              <w:right w:val="single" w:sz="2" w:space="0" w:color="00537A"/>
            </w:tcBorders>
            <w:shd w:val="clear" w:color="auto" w:fill="D8F1F2"/>
          </w:tcPr>
          <w:p>
            <w:pPr>
              <w:pStyle w:val="TableParagraph"/>
              <w:rPr>
                <w:i/>
                <w:sz w:val="20"/>
              </w:rPr>
            </w:pPr>
          </w:p>
          <w:p>
            <w:pPr>
              <w:pStyle w:val="TableParagraph"/>
              <w:spacing w:before="8"/>
              <w:rPr>
                <w:i/>
                <w:sz w:val="15"/>
              </w:rPr>
            </w:pPr>
          </w:p>
          <w:p>
            <w:pPr>
              <w:pStyle w:val="TableParagraph"/>
              <w:spacing w:line="193" w:lineRule="exact"/>
              <w:ind w:left="174"/>
              <w:rPr>
                <w:sz w:val="18"/>
              </w:rPr>
            </w:pPr>
            <w:r>
              <w:rPr>
                <w:sz w:val="18"/>
              </w:rPr>
              <w:t>30A/m, 50Hz /</w:t>
            </w:r>
          </w:p>
          <w:p>
            <w:pPr>
              <w:pStyle w:val="TableParagraph"/>
              <w:spacing w:line="193" w:lineRule="exact"/>
              <w:ind w:left="174"/>
              <w:rPr>
                <w:sz w:val="18"/>
              </w:rPr>
            </w:pPr>
            <w:r>
              <w:rPr>
                <w:sz w:val="18"/>
              </w:rPr>
              <w:t>60Hz</w:t>
            </w:r>
          </w:p>
        </w:tc>
        <w:tc>
          <w:tcPr>
            <w:tcW w:w="1635" w:type="dxa"/>
            <w:tcBorders>
              <w:top w:val="single" w:sz="2" w:space="0" w:color="00537A"/>
              <w:left w:val="single" w:sz="2" w:space="0" w:color="00537A"/>
              <w:bottom w:val="single" w:sz="2" w:space="0" w:color="00537A"/>
            </w:tcBorders>
            <w:shd w:val="clear" w:color="auto" w:fill="E2E9BD"/>
          </w:tcPr>
          <w:p>
            <w:pPr>
              <w:pStyle w:val="TableParagraph"/>
              <w:spacing w:before="3"/>
              <w:rPr>
                <w:i/>
                <w:sz w:val="25"/>
              </w:rPr>
            </w:pPr>
          </w:p>
          <w:p>
            <w:pPr>
              <w:pStyle w:val="TableParagraph"/>
              <w:ind w:left="174"/>
              <w:rPr>
                <w:sz w:val="18"/>
              </w:rPr>
            </w:pPr>
            <w:r>
              <w:rPr>
                <w:sz w:val="18"/>
              </w:rPr>
              <w:t>300A/m, 0Hz</w:t>
            </w:r>
          </w:p>
          <w:p>
            <w:pPr>
              <w:pStyle w:val="TableParagraph"/>
              <w:spacing w:line="193" w:lineRule="exact" w:before="32"/>
              <w:ind w:left="174"/>
              <w:rPr>
                <w:sz w:val="18"/>
              </w:rPr>
            </w:pPr>
            <w:r>
              <w:rPr>
                <w:sz w:val="18"/>
              </w:rPr>
              <w:t>100A/m, 16.7</w:t>
            </w:r>
          </w:p>
          <w:p>
            <w:pPr>
              <w:pStyle w:val="TableParagraph"/>
              <w:spacing w:line="193" w:lineRule="exact"/>
              <w:ind w:left="174"/>
              <w:rPr>
                <w:sz w:val="18"/>
              </w:rPr>
            </w:pPr>
            <w:r>
              <w:rPr>
                <w:sz w:val="18"/>
              </w:rPr>
              <w:t>en 50Hz</w:t>
            </w:r>
          </w:p>
        </w:tc>
        <w:tc>
          <w:tcPr>
            <w:tcW w:w="1682" w:type="dxa"/>
            <w:tcBorders>
              <w:top w:val="single" w:sz="2" w:space="0" w:color="00537A"/>
              <w:bottom w:val="single" w:sz="2" w:space="0" w:color="00537A"/>
              <w:right w:val="single" w:sz="2" w:space="0" w:color="00537A"/>
            </w:tcBorders>
            <w:shd w:val="clear" w:color="auto" w:fill="E2E9BD"/>
          </w:tcPr>
          <w:p>
            <w:pPr>
              <w:pStyle w:val="TableParagraph"/>
              <w:spacing w:before="3"/>
              <w:rPr>
                <w:i/>
                <w:sz w:val="25"/>
              </w:rPr>
            </w:pPr>
          </w:p>
          <w:p>
            <w:pPr>
              <w:pStyle w:val="TableParagraph"/>
              <w:ind w:left="171"/>
              <w:rPr>
                <w:sz w:val="18"/>
              </w:rPr>
            </w:pPr>
            <w:r>
              <w:rPr>
                <w:sz w:val="18"/>
              </w:rPr>
              <w:t>300A/m, 0Hz</w:t>
            </w:r>
          </w:p>
          <w:p>
            <w:pPr>
              <w:pStyle w:val="TableParagraph"/>
              <w:spacing w:line="193" w:lineRule="exact" w:before="32"/>
              <w:ind w:left="171"/>
              <w:rPr>
                <w:sz w:val="18"/>
              </w:rPr>
            </w:pPr>
            <w:r>
              <w:rPr>
                <w:sz w:val="18"/>
              </w:rPr>
              <w:t>100A/m, 16.7 en</w:t>
            </w:r>
          </w:p>
          <w:p>
            <w:pPr>
              <w:pStyle w:val="TableParagraph"/>
              <w:spacing w:line="193" w:lineRule="exact"/>
              <w:ind w:left="171"/>
              <w:rPr>
                <w:sz w:val="18"/>
              </w:rPr>
            </w:pPr>
            <w:r>
              <w:rPr>
                <w:sz w:val="18"/>
              </w:rPr>
              <w:t>50Hz</w:t>
            </w:r>
          </w:p>
        </w:tc>
        <w:tc>
          <w:tcPr>
            <w:tcW w:w="1635" w:type="dxa"/>
            <w:tcBorders>
              <w:top w:val="single" w:sz="2" w:space="0" w:color="00537A"/>
              <w:left w:val="single" w:sz="2" w:space="0" w:color="00537A"/>
              <w:bottom w:val="single" w:sz="2" w:space="0" w:color="00537A"/>
            </w:tcBorders>
            <w:shd w:val="clear" w:color="auto" w:fill="D7AE33"/>
          </w:tcPr>
          <w:p>
            <w:pPr>
              <w:pStyle w:val="TableParagraph"/>
              <w:rPr>
                <w:i/>
                <w:sz w:val="20"/>
              </w:rPr>
            </w:pPr>
          </w:p>
          <w:p>
            <w:pPr>
              <w:pStyle w:val="TableParagraph"/>
              <w:spacing w:before="10"/>
              <w:rPr>
                <w:i/>
                <w:sz w:val="17"/>
              </w:rPr>
            </w:pPr>
          </w:p>
          <w:p>
            <w:pPr>
              <w:pStyle w:val="TableParagraph"/>
              <w:spacing w:line="180" w:lineRule="exact"/>
              <w:ind w:left="175" w:right="620"/>
              <w:rPr>
                <w:sz w:val="18"/>
              </w:rPr>
            </w:pPr>
            <w:r>
              <w:rPr>
                <w:sz w:val="18"/>
              </w:rPr>
              <w:t>Geen aanvulling</w:t>
            </w:r>
          </w:p>
        </w:tc>
        <w:tc>
          <w:tcPr>
            <w:tcW w:w="3157" w:type="dxa"/>
            <w:tcBorders>
              <w:bottom w:val="single" w:sz="2" w:space="0" w:color="00537A"/>
            </w:tcBorders>
          </w:tcPr>
          <w:p>
            <w:pPr>
              <w:pStyle w:val="TableParagraph"/>
              <w:spacing w:line="180" w:lineRule="exact" w:before="72"/>
              <w:ind w:left="172" w:right="291"/>
              <w:rPr>
                <w:sz w:val="18"/>
              </w:rPr>
            </w:pPr>
            <w:r>
              <w:rPr>
                <w:sz w:val="18"/>
              </w:rPr>
              <w:t>De 2016/2017 versie van 50121 is zwaarder want geldt ook buiten</w:t>
            </w:r>
          </w:p>
          <w:p>
            <w:pPr>
              <w:pStyle w:val="TableParagraph"/>
              <w:spacing w:line="180" w:lineRule="exact"/>
              <w:ind w:left="172" w:right="177"/>
              <w:rPr>
                <w:sz w:val="18"/>
              </w:rPr>
            </w:pPr>
            <w:r>
              <w:rPr>
                <w:sz w:val="18"/>
              </w:rPr>
              <w:t>3m-zone. Verder stelt 50121-4 dat: "Equipment mounted directly on the running rails is not covered as higher field strength may occur"</w:t>
            </w:r>
          </w:p>
        </w:tc>
      </w:tr>
      <w:tr>
        <w:trPr>
          <w:trHeight w:val="1132" w:hRule="exact"/>
        </w:trPr>
        <w:tc>
          <w:tcPr>
            <w:tcW w:w="670" w:type="dxa"/>
            <w:vMerge/>
          </w:tcPr>
          <w:p>
            <w:pPr/>
          </w:p>
        </w:tc>
        <w:tc>
          <w:tcPr>
            <w:tcW w:w="670" w:type="dxa"/>
            <w:tcBorders>
              <w:top w:val="single" w:sz="2" w:space="0" w:color="00537A"/>
              <w:right w:val="single" w:sz="2" w:space="0" w:color="00537A"/>
            </w:tcBorders>
          </w:tcPr>
          <w:p>
            <w:pPr>
              <w:pStyle w:val="TableParagraph"/>
              <w:rPr>
                <w:i/>
                <w:sz w:val="20"/>
              </w:rPr>
            </w:pPr>
          </w:p>
          <w:p>
            <w:pPr>
              <w:pStyle w:val="TableParagraph"/>
              <w:spacing w:before="3"/>
              <w:rPr>
                <w:i/>
                <w:sz w:val="18"/>
              </w:rPr>
            </w:pPr>
          </w:p>
          <w:p>
            <w:pPr>
              <w:pStyle w:val="TableParagraph"/>
              <w:spacing w:before="1"/>
              <w:ind w:right="2"/>
              <w:jc w:val="center"/>
              <w:rPr>
                <w:sz w:val="18"/>
              </w:rPr>
            </w:pPr>
            <w:r>
              <w:rPr>
                <w:w w:val="99"/>
                <w:sz w:val="18"/>
              </w:rPr>
              <w:t>2</w:t>
            </w:r>
          </w:p>
        </w:tc>
        <w:tc>
          <w:tcPr>
            <w:tcW w:w="1341" w:type="dxa"/>
            <w:tcBorders>
              <w:top w:val="single" w:sz="2" w:space="0" w:color="00537A"/>
              <w:left w:val="single" w:sz="2" w:space="0" w:color="00537A"/>
              <w:right w:val="single" w:sz="2" w:space="0" w:color="00537A"/>
            </w:tcBorders>
          </w:tcPr>
          <w:p>
            <w:pPr>
              <w:pStyle w:val="TableParagraph"/>
              <w:spacing w:line="180" w:lineRule="exact" w:before="75"/>
              <w:ind w:left="174" w:right="125"/>
              <w:rPr>
                <w:sz w:val="18"/>
              </w:rPr>
            </w:pPr>
            <w:r>
              <w:rPr>
                <w:sz w:val="18"/>
              </w:rPr>
              <w:t>'Radio- frequency EM field'</w:t>
            </w:r>
          </w:p>
          <w:p>
            <w:pPr>
              <w:pStyle w:val="TableParagraph"/>
              <w:spacing w:line="193" w:lineRule="exact" w:before="34"/>
              <w:ind w:left="174"/>
              <w:rPr>
                <w:sz w:val="18"/>
              </w:rPr>
            </w:pPr>
            <w:r>
              <w:rPr>
                <w:sz w:val="18"/>
              </w:rPr>
              <w:t>61000-4-3</w:t>
            </w:r>
          </w:p>
          <w:p>
            <w:pPr>
              <w:pStyle w:val="TableParagraph"/>
              <w:spacing w:line="193" w:lineRule="exact"/>
              <w:ind w:left="174"/>
              <w:rPr>
                <w:sz w:val="18"/>
              </w:rPr>
            </w:pPr>
            <w:r>
              <w:rPr>
                <w:sz w:val="18"/>
              </w:rPr>
              <w:t>80-800MHz</w:t>
            </w:r>
          </w:p>
        </w:tc>
        <w:tc>
          <w:tcPr>
            <w:tcW w:w="1535" w:type="dxa"/>
            <w:tcBorders>
              <w:top w:val="single" w:sz="2" w:space="0" w:color="00537A"/>
              <w:left w:val="single" w:sz="2" w:space="0" w:color="00537A"/>
              <w:right w:val="single" w:sz="2" w:space="0" w:color="00537A"/>
            </w:tcBorders>
            <w:shd w:val="clear" w:color="auto" w:fill="E2E9BD"/>
          </w:tcPr>
          <w:p>
            <w:pPr>
              <w:pStyle w:val="TableParagraph"/>
              <w:rPr>
                <w:i/>
                <w:sz w:val="20"/>
              </w:rPr>
            </w:pPr>
          </w:p>
          <w:p>
            <w:pPr>
              <w:pStyle w:val="TableParagraph"/>
              <w:spacing w:before="3"/>
              <w:rPr>
                <w:i/>
                <w:sz w:val="18"/>
              </w:rPr>
            </w:pPr>
          </w:p>
          <w:p>
            <w:pPr>
              <w:pStyle w:val="TableParagraph"/>
              <w:spacing w:before="1"/>
              <w:ind w:left="175"/>
              <w:rPr>
                <w:sz w:val="18"/>
              </w:rPr>
            </w:pPr>
            <w:r>
              <w:rPr>
                <w:sz w:val="18"/>
              </w:rPr>
              <w:t>3V/m</w:t>
            </w:r>
          </w:p>
        </w:tc>
        <w:tc>
          <w:tcPr>
            <w:tcW w:w="1535" w:type="dxa"/>
            <w:tcBorders>
              <w:top w:val="single" w:sz="2" w:space="0" w:color="00537A"/>
              <w:left w:val="single" w:sz="2" w:space="0" w:color="00537A"/>
              <w:right w:val="single" w:sz="2" w:space="0" w:color="00537A"/>
            </w:tcBorders>
            <w:shd w:val="clear" w:color="auto" w:fill="D8F1F2"/>
          </w:tcPr>
          <w:p>
            <w:pPr>
              <w:pStyle w:val="TableParagraph"/>
              <w:rPr>
                <w:i/>
                <w:sz w:val="20"/>
              </w:rPr>
            </w:pPr>
          </w:p>
          <w:p>
            <w:pPr>
              <w:pStyle w:val="TableParagraph"/>
              <w:spacing w:before="3"/>
              <w:rPr>
                <w:i/>
                <w:sz w:val="18"/>
              </w:rPr>
            </w:pPr>
          </w:p>
          <w:p>
            <w:pPr>
              <w:pStyle w:val="TableParagraph"/>
              <w:spacing w:before="1"/>
              <w:ind w:left="174"/>
              <w:rPr>
                <w:sz w:val="18"/>
              </w:rPr>
            </w:pPr>
            <w:r>
              <w:rPr>
                <w:sz w:val="18"/>
              </w:rPr>
              <w:t>10V/m</w:t>
            </w:r>
          </w:p>
        </w:tc>
        <w:tc>
          <w:tcPr>
            <w:tcW w:w="1635" w:type="dxa"/>
            <w:tcBorders>
              <w:top w:val="single" w:sz="2" w:space="0" w:color="00537A"/>
              <w:left w:val="single" w:sz="2" w:space="0" w:color="00537A"/>
            </w:tcBorders>
            <w:shd w:val="clear" w:color="auto" w:fill="E2E9BD"/>
          </w:tcPr>
          <w:p>
            <w:pPr>
              <w:pStyle w:val="TableParagraph"/>
              <w:rPr>
                <w:i/>
                <w:sz w:val="20"/>
              </w:rPr>
            </w:pPr>
          </w:p>
          <w:p>
            <w:pPr>
              <w:pStyle w:val="TableParagraph"/>
              <w:spacing w:before="3"/>
              <w:rPr>
                <w:i/>
                <w:sz w:val="18"/>
              </w:rPr>
            </w:pPr>
          </w:p>
          <w:p>
            <w:pPr>
              <w:pStyle w:val="TableParagraph"/>
              <w:spacing w:before="1"/>
              <w:ind w:left="174"/>
              <w:rPr>
                <w:sz w:val="18"/>
              </w:rPr>
            </w:pPr>
            <w:r>
              <w:rPr>
                <w:sz w:val="18"/>
              </w:rPr>
              <w:t>10V/m</w:t>
            </w:r>
          </w:p>
        </w:tc>
        <w:tc>
          <w:tcPr>
            <w:tcW w:w="1682" w:type="dxa"/>
            <w:tcBorders>
              <w:top w:val="single" w:sz="2" w:space="0" w:color="00537A"/>
              <w:right w:val="single" w:sz="2" w:space="0" w:color="00537A"/>
            </w:tcBorders>
            <w:shd w:val="clear" w:color="auto" w:fill="E2E9BD"/>
          </w:tcPr>
          <w:p>
            <w:pPr>
              <w:pStyle w:val="TableParagraph"/>
              <w:rPr>
                <w:i/>
                <w:sz w:val="20"/>
              </w:rPr>
            </w:pPr>
          </w:p>
          <w:p>
            <w:pPr>
              <w:pStyle w:val="TableParagraph"/>
              <w:spacing w:before="3"/>
              <w:rPr>
                <w:i/>
                <w:sz w:val="18"/>
              </w:rPr>
            </w:pPr>
          </w:p>
          <w:p>
            <w:pPr>
              <w:pStyle w:val="TableParagraph"/>
              <w:spacing w:before="1"/>
              <w:ind w:left="171"/>
              <w:rPr>
                <w:sz w:val="18"/>
              </w:rPr>
            </w:pPr>
            <w:r>
              <w:rPr>
                <w:sz w:val="18"/>
              </w:rPr>
              <w:t>10V/m</w:t>
            </w:r>
          </w:p>
        </w:tc>
        <w:tc>
          <w:tcPr>
            <w:tcW w:w="1635" w:type="dxa"/>
            <w:tcBorders>
              <w:top w:val="single" w:sz="2" w:space="0" w:color="00537A"/>
              <w:left w:val="single" w:sz="2" w:space="0" w:color="00537A"/>
            </w:tcBorders>
            <w:shd w:val="clear" w:color="auto" w:fill="D7AE33"/>
          </w:tcPr>
          <w:p>
            <w:pPr>
              <w:pStyle w:val="TableParagraph"/>
              <w:rPr>
                <w:i/>
                <w:sz w:val="20"/>
              </w:rPr>
            </w:pPr>
          </w:p>
          <w:p>
            <w:pPr>
              <w:pStyle w:val="TableParagraph"/>
              <w:spacing w:line="193" w:lineRule="exact" w:before="121"/>
              <w:ind w:left="175"/>
              <w:rPr>
                <w:sz w:val="18"/>
              </w:rPr>
            </w:pPr>
            <w:r>
              <w:rPr>
                <w:sz w:val="18"/>
              </w:rPr>
              <w:t>20V/m,</w:t>
            </w:r>
          </w:p>
          <w:p>
            <w:pPr>
              <w:pStyle w:val="TableParagraph"/>
              <w:spacing w:line="193" w:lineRule="exact"/>
              <w:ind w:left="175"/>
              <w:rPr>
                <w:sz w:val="18"/>
              </w:rPr>
            </w:pPr>
            <w:r>
              <w:rPr>
                <w:sz w:val="18"/>
              </w:rPr>
              <w:t>380-470MHz</w:t>
            </w:r>
          </w:p>
        </w:tc>
        <w:tc>
          <w:tcPr>
            <w:tcW w:w="3157" w:type="dxa"/>
            <w:tcBorders>
              <w:top w:val="single" w:sz="2" w:space="0" w:color="00537A"/>
            </w:tcBorders>
          </w:tcPr>
          <w:p>
            <w:pPr>
              <w:pStyle w:val="TableParagraph"/>
              <w:spacing w:before="9"/>
              <w:rPr>
                <w:i/>
                <w:sz w:val="24"/>
              </w:rPr>
            </w:pPr>
          </w:p>
          <w:p>
            <w:pPr>
              <w:pStyle w:val="TableParagraph"/>
              <w:spacing w:line="180" w:lineRule="exact"/>
              <w:ind w:left="172" w:right="550"/>
              <w:jc w:val="both"/>
              <w:rPr>
                <w:sz w:val="18"/>
              </w:rPr>
            </w:pPr>
            <w:r>
              <w:rPr>
                <w:sz w:val="18"/>
              </w:rPr>
              <w:t>RLN00007 eisen zwaarder tbv invloed mobiele communicatie middelen (portofoon)</w:t>
            </w:r>
          </w:p>
        </w:tc>
      </w:tr>
      <w:tr>
        <w:trPr>
          <w:trHeight w:val="712" w:hRule="exact"/>
        </w:trPr>
        <w:tc>
          <w:tcPr>
            <w:tcW w:w="670" w:type="dxa"/>
            <w:vMerge/>
          </w:tcPr>
          <w:p>
            <w:pPr/>
          </w:p>
        </w:tc>
        <w:tc>
          <w:tcPr>
            <w:tcW w:w="670" w:type="dxa"/>
            <w:tcBorders>
              <w:bottom w:val="single" w:sz="2" w:space="0" w:color="00537A"/>
              <w:right w:val="single" w:sz="2" w:space="0" w:color="00537A"/>
            </w:tcBorders>
          </w:tcPr>
          <w:p>
            <w:pPr>
              <w:pStyle w:val="TableParagraph"/>
              <w:spacing w:before="9"/>
              <w:rPr>
                <w:i/>
                <w:sz w:val="19"/>
              </w:rPr>
            </w:pPr>
          </w:p>
          <w:p>
            <w:pPr>
              <w:pStyle w:val="TableParagraph"/>
              <w:ind w:right="2"/>
              <w:jc w:val="center"/>
              <w:rPr>
                <w:sz w:val="18"/>
              </w:rPr>
            </w:pPr>
            <w:r>
              <w:rPr>
                <w:w w:val="99"/>
                <w:sz w:val="18"/>
              </w:rPr>
              <w:t>3</w:t>
            </w:r>
          </w:p>
        </w:tc>
        <w:tc>
          <w:tcPr>
            <w:tcW w:w="1341" w:type="dxa"/>
            <w:tcBorders>
              <w:left w:val="single" w:sz="2" w:space="0" w:color="00537A"/>
              <w:bottom w:val="single" w:sz="2" w:space="0" w:color="00537A"/>
              <w:right w:val="single" w:sz="2" w:space="0" w:color="00537A"/>
            </w:tcBorders>
          </w:tcPr>
          <w:p>
            <w:pPr>
              <w:pStyle w:val="TableParagraph"/>
              <w:spacing w:before="107"/>
              <w:ind w:left="174"/>
              <w:rPr>
                <w:sz w:val="18"/>
              </w:rPr>
            </w:pPr>
            <w:r>
              <w:rPr>
                <w:sz w:val="18"/>
              </w:rPr>
              <w:t>61000-4-3</w:t>
            </w:r>
          </w:p>
          <w:p>
            <w:pPr>
              <w:pStyle w:val="TableParagraph"/>
              <w:spacing w:before="32"/>
              <w:ind w:left="174"/>
              <w:rPr>
                <w:sz w:val="18"/>
              </w:rPr>
            </w:pPr>
            <w:r>
              <w:rPr>
                <w:sz w:val="18"/>
              </w:rPr>
              <w:t>0.8-1.0GHz</w:t>
            </w:r>
          </w:p>
        </w:tc>
        <w:tc>
          <w:tcPr>
            <w:tcW w:w="1535" w:type="dxa"/>
            <w:tcBorders>
              <w:left w:val="single" w:sz="2" w:space="0" w:color="00537A"/>
              <w:bottom w:val="single" w:sz="2" w:space="0" w:color="00537A"/>
              <w:right w:val="single" w:sz="2" w:space="0" w:color="00537A"/>
            </w:tcBorders>
            <w:shd w:val="clear" w:color="auto" w:fill="E2E9BD"/>
          </w:tcPr>
          <w:p>
            <w:pPr>
              <w:pStyle w:val="TableParagraph"/>
              <w:spacing w:before="9"/>
              <w:rPr>
                <w:i/>
                <w:sz w:val="19"/>
              </w:rPr>
            </w:pPr>
          </w:p>
          <w:p>
            <w:pPr>
              <w:pStyle w:val="TableParagraph"/>
              <w:ind w:left="175"/>
              <w:rPr>
                <w:sz w:val="18"/>
              </w:rPr>
            </w:pPr>
            <w:r>
              <w:rPr>
                <w:sz w:val="18"/>
              </w:rPr>
              <w:t>3V/m</w:t>
            </w:r>
          </w:p>
        </w:tc>
        <w:tc>
          <w:tcPr>
            <w:tcW w:w="1535" w:type="dxa"/>
            <w:tcBorders>
              <w:left w:val="single" w:sz="2" w:space="0" w:color="00537A"/>
              <w:bottom w:val="single" w:sz="2" w:space="0" w:color="00537A"/>
              <w:right w:val="single" w:sz="2" w:space="0" w:color="00537A"/>
            </w:tcBorders>
            <w:shd w:val="clear" w:color="auto" w:fill="D8F1F2"/>
          </w:tcPr>
          <w:p>
            <w:pPr>
              <w:pStyle w:val="TableParagraph"/>
              <w:spacing w:before="9"/>
              <w:rPr>
                <w:i/>
                <w:sz w:val="19"/>
              </w:rPr>
            </w:pPr>
          </w:p>
          <w:p>
            <w:pPr>
              <w:pStyle w:val="TableParagraph"/>
              <w:ind w:left="174"/>
              <w:rPr>
                <w:sz w:val="18"/>
              </w:rPr>
            </w:pPr>
            <w:r>
              <w:rPr>
                <w:sz w:val="18"/>
              </w:rPr>
              <w:t>10V/m</w:t>
            </w:r>
          </w:p>
        </w:tc>
        <w:tc>
          <w:tcPr>
            <w:tcW w:w="1635" w:type="dxa"/>
            <w:tcBorders>
              <w:left w:val="single" w:sz="2" w:space="0" w:color="00537A"/>
              <w:bottom w:val="single" w:sz="2" w:space="0" w:color="00537A"/>
            </w:tcBorders>
            <w:shd w:val="clear" w:color="auto" w:fill="E2E9BD"/>
          </w:tcPr>
          <w:p>
            <w:pPr>
              <w:pStyle w:val="TableParagraph"/>
              <w:spacing w:before="9"/>
              <w:rPr>
                <w:i/>
                <w:sz w:val="19"/>
              </w:rPr>
            </w:pPr>
          </w:p>
          <w:p>
            <w:pPr>
              <w:pStyle w:val="TableParagraph"/>
              <w:ind w:left="174"/>
              <w:rPr>
                <w:sz w:val="18"/>
              </w:rPr>
            </w:pPr>
            <w:r>
              <w:rPr>
                <w:sz w:val="18"/>
              </w:rPr>
              <w:t>20V/m</w:t>
            </w:r>
          </w:p>
        </w:tc>
        <w:tc>
          <w:tcPr>
            <w:tcW w:w="1682" w:type="dxa"/>
            <w:tcBorders>
              <w:bottom w:val="single" w:sz="2" w:space="0" w:color="00537A"/>
              <w:right w:val="single" w:sz="2" w:space="0" w:color="00537A"/>
            </w:tcBorders>
            <w:shd w:val="clear" w:color="auto" w:fill="E2E9BD"/>
          </w:tcPr>
          <w:p>
            <w:pPr>
              <w:pStyle w:val="TableParagraph"/>
              <w:spacing w:before="9"/>
              <w:rPr>
                <w:i/>
                <w:sz w:val="19"/>
              </w:rPr>
            </w:pPr>
          </w:p>
          <w:p>
            <w:pPr>
              <w:pStyle w:val="TableParagraph"/>
              <w:ind w:left="171"/>
              <w:rPr>
                <w:sz w:val="18"/>
              </w:rPr>
            </w:pPr>
            <w:r>
              <w:rPr>
                <w:sz w:val="18"/>
              </w:rPr>
              <w:t>20V/m</w:t>
            </w:r>
          </w:p>
        </w:tc>
        <w:tc>
          <w:tcPr>
            <w:tcW w:w="1635" w:type="dxa"/>
            <w:tcBorders>
              <w:left w:val="single" w:sz="2" w:space="0" w:color="00537A"/>
              <w:bottom w:val="single" w:sz="2" w:space="0" w:color="00537A"/>
            </w:tcBorders>
            <w:shd w:val="clear" w:color="auto" w:fill="D7AE33"/>
          </w:tcPr>
          <w:p>
            <w:pPr>
              <w:pStyle w:val="TableParagraph"/>
              <w:spacing w:line="180" w:lineRule="exact" w:before="162"/>
              <w:ind w:left="175" w:right="620"/>
              <w:rPr>
                <w:sz w:val="18"/>
              </w:rPr>
            </w:pPr>
            <w:r>
              <w:rPr>
                <w:sz w:val="18"/>
              </w:rPr>
              <w:t>Geen aanvulling</w:t>
            </w:r>
          </w:p>
        </w:tc>
        <w:tc>
          <w:tcPr>
            <w:tcW w:w="3157" w:type="dxa"/>
            <w:tcBorders>
              <w:bottom w:val="single" w:sz="2" w:space="0" w:color="00537A"/>
            </w:tcBorders>
          </w:tcPr>
          <w:p>
            <w:pPr>
              <w:pStyle w:val="TableParagraph"/>
              <w:spacing w:line="180" w:lineRule="exact" w:before="72"/>
              <w:ind w:left="172" w:right="482"/>
              <w:rPr>
                <w:sz w:val="18"/>
              </w:rPr>
            </w:pPr>
            <w:r>
              <w:rPr>
                <w:sz w:val="18"/>
              </w:rPr>
              <w:t>50121 en RLN00007 eisen zwaarder tbv invloed mobiele communicatie middelen (GSM)</w:t>
            </w:r>
          </w:p>
        </w:tc>
      </w:tr>
      <w:tr>
        <w:trPr>
          <w:trHeight w:val="1372" w:hRule="exact"/>
        </w:trPr>
        <w:tc>
          <w:tcPr>
            <w:tcW w:w="670" w:type="dxa"/>
            <w:vMerge/>
          </w:tcPr>
          <w:p>
            <w:pPr/>
          </w:p>
        </w:tc>
        <w:tc>
          <w:tcPr>
            <w:tcW w:w="670" w:type="dxa"/>
            <w:tcBorders>
              <w:top w:val="single" w:sz="2" w:space="0" w:color="00537A"/>
              <w:right w:val="single" w:sz="2" w:space="0" w:color="00537A"/>
            </w:tcBorders>
          </w:tcPr>
          <w:p>
            <w:pPr>
              <w:pStyle w:val="TableParagraph"/>
              <w:rPr>
                <w:i/>
                <w:sz w:val="20"/>
              </w:rPr>
            </w:pPr>
          </w:p>
          <w:p>
            <w:pPr>
              <w:pStyle w:val="TableParagraph"/>
              <w:spacing w:before="8"/>
              <w:rPr>
                <w:i/>
                <w:sz w:val="28"/>
              </w:rPr>
            </w:pPr>
          </w:p>
          <w:p>
            <w:pPr>
              <w:pStyle w:val="TableParagraph"/>
              <w:spacing w:before="1"/>
              <w:ind w:right="2"/>
              <w:jc w:val="center"/>
              <w:rPr>
                <w:sz w:val="18"/>
              </w:rPr>
            </w:pPr>
            <w:r>
              <w:rPr>
                <w:w w:val="99"/>
                <w:sz w:val="18"/>
              </w:rPr>
              <w:t>4</w:t>
            </w:r>
          </w:p>
        </w:tc>
        <w:tc>
          <w:tcPr>
            <w:tcW w:w="1341" w:type="dxa"/>
            <w:tcBorders>
              <w:top w:val="single" w:sz="2" w:space="0" w:color="00537A"/>
              <w:left w:val="single" w:sz="2" w:space="0" w:color="00537A"/>
              <w:right w:val="single" w:sz="2" w:space="0" w:color="00537A"/>
            </w:tcBorders>
          </w:tcPr>
          <w:p>
            <w:pPr>
              <w:pStyle w:val="TableParagraph"/>
              <w:rPr>
                <w:i/>
                <w:sz w:val="20"/>
              </w:rPr>
            </w:pPr>
          </w:p>
          <w:p>
            <w:pPr>
              <w:pStyle w:val="TableParagraph"/>
              <w:spacing w:before="3"/>
              <w:rPr>
                <w:i/>
                <w:sz w:val="18"/>
              </w:rPr>
            </w:pPr>
          </w:p>
          <w:p>
            <w:pPr>
              <w:pStyle w:val="TableParagraph"/>
              <w:spacing w:before="1"/>
              <w:ind w:left="174"/>
              <w:rPr>
                <w:sz w:val="18"/>
              </w:rPr>
            </w:pPr>
            <w:r>
              <w:rPr>
                <w:sz w:val="18"/>
              </w:rPr>
              <w:t>61000-4-3</w:t>
            </w:r>
          </w:p>
          <w:p>
            <w:pPr>
              <w:pStyle w:val="TableParagraph"/>
              <w:spacing w:before="33"/>
              <w:ind w:left="174"/>
              <w:rPr>
                <w:sz w:val="18"/>
              </w:rPr>
            </w:pPr>
            <w:r>
              <w:rPr>
                <w:sz w:val="18"/>
              </w:rPr>
              <w:t>1.4-6.0GHz</w:t>
            </w:r>
          </w:p>
        </w:tc>
        <w:tc>
          <w:tcPr>
            <w:tcW w:w="1535" w:type="dxa"/>
            <w:tcBorders>
              <w:top w:val="single" w:sz="2" w:space="0" w:color="00537A"/>
              <w:left w:val="single" w:sz="2" w:space="0" w:color="00537A"/>
              <w:right w:val="single" w:sz="2" w:space="0" w:color="00537A"/>
            </w:tcBorders>
            <w:shd w:val="clear" w:color="auto" w:fill="E2E9BD"/>
          </w:tcPr>
          <w:p>
            <w:pPr>
              <w:pStyle w:val="TableParagraph"/>
              <w:rPr>
                <w:i/>
                <w:sz w:val="20"/>
              </w:rPr>
            </w:pPr>
          </w:p>
          <w:p>
            <w:pPr>
              <w:pStyle w:val="TableParagraph"/>
              <w:spacing w:before="8"/>
              <w:rPr>
                <w:i/>
                <w:sz w:val="28"/>
              </w:rPr>
            </w:pPr>
          </w:p>
          <w:p>
            <w:pPr>
              <w:pStyle w:val="TableParagraph"/>
              <w:spacing w:before="1"/>
              <w:ind w:left="175"/>
              <w:rPr>
                <w:sz w:val="18"/>
              </w:rPr>
            </w:pPr>
            <w:r>
              <w:rPr>
                <w:sz w:val="18"/>
              </w:rPr>
              <w:t>3V/m</w:t>
            </w:r>
          </w:p>
        </w:tc>
        <w:tc>
          <w:tcPr>
            <w:tcW w:w="1535" w:type="dxa"/>
            <w:tcBorders>
              <w:top w:val="single" w:sz="2" w:space="0" w:color="00537A"/>
              <w:left w:val="single" w:sz="2" w:space="0" w:color="00537A"/>
              <w:right w:val="single" w:sz="2" w:space="0" w:color="00537A"/>
            </w:tcBorders>
            <w:shd w:val="clear" w:color="auto" w:fill="D8F1F2"/>
          </w:tcPr>
          <w:p>
            <w:pPr>
              <w:pStyle w:val="TableParagraph"/>
              <w:rPr>
                <w:i/>
                <w:sz w:val="20"/>
              </w:rPr>
            </w:pPr>
          </w:p>
          <w:p>
            <w:pPr>
              <w:pStyle w:val="TableParagraph"/>
              <w:spacing w:before="8"/>
              <w:rPr>
                <w:i/>
                <w:sz w:val="28"/>
              </w:rPr>
            </w:pPr>
          </w:p>
          <w:p>
            <w:pPr>
              <w:pStyle w:val="TableParagraph"/>
              <w:spacing w:before="1"/>
              <w:ind w:left="174"/>
              <w:rPr>
                <w:sz w:val="18"/>
              </w:rPr>
            </w:pPr>
            <w:r>
              <w:rPr>
                <w:sz w:val="18"/>
              </w:rPr>
              <w:t>3V/m</w:t>
            </w:r>
          </w:p>
        </w:tc>
        <w:tc>
          <w:tcPr>
            <w:tcW w:w="1635" w:type="dxa"/>
            <w:tcBorders>
              <w:top w:val="single" w:sz="2" w:space="0" w:color="00537A"/>
              <w:left w:val="single" w:sz="2" w:space="0" w:color="00537A"/>
            </w:tcBorders>
            <w:shd w:val="clear" w:color="auto" w:fill="E2E9BD"/>
          </w:tcPr>
          <w:p>
            <w:pPr>
              <w:pStyle w:val="TableParagraph"/>
              <w:spacing w:line="193" w:lineRule="exact" w:before="50"/>
              <w:ind w:left="174"/>
              <w:rPr>
                <w:sz w:val="18"/>
              </w:rPr>
            </w:pPr>
            <w:r>
              <w:rPr>
                <w:sz w:val="18"/>
              </w:rPr>
              <w:t>10V/m,</w:t>
            </w:r>
          </w:p>
          <w:p>
            <w:pPr>
              <w:pStyle w:val="TableParagraph"/>
              <w:spacing w:line="193" w:lineRule="exact"/>
              <w:ind w:left="174"/>
              <w:rPr>
                <w:sz w:val="18"/>
              </w:rPr>
            </w:pPr>
            <w:r>
              <w:rPr>
                <w:sz w:val="18"/>
              </w:rPr>
              <w:t>1.4-2.0GHz</w:t>
            </w:r>
          </w:p>
          <w:p>
            <w:pPr>
              <w:pStyle w:val="TableParagraph"/>
              <w:spacing w:line="193" w:lineRule="exact" w:before="33"/>
              <w:ind w:left="174"/>
              <w:rPr>
                <w:sz w:val="18"/>
              </w:rPr>
            </w:pPr>
            <w:r>
              <w:rPr>
                <w:sz w:val="18"/>
              </w:rPr>
              <w:t>5V/m,</w:t>
            </w:r>
          </w:p>
          <w:p>
            <w:pPr>
              <w:pStyle w:val="TableParagraph"/>
              <w:spacing w:line="193" w:lineRule="exact"/>
              <w:ind w:left="174"/>
              <w:rPr>
                <w:sz w:val="18"/>
              </w:rPr>
            </w:pPr>
            <w:r>
              <w:rPr>
                <w:sz w:val="18"/>
              </w:rPr>
              <w:t>2.0-2.7GHz</w:t>
            </w:r>
          </w:p>
          <w:p>
            <w:pPr>
              <w:pStyle w:val="TableParagraph"/>
              <w:spacing w:line="193" w:lineRule="exact" w:before="34"/>
              <w:ind w:left="174"/>
              <w:rPr>
                <w:sz w:val="18"/>
              </w:rPr>
            </w:pPr>
            <w:r>
              <w:rPr>
                <w:sz w:val="18"/>
              </w:rPr>
              <w:t>3V/m,</w:t>
            </w:r>
          </w:p>
          <w:p>
            <w:pPr>
              <w:pStyle w:val="TableParagraph"/>
              <w:spacing w:line="193" w:lineRule="exact"/>
              <w:ind w:left="174"/>
              <w:rPr>
                <w:sz w:val="18"/>
              </w:rPr>
            </w:pPr>
            <w:r>
              <w:rPr>
                <w:sz w:val="18"/>
              </w:rPr>
              <w:t>5.1-6.0GHz</w:t>
            </w:r>
          </w:p>
        </w:tc>
        <w:tc>
          <w:tcPr>
            <w:tcW w:w="1682" w:type="dxa"/>
            <w:tcBorders>
              <w:top w:val="single" w:sz="2" w:space="0" w:color="00537A"/>
              <w:right w:val="single" w:sz="2" w:space="0" w:color="00537A"/>
            </w:tcBorders>
            <w:shd w:val="clear" w:color="auto" w:fill="E2E9BD"/>
          </w:tcPr>
          <w:p>
            <w:pPr>
              <w:pStyle w:val="TableParagraph"/>
              <w:spacing w:line="193" w:lineRule="exact" w:before="50"/>
              <w:ind w:left="171"/>
              <w:rPr>
                <w:sz w:val="18"/>
              </w:rPr>
            </w:pPr>
            <w:r>
              <w:rPr>
                <w:sz w:val="18"/>
              </w:rPr>
              <w:t>10V/m,</w:t>
            </w:r>
          </w:p>
          <w:p>
            <w:pPr>
              <w:pStyle w:val="TableParagraph"/>
              <w:spacing w:line="193" w:lineRule="exact"/>
              <w:ind w:left="171"/>
              <w:rPr>
                <w:sz w:val="18"/>
              </w:rPr>
            </w:pPr>
            <w:r>
              <w:rPr>
                <w:sz w:val="18"/>
              </w:rPr>
              <w:t>1.4-2.0GHz</w:t>
            </w:r>
          </w:p>
          <w:p>
            <w:pPr>
              <w:pStyle w:val="TableParagraph"/>
              <w:spacing w:line="193" w:lineRule="exact" w:before="33"/>
              <w:ind w:left="171"/>
              <w:rPr>
                <w:sz w:val="18"/>
              </w:rPr>
            </w:pPr>
            <w:r>
              <w:rPr>
                <w:sz w:val="18"/>
              </w:rPr>
              <w:t>5V/m,</w:t>
            </w:r>
          </w:p>
          <w:p>
            <w:pPr>
              <w:pStyle w:val="TableParagraph"/>
              <w:spacing w:line="193" w:lineRule="exact"/>
              <w:ind w:left="171"/>
              <w:rPr>
                <w:sz w:val="18"/>
              </w:rPr>
            </w:pPr>
            <w:r>
              <w:rPr>
                <w:sz w:val="18"/>
              </w:rPr>
              <w:t>2.0-2.7GHz</w:t>
            </w:r>
          </w:p>
          <w:p>
            <w:pPr>
              <w:pStyle w:val="TableParagraph"/>
              <w:spacing w:line="193" w:lineRule="exact" w:before="34"/>
              <w:ind w:left="171"/>
              <w:rPr>
                <w:sz w:val="18"/>
              </w:rPr>
            </w:pPr>
            <w:r>
              <w:rPr>
                <w:sz w:val="18"/>
              </w:rPr>
              <w:t>3V/m,</w:t>
            </w:r>
          </w:p>
          <w:p>
            <w:pPr>
              <w:pStyle w:val="TableParagraph"/>
              <w:spacing w:line="193" w:lineRule="exact"/>
              <w:ind w:left="171"/>
              <w:rPr>
                <w:sz w:val="18"/>
              </w:rPr>
            </w:pPr>
            <w:r>
              <w:rPr>
                <w:sz w:val="18"/>
              </w:rPr>
              <w:t>5.1-6.0GHz</w:t>
            </w:r>
          </w:p>
        </w:tc>
        <w:tc>
          <w:tcPr>
            <w:tcW w:w="1635" w:type="dxa"/>
            <w:tcBorders>
              <w:top w:val="single" w:sz="2" w:space="0" w:color="00537A"/>
              <w:left w:val="single" w:sz="2" w:space="0" w:color="00537A"/>
            </w:tcBorders>
            <w:shd w:val="clear" w:color="auto" w:fill="D7AE33"/>
          </w:tcPr>
          <w:p>
            <w:pPr>
              <w:pStyle w:val="TableParagraph"/>
              <w:spacing w:line="193" w:lineRule="exact" w:before="110"/>
              <w:ind w:left="175"/>
              <w:rPr>
                <w:sz w:val="18"/>
              </w:rPr>
            </w:pPr>
            <w:r>
              <w:rPr>
                <w:sz w:val="18"/>
              </w:rPr>
              <w:t>10V/m,</w:t>
            </w:r>
          </w:p>
          <w:p>
            <w:pPr>
              <w:pStyle w:val="TableParagraph"/>
              <w:spacing w:line="180" w:lineRule="exact"/>
              <w:ind w:left="175"/>
              <w:rPr>
                <w:sz w:val="18"/>
              </w:rPr>
            </w:pPr>
            <w:r>
              <w:rPr>
                <w:sz w:val="18"/>
              </w:rPr>
              <w:t>1-1,4GHz</w:t>
            </w:r>
          </w:p>
          <w:p>
            <w:pPr>
              <w:pStyle w:val="TableParagraph"/>
              <w:spacing w:line="180" w:lineRule="exact" w:before="12"/>
              <w:ind w:left="175" w:right="529"/>
              <w:rPr>
                <w:sz w:val="18"/>
              </w:rPr>
            </w:pPr>
            <w:r>
              <w:rPr>
                <w:sz w:val="18"/>
              </w:rPr>
              <w:t>en 3V/m, 2.7-5.1GHz</w:t>
            </w:r>
          </w:p>
          <w:p>
            <w:pPr>
              <w:pStyle w:val="TableParagraph"/>
              <w:spacing w:line="180" w:lineRule="exact"/>
              <w:ind w:left="175" w:right="200"/>
              <w:rPr>
                <w:sz w:val="18"/>
              </w:rPr>
            </w:pPr>
            <w:r>
              <w:rPr>
                <w:sz w:val="18"/>
              </w:rPr>
              <w:t>opgenomen als</w:t>
            </w:r>
            <w:r>
              <w:rPr>
                <w:w w:val="99"/>
                <w:sz w:val="18"/>
              </w:rPr>
              <w:t> </w:t>
            </w:r>
            <w:r>
              <w:rPr>
                <w:sz w:val="18"/>
              </w:rPr>
              <w:t>aanvulling</w:t>
            </w:r>
          </w:p>
        </w:tc>
        <w:tc>
          <w:tcPr>
            <w:tcW w:w="3157" w:type="dxa"/>
            <w:tcBorders>
              <w:top w:val="single" w:sz="2" w:space="0" w:color="00537A"/>
            </w:tcBorders>
          </w:tcPr>
          <w:p>
            <w:pPr>
              <w:pStyle w:val="TableParagraph"/>
              <w:spacing w:before="7"/>
              <w:rPr>
                <w:i/>
                <w:sz w:val="19"/>
              </w:rPr>
            </w:pPr>
          </w:p>
          <w:p>
            <w:pPr>
              <w:pStyle w:val="TableParagraph"/>
              <w:spacing w:line="180" w:lineRule="exact"/>
              <w:ind w:left="172" w:right="231"/>
              <w:rPr>
                <w:sz w:val="18"/>
              </w:rPr>
            </w:pPr>
            <w:r>
              <w:rPr>
                <w:sz w:val="18"/>
              </w:rPr>
              <w:t>50121 en RLN00007 eisen zwaarder tbv invloed mobiele communicatie middelen (UMTS / etc.), 50121 stelt daarentegen geen eisen tussen 2.7 en 5.0GHz.</w:t>
            </w:r>
          </w:p>
        </w:tc>
      </w:tr>
      <w:tr>
        <w:trPr>
          <w:trHeight w:val="772" w:hRule="exact"/>
        </w:trPr>
        <w:tc>
          <w:tcPr>
            <w:tcW w:w="670" w:type="dxa"/>
            <w:vMerge/>
            <w:tcBorders>
              <w:bottom w:val="nil"/>
            </w:tcBorders>
          </w:tcPr>
          <w:p>
            <w:pPr/>
          </w:p>
        </w:tc>
        <w:tc>
          <w:tcPr>
            <w:tcW w:w="670" w:type="dxa"/>
            <w:tcBorders>
              <w:right w:val="single" w:sz="2" w:space="0" w:color="00537A"/>
            </w:tcBorders>
          </w:tcPr>
          <w:p>
            <w:pPr>
              <w:pStyle w:val="TableParagraph"/>
              <w:spacing w:before="4"/>
              <w:rPr>
                <w:i/>
                <w:sz w:val="22"/>
              </w:rPr>
            </w:pPr>
          </w:p>
          <w:p>
            <w:pPr>
              <w:pStyle w:val="TableParagraph"/>
              <w:spacing w:before="1"/>
              <w:ind w:right="2"/>
              <w:jc w:val="center"/>
              <w:rPr>
                <w:sz w:val="18"/>
              </w:rPr>
            </w:pPr>
            <w:r>
              <w:rPr>
                <w:w w:val="99"/>
                <w:sz w:val="18"/>
              </w:rPr>
              <w:t>5</w:t>
            </w:r>
          </w:p>
        </w:tc>
        <w:tc>
          <w:tcPr>
            <w:tcW w:w="1341" w:type="dxa"/>
            <w:tcBorders>
              <w:left w:val="single" w:sz="2" w:space="0" w:color="00537A"/>
              <w:right w:val="single" w:sz="2" w:space="0" w:color="00537A"/>
            </w:tcBorders>
          </w:tcPr>
          <w:p>
            <w:pPr>
              <w:pStyle w:val="TableParagraph"/>
              <w:spacing w:line="180" w:lineRule="exact" w:before="72"/>
              <w:ind w:left="174" w:right="125"/>
              <w:rPr>
                <w:sz w:val="18"/>
              </w:rPr>
            </w:pPr>
            <w:r>
              <w:rPr>
                <w:sz w:val="18"/>
              </w:rPr>
              <w:t>'Electrostatic discharge'</w:t>
            </w:r>
          </w:p>
          <w:p>
            <w:pPr>
              <w:pStyle w:val="TableParagraph"/>
              <w:spacing w:before="34"/>
              <w:ind w:left="174"/>
              <w:rPr>
                <w:sz w:val="18"/>
              </w:rPr>
            </w:pPr>
            <w:r>
              <w:rPr>
                <w:sz w:val="18"/>
              </w:rPr>
              <w:t>61000-4-2</w:t>
            </w:r>
          </w:p>
        </w:tc>
        <w:tc>
          <w:tcPr>
            <w:tcW w:w="1535" w:type="dxa"/>
            <w:tcBorders>
              <w:left w:val="single" w:sz="2" w:space="0" w:color="00537A"/>
              <w:right w:val="single" w:sz="2" w:space="0" w:color="00537A"/>
            </w:tcBorders>
            <w:shd w:val="clear" w:color="auto" w:fill="E2E9BD"/>
          </w:tcPr>
          <w:p>
            <w:pPr>
              <w:pStyle w:val="TableParagraph"/>
              <w:spacing w:before="8"/>
              <w:rPr>
                <w:i/>
                <w:sz w:val="16"/>
              </w:rPr>
            </w:pPr>
          </w:p>
          <w:p>
            <w:pPr>
              <w:pStyle w:val="TableParagraph"/>
              <w:spacing w:line="180" w:lineRule="exact"/>
              <w:ind w:left="175" w:right="343"/>
              <w:rPr>
                <w:sz w:val="18"/>
              </w:rPr>
            </w:pPr>
            <w:r>
              <w:rPr>
                <w:sz w:val="18"/>
              </w:rPr>
              <w:t>4kV contact, 8kV air</w:t>
            </w:r>
          </w:p>
        </w:tc>
        <w:tc>
          <w:tcPr>
            <w:tcW w:w="1535" w:type="dxa"/>
            <w:tcBorders>
              <w:left w:val="single" w:sz="2" w:space="0" w:color="00537A"/>
              <w:right w:val="single" w:sz="2" w:space="0" w:color="00537A"/>
            </w:tcBorders>
            <w:shd w:val="clear" w:color="auto" w:fill="D8F1F2"/>
          </w:tcPr>
          <w:p>
            <w:pPr>
              <w:pStyle w:val="TableParagraph"/>
              <w:spacing w:line="278" w:lineRule="auto" w:before="137"/>
              <w:ind w:left="174" w:right="344"/>
              <w:rPr>
                <w:sz w:val="18"/>
              </w:rPr>
            </w:pPr>
            <w:r>
              <w:rPr>
                <w:sz w:val="18"/>
              </w:rPr>
              <w:t>4kV contact, 8kV air</w:t>
            </w:r>
          </w:p>
        </w:tc>
        <w:tc>
          <w:tcPr>
            <w:tcW w:w="1635" w:type="dxa"/>
            <w:tcBorders>
              <w:left w:val="single" w:sz="2" w:space="0" w:color="00537A"/>
            </w:tcBorders>
            <w:shd w:val="clear" w:color="auto" w:fill="E2E9BD"/>
          </w:tcPr>
          <w:p>
            <w:pPr>
              <w:pStyle w:val="TableParagraph"/>
              <w:spacing w:line="278" w:lineRule="auto" w:before="137"/>
              <w:ind w:left="174" w:right="441"/>
              <w:rPr>
                <w:sz w:val="18"/>
              </w:rPr>
            </w:pPr>
            <w:r>
              <w:rPr>
                <w:sz w:val="18"/>
              </w:rPr>
              <w:t>6kV contact, 8kV air</w:t>
            </w:r>
          </w:p>
        </w:tc>
        <w:tc>
          <w:tcPr>
            <w:tcW w:w="1682" w:type="dxa"/>
            <w:tcBorders>
              <w:right w:val="single" w:sz="2" w:space="0" w:color="00537A"/>
            </w:tcBorders>
            <w:shd w:val="clear" w:color="auto" w:fill="E2E9BD"/>
          </w:tcPr>
          <w:p>
            <w:pPr>
              <w:pStyle w:val="TableParagraph"/>
              <w:spacing w:line="278" w:lineRule="auto" w:before="137"/>
              <w:ind w:left="171" w:right="491"/>
              <w:rPr>
                <w:sz w:val="18"/>
              </w:rPr>
            </w:pPr>
            <w:r>
              <w:rPr>
                <w:sz w:val="18"/>
              </w:rPr>
              <w:t>6kV contact, 8kV air</w:t>
            </w:r>
          </w:p>
        </w:tc>
        <w:tc>
          <w:tcPr>
            <w:tcW w:w="1635" w:type="dxa"/>
            <w:tcBorders>
              <w:left w:val="single" w:sz="2" w:space="0" w:color="00537A"/>
            </w:tcBorders>
            <w:shd w:val="clear" w:color="auto" w:fill="D7AE33"/>
          </w:tcPr>
          <w:p>
            <w:pPr>
              <w:pStyle w:val="TableParagraph"/>
              <w:spacing w:before="8"/>
              <w:rPr>
                <w:i/>
                <w:sz w:val="16"/>
              </w:rPr>
            </w:pPr>
          </w:p>
          <w:p>
            <w:pPr>
              <w:pStyle w:val="TableParagraph"/>
              <w:spacing w:line="180" w:lineRule="exact"/>
              <w:ind w:left="175" w:right="620"/>
              <w:rPr>
                <w:sz w:val="18"/>
              </w:rPr>
            </w:pPr>
            <w:r>
              <w:rPr>
                <w:sz w:val="18"/>
              </w:rPr>
              <w:t>Geen aanvulling</w:t>
            </w:r>
          </w:p>
        </w:tc>
        <w:tc>
          <w:tcPr>
            <w:tcW w:w="3157" w:type="dxa"/>
          </w:tcPr>
          <w:p>
            <w:pPr>
              <w:pStyle w:val="TableParagraph"/>
              <w:spacing w:before="8"/>
              <w:rPr>
                <w:i/>
                <w:sz w:val="16"/>
              </w:rPr>
            </w:pPr>
          </w:p>
          <w:p>
            <w:pPr>
              <w:pStyle w:val="TableParagraph"/>
              <w:spacing w:line="180" w:lineRule="exact"/>
              <w:ind w:left="172" w:right="151"/>
              <w:rPr>
                <w:sz w:val="18"/>
              </w:rPr>
            </w:pPr>
            <w:r>
              <w:rPr>
                <w:sz w:val="18"/>
              </w:rPr>
              <w:t>Afwijking 61000-6-2: 6kV contact is standaard niveau 61000-4-2</w:t>
            </w:r>
          </w:p>
        </w:tc>
      </w:tr>
    </w:tbl>
    <w:p>
      <w:pPr>
        <w:spacing w:after="0" w:line="180" w:lineRule="exact"/>
        <w:rPr>
          <w:sz w:val="18"/>
        </w:rPr>
        <w:sectPr>
          <w:pgSz w:w="16840" w:h="11910" w:orient="landscape"/>
          <w:pgMar w:header="588" w:footer="312" w:top="920" w:bottom="500" w:left="1020" w:right="1020"/>
        </w:sectPr>
      </w:pPr>
    </w:p>
    <w:p>
      <w:pPr>
        <w:pStyle w:val="BodyText"/>
        <w:rPr>
          <w:rFonts w:ascii="Times New Roman"/>
        </w:rPr>
      </w:pPr>
    </w:p>
    <w:p>
      <w:pPr>
        <w:pStyle w:val="BodyText"/>
        <w:spacing w:before="3" w:after="1"/>
        <w:rPr>
          <w:rFonts w:ascii="Times New Roman"/>
          <w:sz w:val="21"/>
        </w:rPr>
      </w:pPr>
    </w:p>
    <w:tbl>
      <w:tblPr>
        <w:tblW w:w="0" w:type="auto"/>
        <w:jc w:val="left"/>
        <w:tblInd w:w="816" w:type="dxa"/>
        <w:tblBorders>
          <w:top w:val="single" w:sz="5" w:space="0" w:color="00537A"/>
          <w:left w:val="single" w:sz="5" w:space="0" w:color="00537A"/>
          <w:bottom w:val="single" w:sz="5" w:space="0" w:color="00537A"/>
          <w:right w:val="single" w:sz="5" w:space="0" w:color="00537A"/>
          <w:insideH w:val="single" w:sz="5" w:space="0" w:color="00537A"/>
          <w:insideV w:val="single" w:sz="5" w:space="0" w:color="00537A"/>
        </w:tblBorders>
        <w:tblLayout w:type="fixed"/>
        <w:tblCellMar>
          <w:top w:w="0" w:type="dxa"/>
          <w:left w:w="0" w:type="dxa"/>
          <w:bottom w:w="0" w:type="dxa"/>
          <w:right w:w="0" w:type="dxa"/>
        </w:tblCellMar>
        <w:tblLook w:val="01E0"/>
      </w:tblPr>
      <w:tblGrid>
        <w:gridCol w:w="670"/>
        <w:gridCol w:w="670"/>
        <w:gridCol w:w="1341"/>
        <w:gridCol w:w="1535"/>
        <w:gridCol w:w="1535"/>
        <w:gridCol w:w="1635"/>
        <w:gridCol w:w="1682"/>
        <w:gridCol w:w="1635"/>
        <w:gridCol w:w="3157"/>
      </w:tblGrid>
      <w:tr>
        <w:trPr>
          <w:trHeight w:val="388" w:hRule="exact"/>
        </w:trPr>
        <w:tc>
          <w:tcPr>
            <w:tcW w:w="670" w:type="dxa"/>
            <w:vMerge w:val="restart"/>
            <w:shd w:val="clear" w:color="auto" w:fill="BDDDE9"/>
          </w:tcPr>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0"/>
              </w:rPr>
            </w:pPr>
          </w:p>
          <w:p>
            <w:pPr>
              <w:pStyle w:val="TableParagraph"/>
              <w:spacing w:before="1"/>
              <w:ind w:left="149"/>
              <w:rPr>
                <w:b/>
                <w:sz w:val="18"/>
              </w:rPr>
            </w:pPr>
            <w:r>
              <w:rPr>
                <w:b/>
                <w:sz w:val="18"/>
              </w:rPr>
              <w:t>Port</w:t>
            </w:r>
          </w:p>
        </w:tc>
        <w:tc>
          <w:tcPr>
            <w:tcW w:w="670" w:type="dxa"/>
            <w:vMerge w:val="restart"/>
            <w:shd w:val="clear" w:color="auto" w:fill="BDDDE9"/>
          </w:tcPr>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0"/>
              </w:rPr>
            </w:pPr>
          </w:p>
          <w:p>
            <w:pPr>
              <w:pStyle w:val="TableParagraph"/>
              <w:spacing w:before="1"/>
              <w:ind w:left="209"/>
              <w:rPr>
                <w:b/>
                <w:sz w:val="18"/>
              </w:rPr>
            </w:pPr>
            <w:r>
              <w:rPr>
                <w:b/>
                <w:sz w:val="18"/>
              </w:rPr>
              <w:t>Nr.</w:t>
            </w:r>
          </w:p>
        </w:tc>
        <w:tc>
          <w:tcPr>
            <w:tcW w:w="1341" w:type="dxa"/>
            <w:vMerge w:val="restart"/>
            <w:shd w:val="clear" w:color="auto" w:fill="BDDDE9"/>
          </w:tcPr>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0"/>
              </w:rPr>
            </w:pPr>
          </w:p>
          <w:p>
            <w:pPr>
              <w:pStyle w:val="TableParagraph"/>
              <w:spacing w:before="1"/>
              <w:ind w:left="171"/>
              <w:rPr>
                <w:b/>
                <w:sz w:val="18"/>
              </w:rPr>
            </w:pPr>
            <w:r>
              <w:rPr>
                <w:b/>
                <w:sz w:val="18"/>
              </w:rPr>
              <w:t>Norm</w:t>
            </w:r>
          </w:p>
        </w:tc>
        <w:tc>
          <w:tcPr>
            <w:tcW w:w="1535" w:type="dxa"/>
            <w:tcBorders>
              <w:bottom w:val="single" w:sz="2" w:space="0" w:color="00537A"/>
              <w:right w:val="single" w:sz="2" w:space="0" w:color="00537A"/>
            </w:tcBorders>
            <w:shd w:val="clear" w:color="auto" w:fill="BDDDE9"/>
          </w:tcPr>
          <w:p>
            <w:pPr/>
          </w:p>
        </w:tc>
        <w:tc>
          <w:tcPr>
            <w:tcW w:w="4853" w:type="dxa"/>
            <w:gridSpan w:val="3"/>
            <w:tcBorders>
              <w:left w:val="single" w:sz="2" w:space="0" w:color="00537A"/>
              <w:right w:val="single" w:sz="2" w:space="0" w:color="00537A"/>
            </w:tcBorders>
            <w:shd w:val="clear" w:color="auto" w:fill="BDDDE9"/>
          </w:tcPr>
          <w:p>
            <w:pPr>
              <w:pStyle w:val="TableParagraph"/>
              <w:spacing w:before="65"/>
              <w:ind w:left="1354"/>
              <w:rPr>
                <w:b/>
                <w:sz w:val="18"/>
              </w:rPr>
            </w:pPr>
            <w:r>
              <w:rPr>
                <w:b/>
                <w:sz w:val="18"/>
              </w:rPr>
              <w:t>Omschrijving verschillen</w:t>
            </w:r>
          </w:p>
        </w:tc>
        <w:tc>
          <w:tcPr>
            <w:tcW w:w="1635" w:type="dxa"/>
            <w:vMerge w:val="restart"/>
            <w:tcBorders>
              <w:left w:val="single" w:sz="2" w:space="0" w:color="00537A"/>
            </w:tcBorders>
            <w:shd w:val="clear" w:color="auto" w:fill="BDDDE9"/>
          </w:tcPr>
          <w:p>
            <w:pPr>
              <w:pStyle w:val="TableParagraph"/>
              <w:spacing w:line="249" w:lineRule="auto" w:before="65"/>
              <w:ind w:left="175" w:right="530"/>
              <w:jc w:val="both"/>
              <w:rPr>
                <w:b/>
                <w:sz w:val="18"/>
              </w:rPr>
            </w:pPr>
            <w:r>
              <w:rPr>
                <w:b/>
                <w:sz w:val="18"/>
              </w:rPr>
              <w:t>Aanvulling</w:t>
            </w:r>
            <w:r>
              <w:rPr>
                <w:b/>
                <w:w w:val="99"/>
                <w:sz w:val="18"/>
              </w:rPr>
              <w:t> </w:t>
            </w:r>
            <w:r>
              <w:rPr>
                <w:b/>
                <w:sz w:val="18"/>
              </w:rPr>
              <w:t>ProRail op Spoorweg EMC norm</w:t>
            </w:r>
          </w:p>
        </w:tc>
        <w:tc>
          <w:tcPr>
            <w:tcW w:w="3157" w:type="dxa"/>
            <w:vMerge w:val="restart"/>
            <w:shd w:val="clear" w:color="auto" w:fill="BDDDE9"/>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8"/>
              <w:ind w:left="171"/>
              <w:rPr>
                <w:b/>
                <w:sz w:val="18"/>
              </w:rPr>
            </w:pPr>
            <w:r>
              <w:rPr>
                <w:b/>
                <w:sz w:val="18"/>
              </w:rPr>
              <w:t>Bijzonderheden</w:t>
            </w:r>
          </w:p>
        </w:tc>
      </w:tr>
      <w:tr>
        <w:trPr>
          <w:trHeight w:val="648" w:hRule="exact"/>
        </w:trPr>
        <w:tc>
          <w:tcPr>
            <w:tcW w:w="670" w:type="dxa"/>
            <w:vMerge/>
            <w:shd w:val="clear" w:color="auto" w:fill="BDDDE9"/>
          </w:tcPr>
          <w:p>
            <w:pPr/>
          </w:p>
        </w:tc>
        <w:tc>
          <w:tcPr>
            <w:tcW w:w="670" w:type="dxa"/>
            <w:vMerge/>
            <w:shd w:val="clear" w:color="auto" w:fill="BDDDE9"/>
          </w:tcPr>
          <w:p>
            <w:pPr/>
          </w:p>
        </w:tc>
        <w:tc>
          <w:tcPr>
            <w:tcW w:w="1341" w:type="dxa"/>
            <w:vMerge/>
            <w:shd w:val="clear" w:color="auto" w:fill="BDDDE9"/>
          </w:tcPr>
          <w:p>
            <w:pPr/>
          </w:p>
        </w:tc>
        <w:tc>
          <w:tcPr>
            <w:tcW w:w="1535" w:type="dxa"/>
            <w:tcBorders>
              <w:top w:val="single" w:sz="2" w:space="0" w:color="00537A"/>
              <w:right w:val="single" w:sz="2" w:space="0" w:color="00537A"/>
            </w:tcBorders>
            <w:shd w:val="clear" w:color="auto" w:fill="BDDDE9"/>
          </w:tcPr>
          <w:p>
            <w:pPr>
              <w:pStyle w:val="TableParagraph"/>
              <w:spacing w:line="249" w:lineRule="auto" w:before="112"/>
              <w:ind w:left="311" w:right="215" w:hanging="81"/>
              <w:rPr>
                <w:b/>
                <w:sz w:val="18"/>
              </w:rPr>
            </w:pPr>
            <w:r>
              <w:rPr>
                <w:b/>
                <w:sz w:val="18"/>
              </w:rPr>
              <w:t>Residentiële EMC norm</w:t>
            </w:r>
          </w:p>
        </w:tc>
        <w:tc>
          <w:tcPr>
            <w:tcW w:w="1535" w:type="dxa"/>
            <w:tcBorders>
              <w:top w:val="single" w:sz="2" w:space="0" w:color="00537A"/>
              <w:left w:val="single" w:sz="2" w:space="0" w:color="00537A"/>
              <w:right w:val="single" w:sz="2" w:space="0" w:color="00537A"/>
            </w:tcBorders>
            <w:shd w:val="clear" w:color="auto" w:fill="BDDDE9"/>
          </w:tcPr>
          <w:p>
            <w:pPr>
              <w:pStyle w:val="TableParagraph"/>
              <w:spacing w:line="249" w:lineRule="auto" w:before="68"/>
              <w:ind w:left="314" w:right="289" w:hanging="5"/>
              <w:rPr>
                <w:b/>
                <w:sz w:val="18"/>
              </w:rPr>
            </w:pPr>
            <w:r>
              <w:rPr>
                <w:b/>
                <w:sz w:val="18"/>
              </w:rPr>
              <w:t>Industriële EMC norm</w:t>
            </w:r>
          </w:p>
        </w:tc>
        <w:tc>
          <w:tcPr>
            <w:tcW w:w="1635" w:type="dxa"/>
            <w:tcBorders>
              <w:left w:val="single" w:sz="2" w:space="0" w:color="00537A"/>
            </w:tcBorders>
            <w:shd w:val="clear" w:color="auto" w:fill="BDDDE9"/>
          </w:tcPr>
          <w:p>
            <w:pPr>
              <w:pStyle w:val="TableParagraph"/>
              <w:spacing w:line="249" w:lineRule="auto" w:before="65"/>
              <w:ind w:left="365" w:right="341" w:firstLine="15"/>
              <w:rPr>
                <w:b/>
                <w:sz w:val="18"/>
              </w:rPr>
            </w:pPr>
            <w:r>
              <w:rPr>
                <w:b/>
                <w:sz w:val="18"/>
              </w:rPr>
              <w:t>Spoorweg EMC norm</w:t>
            </w:r>
          </w:p>
        </w:tc>
        <w:tc>
          <w:tcPr>
            <w:tcW w:w="1682" w:type="dxa"/>
            <w:tcBorders>
              <w:top w:val="single" w:sz="2" w:space="0" w:color="00537A"/>
              <w:right w:val="single" w:sz="2" w:space="0" w:color="00537A"/>
            </w:tcBorders>
            <w:shd w:val="clear" w:color="auto" w:fill="BDDDE9"/>
          </w:tcPr>
          <w:p>
            <w:pPr>
              <w:pStyle w:val="TableParagraph"/>
              <w:spacing w:line="249" w:lineRule="auto" w:before="68"/>
              <w:ind w:left="385" w:right="368" w:firstLine="15"/>
              <w:rPr>
                <w:b/>
                <w:sz w:val="18"/>
              </w:rPr>
            </w:pPr>
            <w:r>
              <w:rPr>
                <w:b/>
                <w:sz w:val="18"/>
              </w:rPr>
              <w:t>Spoorweg EMC norm</w:t>
            </w:r>
          </w:p>
        </w:tc>
        <w:tc>
          <w:tcPr>
            <w:tcW w:w="1635" w:type="dxa"/>
            <w:vMerge/>
            <w:tcBorders>
              <w:left w:val="single" w:sz="2" w:space="0" w:color="00537A"/>
              <w:bottom w:val="single" w:sz="2" w:space="0" w:color="00537A"/>
            </w:tcBorders>
            <w:shd w:val="clear" w:color="auto" w:fill="BDDDE9"/>
          </w:tcPr>
          <w:p>
            <w:pPr/>
          </w:p>
        </w:tc>
        <w:tc>
          <w:tcPr>
            <w:tcW w:w="3157" w:type="dxa"/>
            <w:vMerge/>
            <w:shd w:val="clear" w:color="auto" w:fill="BDDDE9"/>
          </w:tcPr>
          <w:p>
            <w:pPr/>
          </w:p>
        </w:tc>
      </w:tr>
      <w:tr>
        <w:trPr>
          <w:trHeight w:val="604" w:hRule="exact"/>
        </w:trPr>
        <w:tc>
          <w:tcPr>
            <w:tcW w:w="670" w:type="dxa"/>
            <w:vMerge/>
            <w:shd w:val="clear" w:color="auto" w:fill="BDDDE9"/>
          </w:tcPr>
          <w:p>
            <w:pPr/>
          </w:p>
        </w:tc>
        <w:tc>
          <w:tcPr>
            <w:tcW w:w="670" w:type="dxa"/>
            <w:vMerge/>
            <w:shd w:val="clear" w:color="auto" w:fill="BDDDE9"/>
          </w:tcPr>
          <w:p>
            <w:pPr/>
          </w:p>
        </w:tc>
        <w:tc>
          <w:tcPr>
            <w:tcW w:w="1341" w:type="dxa"/>
            <w:vMerge/>
            <w:shd w:val="clear" w:color="auto" w:fill="BDDDE9"/>
          </w:tcPr>
          <w:p>
            <w:pPr/>
          </w:p>
        </w:tc>
        <w:tc>
          <w:tcPr>
            <w:tcW w:w="1535" w:type="dxa"/>
            <w:tcBorders>
              <w:bottom w:val="single" w:sz="2" w:space="0" w:color="00537A"/>
              <w:right w:val="single" w:sz="2" w:space="0" w:color="00537A"/>
            </w:tcBorders>
            <w:shd w:val="clear" w:color="auto" w:fill="BDDDE9"/>
          </w:tcPr>
          <w:p>
            <w:pPr>
              <w:pStyle w:val="TableParagraph"/>
              <w:spacing w:before="65"/>
              <w:ind w:left="301" w:right="303"/>
              <w:jc w:val="center"/>
              <w:rPr>
                <w:b/>
                <w:sz w:val="18"/>
              </w:rPr>
            </w:pPr>
            <w:r>
              <w:rPr>
                <w:b/>
                <w:sz w:val="18"/>
              </w:rPr>
              <w:t>61000-6-1:</w:t>
            </w:r>
          </w:p>
          <w:p>
            <w:pPr>
              <w:pStyle w:val="TableParagraph"/>
              <w:spacing w:before="8"/>
              <w:ind w:left="301" w:right="302"/>
              <w:jc w:val="center"/>
              <w:rPr>
                <w:b/>
                <w:sz w:val="18"/>
              </w:rPr>
            </w:pPr>
            <w:r>
              <w:rPr>
                <w:b/>
                <w:sz w:val="18"/>
              </w:rPr>
              <w:t>2016</w:t>
            </w:r>
          </w:p>
        </w:tc>
        <w:tc>
          <w:tcPr>
            <w:tcW w:w="1535" w:type="dxa"/>
            <w:tcBorders>
              <w:left w:val="single" w:sz="2" w:space="0" w:color="00537A"/>
              <w:bottom w:val="single" w:sz="2" w:space="0" w:color="00537A"/>
              <w:right w:val="single" w:sz="2" w:space="0" w:color="00537A"/>
            </w:tcBorders>
            <w:shd w:val="clear" w:color="auto" w:fill="BDDDE9"/>
          </w:tcPr>
          <w:p>
            <w:pPr>
              <w:pStyle w:val="TableParagraph"/>
              <w:spacing w:before="65"/>
              <w:ind w:left="301" w:right="301"/>
              <w:jc w:val="center"/>
              <w:rPr>
                <w:b/>
                <w:sz w:val="18"/>
              </w:rPr>
            </w:pPr>
            <w:r>
              <w:rPr>
                <w:b/>
                <w:sz w:val="18"/>
              </w:rPr>
              <w:t>61000-6-2:</w:t>
            </w:r>
          </w:p>
          <w:p>
            <w:pPr>
              <w:pStyle w:val="TableParagraph"/>
              <w:spacing w:before="8"/>
              <w:ind w:left="301" w:right="301"/>
              <w:jc w:val="center"/>
              <w:rPr>
                <w:b/>
                <w:sz w:val="18"/>
              </w:rPr>
            </w:pPr>
            <w:r>
              <w:rPr>
                <w:b/>
                <w:sz w:val="18"/>
              </w:rPr>
              <w:t>2016</w:t>
            </w:r>
          </w:p>
        </w:tc>
        <w:tc>
          <w:tcPr>
            <w:tcW w:w="1635" w:type="dxa"/>
            <w:tcBorders>
              <w:left w:val="single" w:sz="2" w:space="0" w:color="00537A"/>
              <w:bottom w:val="single" w:sz="2" w:space="0" w:color="00537A"/>
            </w:tcBorders>
            <w:shd w:val="clear" w:color="auto" w:fill="BDDDE9"/>
          </w:tcPr>
          <w:p>
            <w:pPr>
              <w:pStyle w:val="TableParagraph"/>
              <w:spacing w:before="65"/>
              <w:ind w:left="229"/>
              <w:rPr>
                <w:b/>
                <w:sz w:val="18"/>
              </w:rPr>
            </w:pPr>
            <w:r>
              <w:rPr>
                <w:b/>
                <w:sz w:val="18"/>
              </w:rPr>
              <w:t>50121-4: 2016</w:t>
            </w:r>
          </w:p>
        </w:tc>
        <w:tc>
          <w:tcPr>
            <w:tcW w:w="1682" w:type="dxa"/>
            <w:tcBorders>
              <w:bottom w:val="single" w:sz="2" w:space="0" w:color="00537A"/>
              <w:right w:val="single" w:sz="2" w:space="0" w:color="00537A"/>
            </w:tcBorders>
            <w:shd w:val="clear" w:color="auto" w:fill="BDDDE9"/>
          </w:tcPr>
          <w:p>
            <w:pPr>
              <w:pStyle w:val="TableParagraph"/>
              <w:spacing w:before="65"/>
              <w:ind w:left="249"/>
              <w:rPr>
                <w:b/>
                <w:sz w:val="18"/>
              </w:rPr>
            </w:pPr>
            <w:r>
              <w:rPr>
                <w:b/>
                <w:sz w:val="18"/>
              </w:rPr>
              <w:t>50121-5: 2017</w:t>
            </w:r>
          </w:p>
        </w:tc>
        <w:tc>
          <w:tcPr>
            <w:tcW w:w="1635" w:type="dxa"/>
            <w:tcBorders>
              <w:top w:val="single" w:sz="2" w:space="0" w:color="00537A"/>
              <w:left w:val="single" w:sz="2" w:space="0" w:color="00537A"/>
              <w:bottom w:val="single" w:sz="2" w:space="0" w:color="00537A"/>
            </w:tcBorders>
            <w:shd w:val="clear" w:color="auto" w:fill="BDDDE9"/>
          </w:tcPr>
          <w:p>
            <w:pPr>
              <w:pStyle w:val="TableParagraph"/>
              <w:spacing w:line="249" w:lineRule="auto" w:before="68"/>
              <w:ind w:left="175" w:right="501"/>
              <w:rPr>
                <w:b/>
                <w:sz w:val="18"/>
              </w:rPr>
            </w:pPr>
            <w:r>
              <w:rPr>
                <w:b/>
                <w:sz w:val="18"/>
              </w:rPr>
              <w:t>RLN00007: 2016</w:t>
            </w:r>
          </w:p>
        </w:tc>
        <w:tc>
          <w:tcPr>
            <w:tcW w:w="3157" w:type="dxa"/>
            <w:vMerge/>
            <w:shd w:val="clear" w:color="auto" w:fill="BDDDE9"/>
          </w:tcPr>
          <w:p>
            <w:pPr/>
          </w:p>
        </w:tc>
      </w:tr>
      <w:tr>
        <w:trPr>
          <w:trHeight w:val="952" w:hRule="exact"/>
        </w:trPr>
        <w:tc>
          <w:tcPr>
            <w:tcW w:w="670" w:type="dxa"/>
            <w:tcBorders>
              <w:bottom w:val="single" w:sz="2" w:space="0" w:color="00537A"/>
            </w:tcBorders>
          </w:tcPr>
          <w:p>
            <w:pPr/>
          </w:p>
        </w:tc>
        <w:tc>
          <w:tcPr>
            <w:tcW w:w="670" w:type="dxa"/>
            <w:tcBorders>
              <w:bottom w:val="single" w:sz="2" w:space="0" w:color="00537A"/>
              <w:right w:val="single" w:sz="2" w:space="0" w:color="00537A"/>
            </w:tcBorders>
          </w:tcPr>
          <w:p>
            <w:pPr>
              <w:pStyle w:val="TableParagraph"/>
              <w:rPr>
                <w:rFonts w:ascii="Times New Roman"/>
                <w:sz w:val="20"/>
              </w:rPr>
            </w:pPr>
          </w:p>
          <w:p>
            <w:pPr>
              <w:pStyle w:val="TableParagraph"/>
              <w:spacing w:before="118"/>
              <w:ind w:left="279"/>
              <w:rPr>
                <w:sz w:val="18"/>
              </w:rPr>
            </w:pPr>
            <w:r>
              <w:rPr>
                <w:w w:val="99"/>
                <w:sz w:val="18"/>
              </w:rPr>
              <w:t>6</w:t>
            </w:r>
          </w:p>
        </w:tc>
        <w:tc>
          <w:tcPr>
            <w:tcW w:w="1341" w:type="dxa"/>
            <w:tcBorders>
              <w:left w:val="single" w:sz="2" w:space="0" w:color="00537A"/>
              <w:bottom w:val="single" w:sz="2" w:space="0" w:color="00537A"/>
              <w:right w:val="single" w:sz="2" w:space="0" w:color="00537A"/>
            </w:tcBorders>
          </w:tcPr>
          <w:p>
            <w:pPr>
              <w:pStyle w:val="TableParagraph"/>
              <w:spacing w:line="180" w:lineRule="exact" w:before="72"/>
              <w:ind w:left="174" w:right="125"/>
              <w:rPr>
                <w:sz w:val="18"/>
              </w:rPr>
            </w:pPr>
            <w:r>
              <w:rPr>
                <w:sz w:val="18"/>
              </w:rPr>
              <w:t>'Pulse magnetic field'</w:t>
            </w:r>
          </w:p>
          <w:p>
            <w:pPr>
              <w:pStyle w:val="TableParagraph"/>
              <w:spacing w:before="34"/>
              <w:ind w:left="174"/>
              <w:rPr>
                <w:sz w:val="18"/>
              </w:rPr>
            </w:pPr>
            <w:r>
              <w:rPr>
                <w:sz w:val="18"/>
              </w:rPr>
              <w:t>61000-4-9</w:t>
            </w:r>
          </w:p>
        </w:tc>
        <w:tc>
          <w:tcPr>
            <w:tcW w:w="1535" w:type="dxa"/>
            <w:tcBorders>
              <w:top w:val="single" w:sz="2" w:space="0" w:color="00537A"/>
              <w:left w:val="single" w:sz="2" w:space="0" w:color="00537A"/>
              <w:bottom w:val="single" w:sz="2" w:space="0" w:color="00537A"/>
              <w:right w:val="single" w:sz="2" w:space="0" w:color="00537A"/>
            </w:tcBorders>
            <w:shd w:val="clear" w:color="auto" w:fill="E2E9BD"/>
          </w:tcPr>
          <w:p>
            <w:pPr>
              <w:pStyle w:val="TableParagraph"/>
              <w:rPr>
                <w:rFonts w:ascii="Times New Roman"/>
                <w:sz w:val="20"/>
              </w:rPr>
            </w:pPr>
          </w:p>
          <w:p>
            <w:pPr>
              <w:pStyle w:val="TableParagraph"/>
              <w:spacing w:before="121"/>
              <w:ind w:left="175"/>
              <w:rPr>
                <w:sz w:val="18"/>
              </w:rPr>
            </w:pPr>
            <w:r>
              <w:rPr>
                <w:sz w:val="18"/>
              </w:rPr>
              <w:t>Geen</w:t>
            </w:r>
          </w:p>
        </w:tc>
        <w:tc>
          <w:tcPr>
            <w:tcW w:w="1535" w:type="dxa"/>
            <w:tcBorders>
              <w:top w:val="single" w:sz="2" w:space="0" w:color="00537A"/>
              <w:left w:val="single" w:sz="2" w:space="0" w:color="00537A"/>
              <w:bottom w:val="single" w:sz="2" w:space="0" w:color="00537A"/>
              <w:right w:val="single" w:sz="2" w:space="0" w:color="00537A"/>
            </w:tcBorders>
            <w:shd w:val="clear" w:color="auto" w:fill="D8F1F2"/>
          </w:tcPr>
          <w:p>
            <w:pPr>
              <w:pStyle w:val="TableParagraph"/>
              <w:rPr>
                <w:rFonts w:ascii="Times New Roman"/>
                <w:sz w:val="20"/>
              </w:rPr>
            </w:pPr>
          </w:p>
          <w:p>
            <w:pPr>
              <w:pStyle w:val="TableParagraph"/>
              <w:spacing w:before="121"/>
              <w:ind w:left="174"/>
              <w:rPr>
                <w:sz w:val="18"/>
              </w:rPr>
            </w:pPr>
            <w:r>
              <w:rPr>
                <w:sz w:val="18"/>
              </w:rPr>
              <w:t>Geen</w:t>
            </w:r>
          </w:p>
        </w:tc>
        <w:tc>
          <w:tcPr>
            <w:tcW w:w="1635" w:type="dxa"/>
            <w:tcBorders>
              <w:top w:val="single" w:sz="2" w:space="0" w:color="00537A"/>
              <w:left w:val="single" w:sz="2" w:space="0" w:color="00537A"/>
              <w:bottom w:val="single" w:sz="2" w:space="0" w:color="00537A"/>
            </w:tcBorders>
            <w:shd w:val="clear" w:color="auto" w:fill="E2E9BD"/>
          </w:tcPr>
          <w:p>
            <w:pPr>
              <w:pStyle w:val="TableParagraph"/>
              <w:rPr>
                <w:rFonts w:ascii="Times New Roman"/>
                <w:sz w:val="20"/>
              </w:rPr>
            </w:pPr>
          </w:p>
          <w:p>
            <w:pPr>
              <w:pStyle w:val="TableParagraph"/>
              <w:spacing w:before="121"/>
              <w:ind w:left="174"/>
              <w:rPr>
                <w:sz w:val="18"/>
              </w:rPr>
            </w:pPr>
            <w:r>
              <w:rPr>
                <w:sz w:val="18"/>
              </w:rPr>
              <w:t>Geen</w:t>
            </w:r>
          </w:p>
        </w:tc>
        <w:tc>
          <w:tcPr>
            <w:tcW w:w="1682" w:type="dxa"/>
            <w:tcBorders>
              <w:top w:val="single" w:sz="2" w:space="0" w:color="00537A"/>
              <w:bottom w:val="single" w:sz="2" w:space="0" w:color="00537A"/>
              <w:right w:val="single" w:sz="2" w:space="0" w:color="00537A"/>
            </w:tcBorders>
            <w:shd w:val="clear" w:color="auto" w:fill="E2E9BD"/>
          </w:tcPr>
          <w:p>
            <w:pPr>
              <w:pStyle w:val="TableParagraph"/>
              <w:rPr>
                <w:rFonts w:ascii="Times New Roman"/>
                <w:sz w:val="20"/>
              </w:rPr>
            </w:pPr>
          </w:p>
          <w:p>
            <w:pPr>
              <w:pStyle w:val="TableParagraph"/>
              <w:spacing w:before="121"/>
              <w:ind w:left="171"/>
              <w:rPr>
                <w:sz w:val="18"/>
              </w:rPr>
            </w:pPr>
            <w:r>
              <w:rPr>
                <w:sz w:val="18"/>
              </w:rPr>
              <w:t>Geen</w:t>
            </w:r>
          </w:p>
        </w:tc>
        <w:tc>
          <w:tcPr>
            <w:tcW w:w="1635" w:type="dxa"/>
            <w:tcBorders>
              <w:top w:val="single" w:sz="2" w:space="0" w:color="00537A"/>
              <w:left w:val="single" w:sz="2" w:space="0" w:color="00537A"/>
              <w:bottom w:val="single" w:sz="2" w:space="0" w:color="00537A"/>
            </w:tcBorders>
            <w:shd w:val="clear" w:color="auto" w:fill="D7AE33"/>
          </w:tcPr>
          <w:p>
            <w:pPr>
              <w:pStyle w:val="TableParagraph"/>
              <w:spacing w:before="9"/>
              <w:rPr>
                <w:rFonts w:ascii="Times New Roman"/>
                <w:sz w:val="24"/>
              </w:rPr>
            </w:pPr>
          </w:p>
          <w:p>
            <w:pPr>
              <w:pStyle w:val="TableParagraph"/>
              <w:spacing w:line="180" w:lineRule="exact"/>
              <w:ind w:left="175" w:right="620"/>
              <w:rPr>
                <w:sz w:val="18"/>
              </w:rPr>
            </w:pPr>
            <w:r>
              <w:rPr>
                <w:sz w:val="18"/>
              </w:rPr>
              <w:t>Geen aanvulling</w:t>
            </w:r>
          </w:p>
        </w:tc>
        <w:tc>
          <w:tcPr>
            <w:tcW w:w="3157" w:type="dxa"/>
            <w:tcBorders>
              <w:bottom w:val="single" w:sz="2" w:space="0" w:color="00537A"/>
            </w:tcBorders>
          </w:tcPr>
          <w:p>
            <w:pPr>
              <w:pStyle w:val="TableParagraph"/>
              <w:spacing w:before="8"/>
              <w:rPr>
                <w:rFonts w:ascii="Times New Roman"/>
                <w:sz w:val="16"/>
              </w:rPr>
            </w:pPr>
          </w:p>
          <w:p>
            <w:pPr>
              <w:pStyle w:val="TableParagraph"/>
              <w:spacing w:line="180" w:lineRule="exact"/>
              <w:ind w:left="172" w:right="201"/>
              <w:rPr>
                <w:sz w:val="18"/>
              </w:rPr>
            </w:pPr>
            <w:r>
              <w:rPr>
                <w:sz w:val="18"/>
              </w:rPr>
              <w:t>Geen verschil; de 61000-4-9 eisen zijn vervallen in de 2016/2017 versie van EN50121</w:t>
            </w:r>
          </w:p>
        </w:tc>
      </w:tr>
      <w:tr>
        <w:trPr>
          <w:trHeight w:val="1132" w:hRule="exact"/>
        </w:trPr>
        <w:tc>
          <w:tcPr>
            <w:tcW w:w="670" w:type="dxa"/>
            <w:vMerge w:val="restart"/>
            <w:tcBorders>
              <w:top w:val="single" w:sz="2" w:space="0" w:color="00537A"/>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18"/>
              </w:rPr>
            </w:pPr>
          </w:p>
          <w:p>
            <w:pPr>
              <w:pStyle w:val="TableParagraph"/>
              <w:spacing w:line="180" w:lineRule="exact"/>
              <w:ind w:left="172" w:right="156"/>
              <w:rPr>
                <w:sz w:val="18"/>
              </w:rPr>
            </w:pPr>
            <w:r>
              <w:rPr>
                <w:sz w:val="18"/>
              </w:rPr>
              <w:t>I/O port</w:t>
            </w:r>
          </w:p>
        </w:tc>
        <w:tc>
          <w:tcPr>
            <w:tcW w:w="670" w:type="dxa"/>
            <w:tcBorders>
              <w:top w:val="single" w:sz="2" w:space="0" w:color="00537A"/>
              <w:right w:val="single" w:sz="2" w:space="0" w:color="00537A"/>
            </w:tcBorders>
          </w:tcPr>
          <w:p>
            <w:pPr>
              <w:pStyle w:val="TableParagraph"/>
              <w:rPr>
                <w:rFonts w:ascii="Times New Roman"/>
                <w:sz w:val="20"/>
              </w:rPr>
            </w:pPr>
          </w:p>
          <w:p>
            <w:pPr>
              <w:pStyle w:val="TableParagraph"/>
              <w:spacing w:before="3"/>
              <w:rPr>
                <w:rFonts w:ascii="Times New Roman"/>
                <w:sz w:val="18"/>
              </w:rPr>
            </w:pPr>
          </w:p>
          <w:p>
            <w:pPr>
              <w:pStyle w:val="TableParagraph"/>
              <w:spacing w:before="1"/>
              <w:ind w:left="279"/>
              <w:rPr>
                <w:sz w:val="18"/>
              </w:rPr>
            </w:pPr>
            <w:r>
              <w:rPr>
                <w:w w:val="99"/>
                <w:sz w:val="18"/>
              </w:rPr>
              <w:t>7</w:t>
            </w:r>
          </w:p>
        </w:tc>
        <w:tc>
          <w:tcPr>
            <w:tcW w:w="1341" w:type="dxa"/>
            <w:tcBorders>
              <w:top w:val="single" w:sz="2" w:space="0" w:color="00537A"/>
              <w:left w:val="single" w:sz="2" w:space="0" w:color="00537A"/>
              <w:right w:val="single" w:sz="2" w:space="0" w:color="00537A"/>
            </w:tcBorders>
          </w:tcPr>
          <w:p>
            <w:pPr>
              <w:pStyle w:val="TableParagraph"/>
              <w:spacing w:line="180" w:lineRule="exact" w:before="75"/>
              <w:ind w:left="174" w:right="125"/>
              <w:rPr>
                <w:sz w:val="18"/>
              </w:rPr>
            </w:pPr>
            <w:r>
              <w:rPr>
                <w:sz w:val="18"/>
              </w:rPr>
              <w:t>'Radio- frequency common mode'</w:t>
            </w:r>
          </w:p>
          <w:p>
            <w:pPr>
              <w:pStyle w:val="TableParagraph"/>
              <w:spacing w:before="34"/>
              <w:ind w:left="174"/>
              <w:rPr>
                <w:sz w:val="18"/>
              </w:rPr>
            </w:pPr>
            <w:r>
              <w:rPr>
                <w:sz w:val="18"/>
              </w:rPr>
              <w:t>61000-4-6</w:t>
            </w:r>
          </w:p>
        </w:tc>
        <w:tc>
          <w:tcPr>
            <w:tcW w:w="1535" w:type="dxa"/>
            <w:tcBorders>
              <w:top w:val="single" w:sz="2" w:space="0" w:color="00537A"/>
              <w:left w:val="single" w:sz="2" w:space="0" w:color="00537A"/>
              <w:right w:val="single" w:sz="2" w:space="0" w:color="00537A"/>
            </w:tcBorders>
            <w:shd w:val="clear" w:color="auto" w:fill="E2E9BD"/>
          </w:tcPr>
          <w:p>
            <w:pPr>
              <w:pStyle w:val="TableParagraph"/>
              <w:rPr>
                <w:rFonts w:ascii="Times New Roman"/>
                <w:sz w:val="20"/>
              </w:rPr>
            </w:pPr>
          </w:p>
          <w:p>
            <w:pPr>
              <w:pStyle w:val="TableParagraph"/>
              <w:spacing w:line="193" w:lineRule="exact" w:before="121"/>
              <w:ind w:left="175"/>
              <w:rPr>
                <w:sz w:val="18"/>
              </w:rPr>
            </w:pPr>
            <w:r>
              <w:rPr>
                <w:sz w:val="18"/>
              </w:rPr>
              <w:t>3V,</w:t>
            </w:r>
          </w:p>
          <w:p>
            <w:pPr>
              <w:pStyle w:val="TableParagraph"/>
              <w:spacing w:line="193" w:lineRule="exact"/>
              <w:ind w:left="175"/>
              <w:rPr>
                <w:sz w:val="18"/>
              </w:rPr>
            </w:pPr>
            <w:r>
              <w:rPr>
                <w:sz w:val="18"/>
              </w:rPr>
              <w:t>0.15-80MHz</w:t>
            </w:r>
          </w:p>
        </w:tc>
        <w:tc>
          <w:tcPr>
            <w:tcW w:w="1535" w:type="dxa"/>
            <w:tcBorders>
              <w:top w:val="single" w:sz="2" w:space="0" w:color="00537A"/>
              <w:left w:val="single" w:sz="2" w:space="0" w:color="00537A"/>
              <w:right w:val="single" w:sz="2" w:space="0" w:color="00537A"/>
            </w:tcBorders>
            <w:shd w:val="clear" w:color="auto" w:fill="D8F1F2"/>
          </w:tcPr>
          <w:p>
            <w:pPr>
              <w:pStyle w:val="TableParagraph"/>
              <w:rPr>
                <w:rFonts w:ascii="Times New Roman"/>
                <w:sz w:val="20"/>
              </w:rPr>
            </w:pPr>
          </w:p>
          <w:p>
            <w:pPr>
              <w:pStyle w:val="TableParagraph"/>
              <w:spacing w:line="193" w:lineRule="exact" w:before="121"/>
              <w:ind w:left="174"/>
              <w:rPr>
                <w:sz w:val="18"/>
              </w:rPr>
            </w:pPr>
            <w:r>
              <w:rPr>
                <w:sz w:val="18"/>
              </w:rPr>
              <w:t>10V,</w:t>
            </w:r>
          </w:p>
          <w:p>
            <w:pPr>
              <w:pStyle w:val="TableParagraph"/>
              <w:spacing w:line="193" w:lineRule="exact"/>
              <w:ind w:left="174"/>
              <w:rPr>
                <w:sz w:val="18"/>
              </w:rPr>
            </w:pPr>
            <w:r>
              <w:rPr>
                <w:sz w:val="18"/>
              </w:rPr>
              <w:t>0.15-80MHz</w:t>
            </w:r>
          </w:p>
        </w:tc>
        <w:tc>
          <w:tcPr>
            <w:tcW w:w="1635" w:type="dxa"/>
            <w:tcBorders>
              <w:top w:val="single" w:sz="2" w:space="0" w:color="00537A"/>
              <w:left w:val="single" w:sz="2" w:space="0" w:color="00537A"/>
            </w:tcBorders>
            <w:shd w:val="clear" w:color="auto" w:fill="E2E9BD"/>
          </w:tcPr>
          <w:p>
            <w:pPr>
              <w:pStyle w:val="TableParagraph"/>
              <w:rPr>
                <w:rFonts w:ascii="Times New Roman"/>
                <w:sz w:val="20"/>
              </w:rPr>
            </w:pPr>
          </w:p>
          <w:p>
            <w:pPr>
              <w:pStyle w:val="TableParagraph"/>
              <w:spacing w:line="193" w:lineRule="exact" w:before="121"/>
              <w:ind w:left="174"/>
              <w:rPr>
                <w:sz w:val="18"/>
              </w:rPr>
            </w:pPr>
            <w:r>
              <w:rPr>
                <w:sz w:val="18"/>
              </w:rPr>
              <w:t>10V,</w:t>
            </w:r>
          </w:p>
          <w:p>
            <w:pPr>
              <w:pStyle w:val="TableParagraph"/>
              <w:spacing w:line="193" w:lineRule="exact"/>
              <w:ind w:left="174"/>
              <w:rPr>
                <w:sz w:val="18"/>
              </w:rPr>
            </w:pPr>
            <w:r>
              <w:rPr>
                <w:sz w:val="18"/>
              </w:rPr>
              <w:t>0.15-80MHz</w:t>
            </w:r>
          </w:p>
        </w:tc>
        <w:tc>
          <w:tcPr>
            <w:tcW w:w="1682" w:type="dxa"/>
            <w:tcBorders>
              <w:top w:val="single" w:sz="2" w:space="0" w:color="00537A"/>
              <w:right w:val="single" w:sz="2" w:space="0" w:color="00537A"/>
            </w:tcBorders>
            <w:shd w:val="clear" w:color="auto" w:fill="E2E9BD"/>
          </w:tcPr>
          <w:p>
            <w:pPr>
              <w:pStyle w:val="TableParagraph"/>
              <w:rPr>
                <w:rFonts w:ascii="Times New Roman"/>
                <w:sz w:val="20"/>
              </w:rPr>
            </w:pPr>
          </w:p>
          <w:p>
            <w:pPr>
              <w:pStyle w:val="TableParagraph"/>
              <w:spacing w:line="193" w:lineRule="exact" w:before="121"/>
              <w:ind w:left="171"/>
              <w:rPr>
                <w:sz w:val="18"/>
              </w:rPr>
            </w:pPr>
            <w:r>
              <w:rPr>
                <w:sz w:val="18"/>
              </w:rPr>
              <w:t>10V,</w:t>
            </w:r>
          </w:p>
          <w:p>
            <w:pPr>
              <w:pStyle w:val="TableParagraph"/>
              <w:spacing w:line="193" w:lineRule="exact"/>
              <w:ind w:left="171"/>
              <w:rPr>
                <w:sz w:val="18"/>
              </w:rPr>
            </w:pPr>
            <w:r>
              <w:rPr>
                <w:sz w:val="18"/>
              </w:rPr>
              <w:t>0.15-80MHz</w:t>
            </w:r>
          </w:p>
        </w:tc>
        <w:tc>
          <w:tcPr>
            <w:tcW w:w="1635" w:type="dxa"/>
            <w:tcBorders>
              <w:top w:val="single" w:sz="2" w:space="0" w:color="00537A"/>
              <w:left w:val="single" w:sz="2" w:space="0" w:color="00537A"/>
            </w:tcBorders>
            <w:shd w:val="clear" w:color="auto" w:fill="D7AE33"/>
          </w:tcPr>
          <w:p>
            <w:pPr>
              <w:pStyle w:val="TableParagraph"/>
              <w:rPr>
                <w:rFonts w:ascii="Times New Roman"/>
                <w:sz w:val="20"/>
              </w:rPr>
            </w:pPr>
          </w:p>
          <w:p>
            <w:pPr>
              <w:pStyle w:val="TableParagraph"/>
              <w:spacing w:line="180" w:lineRule="exact" w:before="145"/>
              <w:ind w:left="175" w:right="620"/>
              <w:rPr>
                <w:sz w:val="18"/>
              </w:rPr>
            </w:pPr>
            <w:r>
              <w:rPr>
                <w:sz w:val="18"/>
              </w:rPr>
              <w:t>Geen aanvulling</w:t>
            </w:r>
          </w:p>
        </w:tc>
        <w:tc>
          <w:tcPr>
            <w:tcW w:w="3157" w:type="dxa"/>
            <w:tcBorders>
              <w:top w:val="single" w:sz="2" w:space="0" w:color="00537A"/>
            </w:tcBorders>
          </w:tcPr>
          <w:p>
            <w:pPr>
              <w:pStyle w:val="TableParagraph"/>
              <w:rPr>
                <w:rFonts w:ascii="Times New Roman"/>
                <w:sz w:val="20"/>
              </w:rPr>
            </w:pPr>
          </w:p>
          <w:p>
            <w:pPr>
              <w:pStyle w:val="TableParagraph"/>
              <w:spacing w:before="3"/>
              <w:rPr>
                <w:rFonts w:ascii="Times New Roman"/>
                <w:sz w:val="18"/>
              </w:rPr>
            </w:pPr>
          </w:p>
          <w:p>
            <w:pPr>
              <w:pStyle w:val="TableParagraph"/>
              <w:spacing w:before="1"/>
              <w:ind w:left="172"/>
              <w:rPr>
                <w:sz w:val="18"/>
              </w:rPr>
            </w:pPr>
            <w:r>
              <w:rPr>
                <w:sz w:val="18"/>
              </w:rPr>
              <w:t>Geen verschil</w:t>
            </w:r>
          </w:p>
        </w:tc>
      </w:tr>
      <w:tr>
        <w:trPr>
          <w:trHeight w:val="952" w:hRule="exact"/>
        </w:trPr>
        <w:tc>
          <w:tcPr>
            <w:tcW w:w="670" w:type="dxa"/>
            <w:vMerge/>
          </w:tcPr>
          <w:p>
            <w:pPr/>
          </w:p>
        </w:tc>
        <w:tc>
          <w:tcPr>
            <w:tcW w:w="670" w:type="dxa"/>
            <w:tcBorders>
              <w:bottom w:val="single" w:sz="2" w:space="0" w:color="00537A"/>
              <w:right w:val="single" w:sz="2" w:space="0" w:color="00537A"/>
            </w:tcBorders>
          </w:tcPr>
          <w:p>
            <w:pPr>
              <w:pStyle w:val="TableParagraph"/>
              <w:rPr>
                <w:rFonts w:ascii="Times New Roman"/>
                <w:sz w:val="20"/>
              </w:rPr>
            </w:pPr>
          </w:p>
          <w:p>
            <w:pPr>
              <w:pStyle w:val="TableParagraph"/>
              <w:spacing w:before="118"/>
              <w:ind w:left="279"/>
              <w:rPr>
                <w:sz w:val="18"/>
              </w:rPr>
            </w:pPr>
            <w:r>
              <w:rPr>
                <w:w w:val="99"/>
                <w:sz w:val="18"/>
              </w:rPr>
              <w:t>8</w:t>
            </w:r>
          </w:p>
        </w:tc>
        <w:tc>
          <w:tcPr>
            <w:tcW w:w="1341" w:type="dxa"/>
            <w:tcBorders>
              <w:left w:val="single" w:sz="2" w:space="0" w:color="00537A"/>
              <w:bottom w:val="single" w:sz="2" w:space="0" w:color="00537A"/>
              <w:right w:val="single" w:sz="2" w:space="0" w:color="00537A"/>
            </w:tcBorders>
          </w:tcPr>
          <w:p>
            <w:pPr>
              <w:pStyle w:val="TableParagraph"/>
              <w:spacing w:line="180" w:lineRule="exact" w:before="72"/>
              <w:ind w:left="174" w:right="125"/>
              <w:rPr>
                <w:sz w:val="18"/>
              </w:rPr>
            </w:pPr>
            <w:r>
              <w:rPr>
                <w:sz w:val="18"/>
              </w:rPr>
              <w:t>'Fast transients (EFT)'</w:t>
            </w:r>
          </w:p>
          <w:p>
            <w:pPr>
              <w:pStyle w:val="TableParagraph"/>
              <w:spacing w:before="34"/>
              <w:ind w:left="174"/>
              <w:rPr>
                <w:sz w:val="18"/>
              </w:rPr>
            </w:pPr>
            <w:r>
              <w:rPr>
                <w:sz w:val="18"/>
              </w:rPr>
              <w:t>61000-4-4</w:t>
            </w:r>
          </w:p>
        </w:tc>
        <w:tc>
          <w:tcPr>
            <w:tcW w:w="1535" w:type="dxa"/>
            <w:tcBorders>
              <w:left w:val="single" w:sz="2" w:space="0" w:color="00537A"/>
              <w:bottom w:val="single" w:sz="2" w:space="0" w:color="00537A"/>
              <w:right w:val="single" w:sz="2" w:space="0" w:color="00537A"/>
            </w:tcBorders>
            <w:shd w:val="clear" w:color="auto" w:fill="E2E9BD"/>
          </w:tcPr>
          <w:p>
            <w:pPr>
              <w:pStyle w:val="TableParagraph"/>
              <w:rPr>
                <w:rFonts w:ascii="Times New Roman"/>
                <w:sz w:val="20"/>
              </w:rPr>
            </w:pPr>
          </w:p>
          <w:p>
            <w:pPr>
              <w:pStyle w:val="TableParagraph"/>
              <w:spacing w:before="118"/>
              <w:ind w:left="175"/>
              <w:rPr>
                <w:sz w:val="18"/>
              </w:rPr>
            </w:pPr>
            <w:r>
              <w:rPr>
                <w:sz w:val="18"/>
              </w:rPr>
              <w:t>±0.5kV (B)</w:t>
            </w:r>
          </w:p>
        </w:tc>
        <w:tc>
          <w:tcPr>
            <w:tcW w:w="1535" w:type="dxa"/>
            <w:tcBorders>
              <w:left w:val="single" w:sz="2" w:space="0" w:color="00537A"/>
              <w:bottom w:val="single" w:sz="2" w:space="0" w:color="00537A"/>
              <w:right w:val="single" w:sz="2" w:space="0" w:color="00537A"/>
            </w:tcBorders>
            <w:shd w:val="clear" w:color="auto" w:fill="D8F1F2"/>
          </w:tcPr>
          <w:p>
            <w:pPr>
              <w:pStyle w:val="TableParagraph"/>
              <w:rPr>
                <w:rFonts w:ascii="Times New Roman"/>
                <w:sz w:val="20"/>
              </w:rPr>
            </w:pPr>
          </w:p>
          <w:p>
            <w:pPr>
              <w:pStyle w:val="TableParagraph"/>
              <w:spacing w:before="118"/>
              <w:ind w:left="174"/>
              <w:rPr>
                <w:sz w:val="18"/>
              </w:rPr>
            </w:pPr>
            <w:r>
              <w:rPr>
                <w:sz w:val="18"/>
              </w:rPr>
              <w:t>±1kV (B)</w:t>
            </w:r>
          </w:p>
        </w:tc>
        <w:tc>
          <w:tcPr>
            <w:tcW w:w="1635" w:type="dxa"/>
            <w:tcBorders>
              <w:left w:val="single" w:sz="2" w:space="0" w:color="00537A"/>
              <w:bottom w:val="single" w:sz="2" w:space="0" w:color="00537A"/>
            </w:tcBorders>
            <w:shd w:val="clear" w:color="auto" w:fill="E2E9BD"/>
          </w:tcPr>
          <w:p>
            <w:pPr>
              <w:pStyle w:val="TableParagraph"/>
              <w:rPr>
                <w:rFonts w:ascii="Times New Roman"/>
                <w:sz w:val="20"/>
              </w:rPr>
            </w:pPr>
          </w:p>
          <w:p>
            <w:pPr>
              <w:pStyle w:val="TableParagraph"/>
              <w:spacing w:before="118"/>
              <w:ind w:left="174"/>
              <w:rPr>
                <w:sz w:val="18"/>
              </w:rPr>
            </w:pPr>
            <w:r>
              <w:rPr>
                <w:sz w:val="18"/>
              </w:rPr>
              <w:t>±2kV (A)</w:t>
            </w:r>
          </w:p>
        </w:tc>
        <w:tc>
          <w:tcPr>
            <w:tcW w:w="1682" w:type="dxa"/>
            <w:tcBorders>
              <w:bottom w:val="single" w:sz="2" w:space="0" w:color="00537A"/>
              <w:right w:val="single" w:sz="2" w:space="0" w:color="00537A"/>
            </w:tcBorders>
            <w:shd w:val="clear" w:color="auto" w:fill="E2E9BD"/>
          </w:tcPr>
          <w:p>
            <w:pPr>
              <w:pStyle w:val="TableParagraph"/>
              <w:rPr>
                <w:rFonts w:ascii="Times New Roman"/>
                <w:sz w:val="20"/>
              </w:rPr>
            </w:pPr>
          </w:p>
          <w:p>
            <w:pPr>
              <w:pStyle w:val="TableParagraph"/>
              <w:spacing w:before="118"/>
              <w:ind w:left="171"/>
              <w:rPr>
                <w:sz w:val="18"/>
              </w:rPr>
            </w:pPr>
            <w:r>
              <w:rPr>
                <w:sz w:val="18"/>
              </w:rPr>
              <w:t>±2kV (A)</w:t>
            </w:r>
          </w:p>
        </w:tc>
        <w:tc>
          <w:tcPr>
            <w:tcW w:w="1635" w:type="dxa"/>
            <w:tcBorders>
              <w:left w:val="single" w:sz="2" w:space="0" w:color="00537A"/>
              <w:bottom w:val="single" w:sz="2" w:space="0" w:color="00537A"/>
            </w:tcBorders>
            <w:shd w:val="clear" w:color="auto" w:fill="D7AE33"/>
          </w:tcPr>
          <w:p>
            <w:pPr>
              <w:pStyle w:val="TableParagraph"/>
              <w:spacing w:line="180" w:lineRule="exact" w:before="72"/>
              <w:ind w:left="175" w:right="350"/>
              <w:rPr>
                <w:sz w:val="18"/>
              </w:rPr>
            </w:pPr>
            <w:r>
              <w:rPr>
                <w:sz w:val="18"/>
              </w:rPr>
              <w:t>Bij interfacing met B-relais</w:t>
            </w:r>
          </w:p>
          <w:p>
            <w:pPr>
              <w:pStyle w:val="TableParagraph"/>
              <w:spacing w:line="182" w:lineRule="exact"/>
              <w:ind w:left="175"/>
              <w:rPr>
                <w:sz w:val="18"/>
              </w:rPr>
            </w:pPr>
            <w:r>
              <w:rPr>
                <w:sz w:val="18"/>
              </w:rPr>
              <w:t>±4kV (A)</w:t>
            </w:r>
          </w:p>
        </w:tc>
        <w:tc>
          <w:tcPr>
            <w:tcW w:w="3157" w:type="dxa"/>
            <w:tcBorders>
              <w:bottom w:val="single" w:sz="2" w:space="0" w:color="00537A"/>
            </w:tcBorders>
          </w:tcPr>
          <w:p>
            <w:pPr>
              <w:pStyle w:val="TableParagraph"/>
              <w:spacing w:before="6"/>
              <w:rPr>
                <w:rFonts w:ascii="Times New Roman"/>
                <w:sz w:val="24"/>
              </w:rPr>
            </w:pPr>
          </w:p>
          <w:p>
            <w:pPr>
              <w:pStyle w:val="TableParagraph"/>
              <w:spacing w:line="180" w:lineRule="exact"/>
              <w:ind w:left="172" w:right="911"/>
              <w:rPr>
                <w:sz w:val="18"/>
              </w:rPr>
            </w:pPr>
            <w:r>
              <w:rPr>
                <w:sz w:val="18"/>
              </w:rPr>
              <w:t>50121 en RLN00007 stelt strengere eisen</w:t>
            </w:r>
          </w:p>
        </w:tc>
      </w:tr>
      <w:tr>
        <w:trPr>
          <w:trHeight w:val="892" w:hRule="exact"/>
        </w:trPr>
        <w:tc>
          <w:tcPr>
            <w:tcW w:w="670" w:type="dxa"/>
            <w:vMerge/>
          </w:tcPr>
          <w:p>
            <w:pPr/>
          </w:p>
        </w:tc>
        <w:tc>
          <w:tcPr>
            <w:tcW w:w="670" w:type="dxa"/>
            <w:tcBorders>
              <w:top w:val="single" w:sz="2" w:space="0" w:color="00537A"/>
              <w:bottom w:val="single" w:sz="2" w:space="0" w:color="00537A"/>
              <w:right w:val="single" w:sz="2" w:space="0" w:color="00537A"/>
            </w:tcBorders>
          </w:tcPr>
          <w:p>
            <w:pPr>
              <w:pStyle w:val="TableParagraph"/>
              <w:spacing w:before="10"/>
              <w:rPr>
                <w:rFonts w:ascii="Times New Roman"/>
                <w:sz w:val="27"/>
              </w:rPr>
            </w:pPr>
          </w:p>
          <w:p>
            <w:pPr>
              <w:pStyle w:val="TableParagraph"/>
              <w:ind w:left="279"/>
              <w:rPr>
                <w:sz w:val="18"/>
              </w:rPr>
            </w:pPr>
            <w:r>
              <w:rPr>
                <w:w w:val="99"/>
                <w:sz w:val="18"/>
              </w:rPr>
              <w:t>9</w:t>
            </w:r>
          </w:p>
        </w:tc>
        <w:tc>
          <w:tcPr>
            <w:tcW w:w="1341" w:type="dxa"/>
            <w:tcBorders>
              <w:top w:val="single" w:sz="2" w:space="0" w:color="00537A"/>
              <w:left w:val="single" w:sz="2" w:space="0" w:color="00537A"/>
              <w:bottom w:val="single" w:sz="2" w:space="0" w:color="00537A"/>
              <w:right w:val="single" w:sz="2" w:space="0" w:color="00537A"/>
            </w:tcBorders>
          </w:tcPr>
          <w:p>
            <w:pPr>
              <w:pStyle w:val="TableParagraph"/>
              <w:spacing w:before="5"/>
              <w:rPr>
                <w:rFonts w:ascii="Times New Roman"/>
                <w:sz w:val="17"/>
              </w:rPr>
            </w:pPr>
          </w:p>
          <w:p>
            <w:pPr>
              <w:pStyle w:val="TableParagraph"/>
              <w:spacing w:line="278" w:lineRule="auto"/>
              <w:ind w:left="174" w:right="337"/>
              <w:rPr>
                <w:sz w:val="18"/>
              </w:rPr>
            </w:pPr>
            <w:r>
              <w:rPr>
                <w:sz w:val="18"/>
              </w:rPr>
              <w:t>'Surges' 61000-4-5</w:t>
            </w:r>
          </w:p>
        </w:tc>
        <w:tc>
          <w:tcPr>
            <w:tcW w:w="1535" w:type="dxa"/>
            <w:tcBorders>
              <w:top w:val="single" w:sz="2" w:space="0" w:color="00537A"/>
              <w:left w:val="single" w:sz="2" w:space="0" w:color="00537A"/>
              <w:bottom w:val="single" w:sz="2" w:space="0" w:color="00537A"/>
              <w:right w:val="single" w:sz="2" w:space="0" w:color="00537A"/>
            </w:tcBorders>
            <w:shd w:val="clear" w:color="auto" w:fill="E2E9BD"/>
          </w:tcPr>
          <w:p>
            <w:pPr>
              <w:pStyle w:val="TableParagraph"/>
              <w:spacing w:before="10"/>
              <w:rPr>
                <w:rFonts w:ascii="Times New Roman"/>
                <w:sz w:val="27"/>
              </w:rPr>
            </w:pPr>
          </w:p>
          <w:p>
            <w:pPr>
              <w:pStyle w:val="TableParagraph"/>
              <w:ind w:left="175"/>
              <w:rPr>
                <w:sz w:val="18"/>
              </w:rPr>
            </w:pPr>
            <w:r>
              <w:rPr>
                <w:sz w:val="18"/>
              </w:rPr>
              <w:t>±1kV CM</w:t>
            </w:r>
          </w:p>
        </w:tc>
        <w:tc>
          <w:tcPr>
            <w:tcW w:w="1535" w:type="dxa"/>
            <w:tcBorders>
              <w:top w:val="single" w:sz="2" w:space="0" w:color="00537A"/>
              <w:left w:val="single" w:sz="2" w:space="0" w:color="00537A"/>
              <w:bottom w:val="single" w:sz="2" w:space="0" w:color="00537A"/>
              <w:right w:val="single" w:sz="2" w:space="0" w:color="00537A"/>
            </w:tcBorders>
            <w:shd w:val="clear" w:color="auto" w:fill="D8F1F2"/>
          </w:tcPr>
          <w:p>
            <w:pPr>
              <w:pStyle w:val="TableParagraph"/>
              <w:spacing w:before="5"/>
              <w:rPr>
                <w:rFonts w:ascii="Times New Roman"/>
                <w:sz w:val="17"/>
              </w:rPr>
            </w:pPr>
          </w:p>
          <w:p>
            <w:pPr>
              <w:pStyle w:val="TableParagraph"/>
              <w:ind w:left="174"/>
              <w:rPr>
                <w:sz w:val="18"/>
              </w:rPr>
            </w:pPr>
            <w:r>
              <w:rPr>
                <w:sz w:val="18"/>
              </w:rPr>
              <w:t>±1kV CM</w:t>
            </w:r>
          </w:p>
          <w:p>
            <w:pPr>
              <w:pStyle w:val="TableParagraph"/>
              <w:spacing w:before="32"/>
              <w:ind w:left="174"/>
              <w:rPr>
                <w:sz w:val="18"/>
              </w:rPr>
            </w:pPr>
            <w:r>
              <w:rPr>
                <w:sz w:val="18"/>
              </w:rPr>
              <w:t>±0.5kV DM</w:t>
            </w:r>
          </w:p>
        </w:tc>
        <w:tc>
          <w:tcPr>
            <w:tcW w:w="1635" w:type="dxa"/>
            <w:tcBorders>
              <w:top w:val="single" w:sz="2" w:space="0" w:color="00537A"/>
              <w:left w:val="single" w:sz="2" w:space="0" w:color="00537A"/>
              <w:bottom w:val="single" w:sz="2" w:space="0" w:color="00537A"/>
            </w:tcBorders>
            <w:shd w:val="clear" w:color="auto" w:fill="E2E9BD"/>
          </w:tcPr>
          <w:p>
            <w:pPr>
              <w:pStyle w:val="TableParagraph"/>
              <w:spacing w:before="5"/>
              <w:rPr>
                <w:rFonts w:ascii="Times New Roman"/>
                <w:sz w:val="17"/>
              </w:rPr>
            </w:pPr>
          </w:p>
          <w:p>
            <w:pPr>
              <w:pStyle w:val="TableParagraph"/>
              <w:ind w:left="174"/>
              <w:rPr>
                <w:sz w:val="18"/>
              </w:rPr>
            </w:pPr>
            <w:r>
              <w:rPr>
                <w:sz w:val="18"/>
              </w:rPr>
              <w:t>±2kV CM</w:t>
            </w:r>
          </w:p>
          <w:p>
            <w:pPr>
              <w:pStyle w:val="TableParagraph"/>
              <w:spacing w:before="32"/>
              <w:ind w:left="174"/>
              <w:rPr>
                <w:sz w:val="18"/>
              </w:rPr>
            </w:pPr>
            <w:r>
              <w:rPr>
                <w:sz w:val="18"/>
              </w:rPr>
              <w:t>±1kV DM</w:t>
            </w:r>
          </w:p>
        </w:tc>
        <w:tc>
          <w:tcPr>
            <w:tcW w:w="1682" w:type="dxa"/>
            <w:tcBorders>
              <w:top w:val="single" w:sz="2" w:space="0" w:color="00537A"/>
              <w:bottom w:val="single" w:sz="2" w:space="0" w:color="00537A"/>
              <w:right w:val="single" w:sz="2" w:space="0" w:color="00537A"/>
            </w:tcBorders>
            <w:shd w:val="clear" w:color="auto" w:fill="E2E9BD"/>
          </w:tcPr>
          <w:p>
            <w:pPr>
              <w:pStyle w:val="TableParagraph"/>
              <w:spacing w:before="5"/>
              <w:rPr>
                <w:rFonts w:ascii="Times New Roman"/>
                <w:sz w:val="17"/>
              </w:rPr>
            </w:pPr>
          </w:p>
          <w:p>
            <w:pPr>
              <w:pStyle w:val="TableParagraph"/>
              <w:ind w:left="171"/>
              <w:rPr>
                <w:sz w:val="18"/>
              </w:rPr>
            </w:pPr>
            <w:r>
              <w:rPr>
                <w:sz w:val="18"/>
              </w:rPr>
              <w:t>±2kV CM</w:t>
            </w:r>
          </w:p>
          <w:p>
            <w:pPr>
              <w:pStyle w:val="TableParagraph"/>
              <w:spacing w:before="32"/>
              <w:ind w:left="171"/>
              <w:rPr>
                <w:sz w:val="18"/>
              </w:rPr>
            </w:pPr>
            <w:r>
              <w:rPr>
                <w:sz w:val="18"/>
              </w:rPr>
              <w:t>±1kV DM</w:t>
            </w:r>
          </w:p>
        </w:tc>
        <w:tc>
          <w:tcPr>
            <w:tcW w:w="1635" w:type="dxa"/>
            <w:tcBorders>
              <w:top w:val="single" w:sz="2" w:space="0" w:color="00537A"/>
              <w:left w:val="single" w:sz="2" w:space="0" w:color="00537A"/>
              <w:bottom w:val="single" w:sz="2" w:space="0" w:color="00537A"/>
            </w:tcBorders>
            <w:shd w:val="clear" w:color="auto" w:fill="D7AE33"/>
          </w:tcPr>
          <w:p>
            <w:pPr>
              <w:pStyle w:val="TableParagraph"/>
              <w:spacing w:line="193" w:lineRule="exact" w:before="50"/>
              <w:ind w:left="175"/>
              <w:rPr>
                <w:sz w:val="18"/>
              </w:rPr>
            </w:pPr>
            <w:r>
              <w:rPr>
                <w:sz w:val="18"/>
              </w:rPr>
              <w:t>±4kV CM/DM</w:t>
            </w:r>
          </w:p>
          <w:p>
            <w:pPr>
              <w:pStyle w:val="TableParagraph"/>
              <w:spacing w:line="180" w:lineRule="exact" w:before="10"/>
              <w:ind w:left="175" w:right="350"/>
              <w:rPr>
                <w:sz w:val="18"/>
              </w:rPr>
            </w:pPr>
            <w:r>
              <w:rPr>
                <w:sz w:val="18"/>
              </w:rPr>
              <w:t>Bij interfacing met TB of spoorstaven</w:t>
            </w:r>
          </w:p>
        </w:tc>
        <w:tc>
          <w:tcPr>
            <w:tcW w:w="3157" w:type="dxa"/>
            <w:tcBorders>
              <w:top w:val="single" w:sz="2" w:space="0" w:color="00537A"/>
              <w:bottom w:val="single" w:sz="2" w:space="0" w:color="00537A"/>
            </w:tcBorders>
          </w:tcPr>
          <w:p>
            <w:pPr>
              <w:pStyle w:val="TableParagraph"/>
              <w:spacing w:before="2"/>
              <w:rPr>
                <w:rFonts w:ascii="Times New Roman"/>
                <w:sz w:val="22"/>
              </w:rPr>
            </w:pPr>
          </w:p>
          <w:p>
            <w:pPr>
              <w:pStyle w:val="TableParagraph"/>
              <w:spacing w:line="180" w:lineRule="exact"/>
              <w:ind w:left="172" w:right="911"/>
              <w:rPr>
                <w:sz w:val="18"/>
              </w:rPr>
            </w:pPr>
            <w:r>
              <w:rPr>
                <w:sz w:val="18"/>
              </w:rPr>
              <w:t>50121 en RLN00007 stelt strengere eisen</w:t>
            </w:r>
          </w:p>
        </w:tc>
      </w:tr>
      <w:tr>
        <w:trPr>
          <w:trHeight w:val="592" w:hRule="exact"/>
        </w:trPr>
        <w:tc>
          <w:tcPr>
            <w:tcW w:w="670" w:type="dxa"/>
            <w:vMerge/>
          </w:tcPr>
          <w:p>
            <w:pPr/>
          </w:p>
        </w:tc>
        <w:tc>
          <w:tcPr>
            <w:tcW w:w="670" w:type="dxa"/>
            <w:tcBorders>
              <w:top w:val="single" w:sz="2" w:space="0" w:color="00537A"/>
              <w:bottom w:val="single" w:sz="2" w:space="0" w:color="00537A"/>
              <w:right w:val="single" w:sz="2" w:space="0" w:color="00537A"/>
            </w:tcBorders>
          </w:tcPr>
          <w:p>
            <w:pPr>
              <w:pStyle w:val="TableParagraph"/>
              <w:spacing w:before="170"/>
              <w:ind w:left="229"/>
              <w:rPr>
                <w:sz w:val="18"/>
              </w:rPr>
            </w:pPr>
            <w:r>
              <w:rPr>
                <w:sz w:val="18"/>
              </w:rPr>
              <w:t>10</w:t>
            </w:r>
          </w:p>
        </w:tc>
        <w:tc>
          <w:tcPr>
            <w:tcW w:w="1341" w:type="dxa"/>
            <w:tcBorders>
              <w:top w:val="single" w:sz="2" w:space="0" w:color="00537A"/>
              <w:left w:val="single" w:sz="2" w:space="0" w:color="00537A"/>
              <w:bottom w:val="single" w:sz="2" w:space="0" w:color="00537A"/>
              <w:right w:val="single" w:sz="2" w:space="0" w:color="00537A"/>
            </w:tcBorders>
          </w:tcPr>
          <w:p>
            <w:pPr>
              <w:pStyle w:val="TableParagraph"/>
              <w:spacing w:line="278" w:lineRule="auto" w:before="50"/>
              <w:ind w:left="174" w:right="237"/>
              <w:rPr>
                <w:sz w:val="18"/>
              </w:rPr>
            </w:pPr>
            <w:r>
              <w:rPr>
                <w:sz w:val="18"/>
              </w:rPr>
              <w:t>'Ring wave' 61000-4-12</w:t>
            </w:r>
          </w:p>
        </w:tc>
        <w:tc>
          <w:tcPr>
            <w:tcW w:w="1535" w:type="dxa"/>
            <w:tcBorders>
              <w:top w:val="single" w:sz="2" w:space="0" w:color="00537A"/>
              <w:left w:val="single" w:sz="2" w:space="0" w:color="00537A"/>
              <w:bottom w:val="single" w:sz="2" w:space="0" w:color="00537A"/>
              <w:right w:val="single" w:sz="2" w:space="0" w:color="00537A"/>
            </w:tcBorders>
            <w:shd w:val="clear" w:color="auto" w:fill="E2E9BD"/>
          </w:tcPr>
          <w:p>
            <w:pPr>
              <w:pStyle w:val="TableParagraph"/>
              <w:spacing w:before="170"/>
              <w:ind w:left="175"/>
              <w:rPr>
                <w:sz w:val="18"/>
              </w:rPr>
            </w:pPr>
            <w:r>
              <w:rPr>
                <w:sz w:val="18"/>
              </w:rPr>
              <w:t>Geen</w:t>
            </w:r>
          </w:p>
        </w:tc>
        <w:tc>
          <w:tcPr>
            <w:tcW w:w="1535" w:type="dxa"/>
            <w:tcBorders>
              <w:top w:val="single" w:sz="2" w:space="0" w:color="00537A"/>
              <w:left w:val="single" w:sz="2" w:space="0" w:color="00537A"/>
              <w:bottom w:val="single" w:sz="2" w:space="0" w:color="00537A"/>
              <w:right w:val="single" w:sz="2" w:space="0" w:color="00537A"/>
            </w:tcBorders>
            <w:shd w:val="clear" w:color="auto" w:fill="D8F1F2"/>
          </w:tcPr>
          <w:p>
            <w:pPr>
              <w:pStyle w:val="TableParagraph"/>
              <w:spacing w:before="170"/>
              <w:ind w:left="174"/>
              <w:rPr>
                <w:sz w:val="18"/>
              </w:rPr>
            </w:pPr>
            <w:r>
              <w:rPr>
                <w:sz w:val="18"/>
              </w:rPr>
              <w:t>Geen</w:t>
            </w:r>
          </w:p>
        </w:tc>
        <w:tc>
          <w:tcPr>
            <w:tcW w:w="1635" w:type="dxa"/>
            <w:tcBorders>
              <w:top w:val="single" w:sz="2" w:space="0" w:color="00537A"/>
              <w:left w:val="single" w:sz="2" w:space="0" w:color="00537A"/>
              <w:bottom w:val="single" w:sz="2" w:space="0" w:color="00537A"/>
            </w:tcBorders>
            <w:shd w:val="clear" w:color="auto" w:fill="E2E9BD"/>
          </w:tcPr>
          <w:p>
            <w:pPr>
              <w:pStyle w:val="TableParagraph"/>
              <w:spacing w:before="170"/>
              <w:ind w:left="174"/>
              <w:rPr>
                <w:sz w:val="18"/>
              </w:rPr>
            </w:pPr>
            <w:r>
              <w:rPr>
                <w:sz w:val="18"/>
              </w:rPr>
              <w:t>Geen</w:t>
            </w:r>
          </w:p>
        </w:tc>
        <w:tc>
          <w:tcPr>
            <w:tcW w:w="1682" w:type="dxa"/>
            <w:tcBorders>
              <w:top w:val="single" w:sz="2" w:space="0" w:color="00537A"/>
              <w:bottom w:val="single" w:sz="2" w:space="0" w:color="00537A"/>
              <w:right w:val="single" w:sz="2" w:space="0" w:color="00537A"/>
            </w:tcBorders>
            <w:shd w:val="clear" w:color="auto" w:fill="E2E9BD"/>
          </w:tcPr>
          <w:p>
            <w:pPr>
              <w:pStyle w:val="TableParagraph"/>
              <w:spacing w:before="50"/>
              <w:ind w:left="171"/>
              <w:rPr>
                <w:sz w:val="18"/>
              </w:rPr>
            </w:pPr>
            <w:r>
              <w:rPr>
                <w:sz w:val="18"/>
              </w:rPr>
              <w:t>±2.5 kV CM</w:t>
            </w:r>
          </w:p>
          <w:p>
            <w:pPr>
              <w:pStyle w:val="TableParagraph"/>
              <w:spacing w:before="32"/>
              <w:ind w:left="171"/>
              <w:rPr>
                <w:sz w:val="18"/>
              </w:rPr>
            </w:pPr>
            <w:r>
              <w:rPr>
                <w:sz w:val="18"/>
              </w:rPr>
              <w:t>±1kV DM (B)</w:t>
            </w:r>
          </w:p>
        </w:tc>
        <w:tc>
          <w:tcPr>
            <w:tcW w:w="1635" w:type="dxa"/>
            <w:tcBorders>
              <w:top w:val="single" w:sz="2" w:space="0" w:color="00537A"/>
              <w:left w:val="single" w:sz="2" w:space="0" w:color="00537A"/>
              <w:bottom w:val="single" w:sz="2" w:space="0" w:color="00537A"/>
            </w:tcBorders>
            <w:shd w:val="clear" w:color="auto" w:fill="D7AE33"/>
          </w:tcPr>
          <w:p>
            <w:pPr>
              <w:pStyle w:val="TableParagraph"/>
              <w:spacing w:line="180" w:lineRule="exact" w:before="105"/>
              <w:ind w:left="175" w:right="620"/>
              <w:rPr>
                <w:sz w:val="18"/>
              </w:rPr>
            </w:pPr>
            <w:r>
              <w:rPr>
                <w:sz w:val="18"/>
              </w:rPr>
              <w:t>Geen aanvulling</w:t>
            </w:r>
          </w:p>
        </w:tc>
        <w:tc>
          <w:tcPr>
            <w:tcW w:w="3157" w:type="dxa"/>
            <w:tcBorders>
              <w:top w:val="single" w:sz="2" w:space="0" w:color="00537A"/>
              <w:bottom w:val="single" w:sz="2" w:space="0" w:color="00537A"/>
            </w:tcBorders>
          </w:tcPr>
          <w:p>
            <w:pPr>
              <w:pStyle w:val="TableParagraph"/>
              <w:spacing w:before="170"/>
              <w:ind w:left="172"/>
              <w:rPr>
                <w:sz w:val="18"/>
              </w:rPr>
            </w:pPr>
            <w:r>
              <w:rPr>
                <w:sz w:val="18"/>
              </w:rPr>
              <w:t>50121-5 stelt strengere eisen</w:t>
            </w:r>
          </w:p>
        </w:tc>
      </w:tr>
      <w:tr>
        <w:trPr>
          <w:trHeight w:val="535" w:hRule="exact"/>
        </w:trPr>
        <w:tc>
          <w:tcPr>
            <w:tcW w:w="670" w:type="dxa"/>
            <w:vMerge w:val="restart"/>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line="193" w:lineRule="exact" w:before="160"/>
              <w:ind w:left="172"/>
              <w:rPr>
                <w:sz w:val="18"/>
              </w:rPr>
            </w:pPr>
            <w:r>
              <w:rPr>
                <w:sz w:val="18"/>
              </w:rPr>
              <w:t>DC</w:t>
            </w:r>
          </w:p>
          <w:p>
            <w:pPr>
              <w:pStyle w:val="TableParagraph"/>
              <w:spacing w:line="193" w:lineRule="exact"/>
              <w:ind w:left="172"/>
              <w:rPr>
                <w:sz w:val="18"/>
              </w:rPr>
            </w:pPr>
            <w:r>
              <w:rPr>
                <w:sz w:val="18"/>
              </w:rPr>
              <w:t>port</w:t>
            </w:r>
          </w:p>
        </w:tc>
        <w:tc>
          <w:tcPr>
            <w:tcW w:w="670" w:type="dxa"/>
            <w:tcBorders>
              <w:top w:val="single" w:sz="2" w:space="0" w:color="00537A"/>
              <w:bottom w:val="single" w:sz="2" w:space="0" w:color="00537A"/>
              <w:right w:val="single" w:sz="2" w:space="0" w:color="00537A"/>
            </w:tcBorders>
          </w:tcPr>
          <w:p>
            <w:pPr>
              <w:pStyle w:val="TableParagraph"/>
              <w:spacing w:before="140"/>
              <w:ind w:left="229"/>
              <w:rPr>
                <w:sz w:val="18"/>
              </w:rPr>
            </w:pPr>
            <w:r>
              <w:rPr>
                <w:sz w:val="18"/>
              </w:rPr>
              <w:t>11</w:t>
            </w:r>
          </w:p>
        </w:tc>
        <w:tc>
          <w:tcPr>
            <w:tcW w:w="1341" w:type="dxa"/>
            <w:tcBorders>
              <w:top w:val="single" w:sz="2" w:space="0" w:color="00537A"/>
              <w:left w:val="single" w:sz="2" w:space="0" w:color="00537A"/>
              <w:bottom w:val="single" w:sz="2" w:space="0" w:color="00537A"/>
              <w:right w:val="single" w:sz="2" w:space="0" w:color="00537A"/>
            </w:tcBorders>
          </w:tcPr>
          <w:p>
            <w:pPr>
              <w:pStyle w:val="TableParagraph"/>
              <w:spacing w:before="140"/>
              <w:ind w:left="174"/>
              <w:rPr>
                <w:sz w:val="18"/>
              </w:rPr>
            </w:pPr>
            <w:r>
              <w:rPr>
                <w:sz w:val="18"/>
              </w:rPr>
              <w:t>61000-4-6</w:t>
            </w:r>
          </w:p>
        </w:tc>
        <w:tc>
          <w:tcPr>
            <w:tcW w:w="1535" w:type="dxa"/>
            <w:tcBorders>
              <w:top w:val="single" w:sz="2" w:space="0" w:color="00537A"/>
              <w:left w:val="single" w:sz="2" w:space="0" w:color="00537A"/>
              <w:bottom w:val="single" w:sz="2" w:space="0" w:color="00537A"/>
              <w:right w:val="single" w:sz="2" w:space="0" w:color="00537A"/>
            </w:tcBorders>
            <w:shd w:val="clear" w:color="auto" w:fill="E2E9BD"/>
          </w:tcPr>
          <w:p>
            <w:pPr>
              <w:pStyle w:val="TableParagraph"/>
              <w:spacing w:line="193" w:lineRule="exact" w:before="50"/>
              <w:ind w:left="175"/>
              <w:rPr>
                <w:sz w:val="18"/>
              </w:rPr>
            </w:pPr>
            <w:r>
              <w:rPr>
                <w:sz w:val="18"/>
              </w:rPr>
              <w:t>3V,</w:t>
            </w:r>
          </w:p>
          <w:p>
            <w:pPr>
              <w:pStyle w:val="TableParagraph"/>
              <w:spacing w:line="193" w:lineRule="exact"/>
              <w:ind w:left="175"/>
              <w:rPr>
                <w:sz w:val="18"/>
              </w:rPr>
            </w:pPr>
            <w:r>
              <w:rPr>
                <w:sz w:val="18"/>
              </w:rPr>
              <w:t>0.15-80MHz</w:t>
            </w:r>
          </w:p>
        </w:tc>
        <w:tc>
          <w:tcPr>
            <w:tcW w:w="1535" w:type="dxa"/>
            <w:tcBorders>
              <w:top w:val="single" w:sz="2" w:space="0" w:color="00537A"/>
              <w:left w:val="single" w:sz="2" w:space="0" w:color="00537A"/>
              <w:bottom w:val="single" w:sz="2" w:space="0" w:color="00537A"/>
              <w:right w:val="single" w:sz="2" w:space="0" w:color="00537A"/>
            </w:tcBorders>
            <w:shd w:val="clear" w:color="auto" w:fill="D8F1F2"/>
          </w:tcPr>
          <w:p>
            <w:pPr>
              <w:pStyle w:val="TableParagraph"/>
              <w:spacing w:line="193" w:lineRule="exact" w:before="50"/>
              <w:ind w:left="174"/>
              <w:rPr>
                <w:sz w:val="18"/>
              </w:rPr>
            </w:pPr>
            <w:r>
              <w:rPr>
                <w:sz w:val="18"/>
              </w:rPr>
              <w:t>10V,</w:t>
            </w:r>
          </w:p>
          <w:p>
            <w:pPr>
              <w:pStyle w:val="TableParagraph"/>
              <w:spacing w:line="193" w:lineRule="exact"/>
              <w:ind w:left="174"/>
              <w:rPr>
                <w:sz w:val="18"/>
              </w:rPr>
            </w:pPr>
            <w:r>
              <w:rPr>
                <w:sz w:val="18"/>
              </w:rPr>
              <w:t>0.15-80MHz</w:t>
            </w:r>
          </w:p>
        </w:tc>
        <w:tc>
          <w:tcPr>
            <w:tcW w:w="1635" w:type="dxa"/>
            <w:tcBorders>
              <w:top w:val="single" w:sz="2" w:space="0" w:color="00537A"/>
              <w:left w:val="single" w:sz="2" w:space="0" w:color="00537A"/>
              <w:bottom w:val="single" w:sz="2" w:space="0" w:color="00537A"/>
            </w:tcBorders>
            <w:shd w:val="clear" w:color="auto" w:fill="E2E9BD"/>
          </w:tcPr>
          <w:p>
            <w:pPr>
              <w:pStyle w:val="TableParagraph"/>
              <w:spacing w:line="193" w:lineRule="exact" w:before="50"/>
              <w:ind w:left="174"/>
              <w:rPr>
                <w:sz w:val="18"/>
              </w:rPr>
            </w:pPr>
            <w:r>
              <w:rPr>
                <w:sz w:val="18"/>
              </w:rPr>
              <w:t>10V,</w:t>
            </w:r>
          </w:p>
          <w:p>
            <w:pPr>
              <w:pStyle w:val="TableParagraph"/>
              <w:spacing w:line="193" w:lineRule="exact"/>
              <w:ind w:left="174"/>
              <w:rPr>
                <w:sz w:val="18"/>
              </w:rPr>
            </w:pPr>
            <w:r>
              <w:rPr>
                <w:sz w:val="18"/>
              </w:rPr>
              <w:t>0.15-80MHz</w:t>
            </w:r>
          </w:p>
        </w:tc>
        <w:tc>
          <w:tcPr>
            <w:tcW w:w="1682" w:type="dxa"/>
            <w:tcBorders>
              <w:top w:val="single" w:sz="2" w:space="0" w:color="00537A"/>
              <w:bottom w:val="single" w:sz="2" w:space="0" w:color="00537A"/>
              <w:right w:val="single" w:sz="2" w:space="0" w:color="00537A"/>
            </w:tcBorders>
            <w:shd w:val="clear" w:color="auto" w:fill="E2E9BD"/>
          </w:tcPr>
          <w:p>
            <w:pPr>
              <w:pStyle w:val="TableParagraph"/>
              <w:spacing w:line="193" w:lineRule="exact" w:before="50"/>
              <w:ind w:left="171"/>
              <w:rPr>
                <w:sz w:val="18"/>
              </w:rPr>
            </w:pPr>
            <w:r>
              <w:rPr>
                <w:sz w:val="18"/>
              </w:rPr>
              <w:t>10V,</w:t>
            </w:r>
          </w:p>
          <w:p>
            <w:pPr>
              <w:pStyle w:val="TableParagraph"/>
              <w:spacing w:line="193" w:lineRule="exact"/>
              <w:ind w:left="171"/>
              <w:rPr>
                <w:sz w:val="18"/>
              </w:rPr>
            </w:pPr>
            <w:r>
              <w:rPr>
                <w:sz w:val="18"/>
              </w:rPr>
              <w:t>0.15-80MHz</w:t>
            </w:r>
          </w:p>
        </w:tc>
        <w:tc>
          <w:tcPr>
            <w:tcW w:w="1635" w:type="dxa"/>
            <w:tcBorders>
              <w:top w:val="single" w:sz="2" w:space="0" w:color="00537A"/>
              <w:left w:val="single" w:sz="2" w:space="0" w:color="00537A"/>
              <w:bottom w:val="single" w:sz="2" w:space="0" w:color="00537A"/>
            </w:tcBorders>
            <w:shd w:val="clear" w:color="auto" w:fill="D7AE33"/>
          </w:tcPr>
          <w:p>
            <w:pPr>
              <w:pStyle w:val="TableParagraph"/>
              <w:spacing w:line="180" w:lineRule="exact" w:before="75"/>
              <w:ind w:left="175" w:right="620"/>
              <w:rPr>
                <w:sz w:val="18"/>
              </w:rPr>
            </w:pPr>
            <w:r>
              <w:rPr>
                <w:sz w:val="18"/>
              </w:rPr>
              <w:t>Geen aanvulling</w:t>
            </w:r>
          </w:p>
        </w:tc>
        <w:tc>
          <w:tcPr>
            <w:tcW w:w="3157" w:type="dxa"/>
            <w:tcBorders>
              <w:top w:val="single" w:sz="2" w:space="0" w:color="00537A"/>
              <w:bottom w:val="single" w:sz="2" w:space="0" w:color="00537A"/>
            </w:tcBorders>
          </w:tcPr>
          <w:p>
            <w:pPr>
              <w:pStyle w:val="TableParagraph"/>
              <w:spacing w:before="140"/>
              <w:ind w:left="172"/>
              <w:rPr>
                <w:sz w:val="18"/>
              </w:rPr>
            </w:pPr>
            <w:r>
              <w:rPr>
                <w:sz w:val="18"/>
              </w:rPr>
              <w:t>Geen verschil</w:t>
            </w:r>
          </w:p>
        </w:tc>
      </w:tr>
      <w:tr>
        <w:trPr>
          <w:trHeight w:val="709" w:hRule="exact"/>
        </w:trPr>
        <w:tc>
          <w:tcPr>
            <w:tcW w:w="670" w:type="dxa"/>
            <w:vMerge/>
          </w:tcPr>
          <w:p>
            <w:pPr/>
          </w:p>
        </w:tc>
        <w:tc>
          <w:tcPr>
            <w:tcW w:w="670" w:type="dxa"/>
            <w:tcBorders>
              <w:top w:val="single" w:sz="2" w:space="0" w:color="00537A"/>
              <w:bottom w:val="single" w:sz="2" w:space="0" w:color="00537A"/>
              <w:right w:val="single" w:sz="2" w:space="0" w:color="00537A"/>
            </w:tcBorders>
          </w:tcPr>
          <w:p>
            <w:pPr>
              <w:pStyle w:val="TableParagraph"/>
              <w:spacing w:before="9"/>
              <w:rPr>
                <w:rFonts w:ascii="Times New Roman"/>
                <w:sz w:val="19"/>
              </w:rPr>
            </w:pPr>
          </w:p>
          <w:p>
            <w:pPr>
              <w:pStyle w:val="TableParagraph"/>
              <w:ind w:left="229"/>
              <w:rPr>
                <w:sz w:val="18"/>
              </w:rPr>
            </w:pPr>
            <w:r>
              <w:rPr>
                <w:sz w:val="18"/>
              </w:rPr>
              <w:t>12</w:t>
            </w:r>
          </w:p>
        </w:tc>
        <w:tc>
          <w:tcPr>
            <w:tcW w:w="1341" w:type="dxa"/>
            <w:tcBorders>
              <w:top w:val="single" w:sz="2" w:space="0" w:color="00537A"/>
              <w:left w:val="single" w:sz="2" w:space="0" w:color="00537A"/>
              <w:bottom w:val="single" w:sz="2" w:space="0" w:color="00537A"/>
              <w:right w:val="single" w:sz="2" w:space="0" w:color="00537A"/>
            </w:tcBorders>
          </w:tcPr>
          <w:p>
            <w:pPr>
              <w:pStyle w:val="TableParagraph"/>
              <w:spacing w:before="9"/>
              <w:rPr>
                <w:rFonts w:ascii="Times New Roman"/>
                <w:sz w:val="19"/>
              </w:rPr>
            </w:pPr>
          </w:p>
          <w:p>
            <w:pPr>
              <w:pStyle w:val="TableParagraph"/>
              <w:ind w:left="174"/>
              <w:rPr>
                <w:sz w:val="18"/>
              </w:rPr>
            </w:pPr>
            <w:r>
              <w:rPr>
                <w:sz w:val="18"/>
              </w:rPr>
              <w:t>61000-4-4</w:t>
            </w:r>
          </w:p>
        </w:tc>
        <w:tc>
          <w:tcPr>
            <w:tcW w:w="1535" w:type="dxa"/>
            <w:tcBorders>
              <w:top w:val="single" w:sz="2" w:space="0" w:color="00537A"/>
              <w:left w:val="single" w:sz="2" w:space="0" w:color="00537A"/>
              <w:bottom w:val="single" w:sz="2" w:space="0" w:color="00537A"/>
              <w:right w:val="single" w:sz="2" w:space="0" w:color="00537A"/>
            </w:tcBorders>
            <w:shd w:val="clear" w:color="auto" w:fill="E2E9BD"/>
          </w:tcPr>
          <w:p>
            <w:pPr>
              <w:pStyle w:val="TableParagraph"/>
              <w:spacing w:before="9"/>
              <w:rPr>
                <w:rFonts w:ascii="Times New Roman"/>
                <w:sz w:val="19"/>
              </w:rPr>
            </w:pPr>
          </w:p>
          <w:p>
            <w:pPr>
              <w:pStyle w:val="TableParagraph"/>
              <w:ind w:left="175"/>
              <w:rPr>
                <w:sz w:val="18"/>
              </w:rPr>
            </w:pPr>
            <w:r>
              <w:rPr>
                <w:sz w:val="18"/>
              </w:rPr>
              <w:t>±0.5kV (B)</w:t>
            </w:r>
          </w:p>
        </w:tc>
        <w:tc>
          <w:tcPr>
            <w:tcW w:w="1535" w:type="dxa"/>
            <w:tcBorders>
              <w:top w:val="single" w:sz="2" w:space="0" w:color="00537A"/>
              <w:left w:val="single" w:sz="2" w:space="0" w:color="00537A"/>
              <w:bottom w:val="single" w:sz="2" w:space="0" w:color="00537A"/>
              <w:right w:val="single" w:sz="2" w:space="0" w:color="00537A"/>
            </w:tcBorders>
            <w:shd w:val="clear" w:color="auto" w:fill="D8F1F2"/>
          </w:tcPr>
          <w:p>
            <w:pPr>
              <w:pStyle w:val="TableParagraph"/>
              <w:spacing w:before="9"/>
              <w:rPr>
                <w:rFonts w:ascii="Times New Roman"/>
                <w:sz w:val="19"/>
              </w:rPr>
            </w:pPr>
          </w:p>
          <w:p>
            <w:pPr>
              <w:pStyle w:val="TableParagraph"/>
              <w:ind w:left="174"/>
              <w:rPr>
                <w:sz w:val="18"/>
              </w:rPr>
            </w:pPr>
            <w:r>
              <w:rPr>
                <w:sz w:val="18"/>
              </w:rPr>
              <w:t>±1kV (B)</w:t>
            </w:r>
          </w:p>
        </w:tc>
        <w:tc>
          <w:tcPr>
            <w:tcW w:w="1635" w:type="dxa"/>
            <w:tcBorders>
              <w:top w:val="single" w:sz="2" w:space="0" w:color="00537A"/>
              <w:left w:val="single" w:sz="2" w:space="0" w:color="00537A"/>
              <w:bottom w:val="single" w:sz="2" w:space="0" w:color="00537A"/>
            </w:tcBorders>
            <w:shd w:val="clear" w:color="auto" w:fill="E2E9BD"/>
          </w:tcPr>
          <w:p>
            <w:pPr>
              <w:pStyle w:val="TableParagraph"/>
              <w:spacing w:before="9"/>
              <w:rPr>
                <w:rFonts w:ascii="Times New Roman"/>
                <w:sz w:val="19"/>
              </w:rPr>
            </w:pPr>
          </w:p>
          <w:p>
            <w:pPr>
              <w:pStyle w:val="TableParagraph"/>
              <w:ind w:left="174"/>
              <w:rPr>
                <w:sz w:val="18"/>
              </w:rPr>
            </w:pPr>
            <w:r>
              <w:rPr>
                <w:sz w:val="18"/>
              </w:rPr>
              <w:t>±2kV (A)</w:t>
            </w:r>
          </w:p>
        </w:tc>
        <w:tc>
          <w:tcPr>
            <w:tcW w:w="1682" w:type="dxa"/>
            <w:tcBorders>
              <w:top w:val="single" w:sz="2" w:space="0" w:color="00537A"/>
              <w:bottom w:val="single" w:sz="2" w:space="0" w:color="00537A"/>
              <w:right w:val="single" w:sz="2" w:space="0" w:color="00537A"/>
            </w:tcBorders>
            <w:shd w:val="clear" w:color="auto" w:fill="E2E9BD"/>
          </w:tcPr>
          <w:p>
            <w:pPr>
              <w:pStyle w:val="TableParagraph"/>
              <w:spacing w:before="9"/>
              <w:rPr>
                <w:rFonts w:ascii="Times New Roman"/>
                <w:sz w:val="19"/>
              </w:rPr>
            </w:pPr>
          </w:p>
          <w:p>
            <w:pPr>
              <w:pStyle w:val="TableParagraph"/>
              <w:ind w:left="171"/>
              <w:rPr>
                <w:sz w:val="18"/>
              </w:rPr>
            </w:pPr>
            <w:r>
              <w:rPr>
                <w:sz w:val="18"/>
              </w:rPr>
              <w:t>±4kV (A)</w:t>
            </w:r>
          </w:p>
        </w:tc>
        <w:tc>
          <w:tcPr>
            <w:tcW w:w="1635" w:type="dxa"/>
            <w:tcBorders>
              <w:top w:val="single" w:sz="2" w:space="0" w:color="00537A"/>
              <w:left w:val="single" w:sz="2" w:space="0" w:color="00537A"/>
              <w:bottom w:val="single" w:sz="2" w:space="0" w:color="00537A"/>
            </w:tcBorders>
            <w:shd w:val="clear" w:color="auto" w:fill="D7AE33"/>
          </w:tcPr>
          <w:p>
            <w:pPr>
              <w:pStyle w:val="TableParagraph"/>
              <w:spacing w:line="180" w:lineRule="exact" w:before="72"/>
              <w:ind w:left="175" w:right="350"/>
              <w:rPr>
                <w:sz w:val="18"/>
              </w:rPr>
            </w:pPr>
            <w:r>
              <w:rPr>
                <w:sz w:val="18"/>
              </w:rPr>
              <w:t>Bij interfacing met B-relais</w:t>
            </w:r>
          </w:p>
          <w:p>
            <w:pPr>
              <w:pStyle w:val="TableParagraph"/>
              <w:spacing w:line="182" w:lineRule="exact"/>
              <w:ind w:left="175"/>
              <w:rPr>
                <w:sz w:val="18"/>
              </w:rPr>
            </w:pPr>
            <w:r>
              <w:rPr>
                <w:sz w:val="18"/>
              </w:rPr>
              <w:t>±4kV (A)</w:t>
            </w:r>
          </w:p>
        </w:tc>
        <w:tc>
          <w:tcPr>
            <w:tcW w:w="3157" w:type="dxa"/>
            <w:tcBorders>
              <w:top w:val="single" w:sz="2" w:space="0" w:color="00537A"/>
              <w:bottom w:val="single" w:sz="2" w:space="0" w:color="00537A"/>
            </w:tcBorders>
          </w:tcPr>
          <w:p>
            <w:pPr>
              <w:pStyle w:val="TableParagraph"/>
              <w:spacing w:line="193" w:lineRule="exact" w:before="137"/>
              <w:ind w:left="172"/>
              <w:rPr>
                <w:sz w:val="18"/>
              </w:rPr>
            </w:pPr>
            <w:r>
              <w:rPr>
                <w:sz w:val="18"/>
              </w:rPr>
              <w:t>50121-4, 50121-5 en RLN00007</w:t>
            </w:r>
          </w:p>
          <w:p>
            <w:pPr>
              <w:pStyle w:val="TableParagraph"/>
              <w:spacing w:line="193" w:lineRule="exact"/>
              <w:ind w:left="172"/>
              <w:rPr>
                <w:sz w:val="18"/>
              </w:rPr>
            </w:pPr>
            <w:r>
              <w:rPr>
                <w:sz w:val="18"/>
              </w:rPr>
              <w:t>stelt strengere eisen</w:t>
            </w:r>
          </w:p>
        </w:tc>
      </w:tr>
      <w:tr>
        <w:trPr>
          <w:trHeight w:val="892" w:hRule="exact"/>
        </w:trPr>
        <w:tc>
          <w:tcPr>
            <w:tcW w:w="670" w:type="dxa"/>
            <w:vMerge/>
            <w:tcBorders>
              <w:bottom w:val="single" w:sz="2" w:space="0" w:color="00537A"/>
            </w:tcBorders>
          </w:tcPr>
          <w:p>
            <w:pPr/>
          </w:p>
        </w:tc>
        <w:tc>
          <w:tcPr>
            <w:tcW w:w="670" w:type="dxa"/>
            <w:tcBorders>
              <w:top w:val="single" w:sz="2" w:space="0" w:color="00537A"/>
              <w:right w:val="single" w:sz="2" w:space="0" w:color="00537A"/>
            </w:tcBorders>
          </w:tcPr>
          <w:p>
            <w:pPr>
              <w:pStyle w:val="TableParagraph"/>
              <w:spacing w:before="10"/>
              <w:rPr>
                <w:rFonts w:ascii="Times New Roman"/>
                <w:sz w:val="27"/>
              </w:rPr>
            </w:pPr>
          </w:p>
          <w:p>
            <w:pPr>
              <w:pStyle w:val="TableParagraph"/>
              <w:ind w:left="229"/>
              <w:rPr>
                <w:sz w:val="18"/>
              </w:rPr>
            </w:pPr>
            <w:r>
              <w:rPr>
                <w:sz w:val="18"/>
              </w:rPr>
              <w:t>13</w:t>
            </w:r>
          </w:p>
        </w:tc>
        <w:tc>
          <w:tcPr>
            <w:tcW w:w="1341" w:type="dxa"/>
            <w:tcBorders>
              <w:top w:val="single" w:sz="2" w:space="0" w:color="00537A"/>
              <w:left w:val="single" w:sz="2" w:space="0" w:color="00537A"/>
              <w:right w:val="single" w:sz="2" w:space="0" w:color="00537A"/>
            </w:tcBorders>
          </w:tcPr>
          <w:p>
            <w:pPr>
              <w:pStyle w:val="TableParagraph"/>
              <w:spacing w:before="10"/>
              <w:rPr>
                <w:rFonts w:ascii="Times New Roman"/>
                <w:sz w:val="27"/>
              </w:rPr>
            </w:pPr>
          </w:p>
          <w:p>
            <w:pPr>
              <w:pStyle w:val="TableParagraph"/>
              <w:ind w:left="174"/>
              <w:rPr>
                <w:sz w:val="18"/>
              </w:rPr>
            </w:pPr>
            <w:r>
              <w:rPr>
                <w:sz w:val="18"/>
              </w:rPr>
              <w:t>61000-4-5</w:t>
            </w:r>
          </w:p>
        </w:tc>
        <w:tc>
          <w:tcPr>
            <w:tcW w:w="1535" w:type="dxa"/>
            <w:tcBorders>
              <w:top w:val="single" w:sz="2" w:space="0" w:color="00537A"/>
              <w:left w:val="single" w:sz="2" w:space="0" w:color="00537A"/>
              <w:right w:val="single" w:sz="2" w:space="0" w:color="00537A"/>
            </w:tcBorders>
            <w:shd w:val="clear" w:color="auto" w:fill="E2E9BD"/>
          </w:tcPr>
          <w:p>
            <w:pPr>
              <w:pStyle w:val="TableParagraph"/>
              <w:spacing w:before="5"/>
              <w:rPr>
                <w:rFonts w:ascii="Times New Roman"/>
                <w:sz w:val="17"/>
              </w:rPr>
            </w:pPr>
          </w:p>
          <w:p>
            <w:pPr>
              <w:pStyle w:val="TableParagraph"/>
              <w:ind w:left="175"/>
              <w:rPr>
                <w:sz w:val="18"/>
              </w:rPr>
            </w:pPr>
            <w:r>
              <w:rPr>
                <w:sz w:val="18"/>
              </w:rPr>
              <w:t>±1kV CM</w:t>
            </w:r>
          </w:p>
          <w:p>
            <w:pPr>
              <w:pStyle w:val="TableParagraph"/>
              <w:spacing w:before="32"/>
              <w:ind w:left="175"/>
              <w:rPr>
                <w:sz w:val="18"/>
              </w:rPr>
            </w:pPr>
            <w:r>
              <w:rPr>
                <w:sz w:val="18"/>
              </w:rPr>
              <w:t>±0.5kV DM</w:t>
            </w:r>
          </w:p>
        </w:tc>
        <w:tc>
          <w:tcPr>
            <w:tcW w:w="1535" w:type="dxa"/>
            <w:tcBorders>
              <w:top w:val="single" w:sz="2" w:space="0" w:color="00537A"/>
              <w:left w:val="single" w:sz="2" w:space="0" w:color="00537A"/>
              <w:right w:val="single" w:sz="2" w:space="0" w:color="00537A"/>
            </w:tcBorders>
            <w:shd w:val="clear" w:color="auto" w:fill="D8F1F2"/>
          </w:tcPr>
          <w:p>
            <w:pPr>
              <w:pStyle w:val="TableParagraph"/>
              <w:spacing w:before="5"/>
              <w:rPr>
                <w:rFonts w:ascii="Times New Roman"/>
                <w:sz w:val="17"/>
              </w:rPr>
            </w:pPr>
          </w:p>
          <w:p>
            <w:pPr>
              <w:pStyle w:val="TableParagraph"/>
              <w:ind w:left="174"/>
              <w:rPr>
                <w:sz w:val="18"/>
              </w:rPr>
            </w:pPr>
            <w:r>
              <w:rPr>
                <w:sz w:val="18"/>
              </w:rPr>
              <w:t>±1kV CM</w:t>
            </w:r>
          </w:p>
          <w:p>
            <w:pPr>
              <w:pStyle w:val="TableParagraph"/>
              <w:spacing w:before="32"/>
              <w:ind w:left="174"/>
              <w:rPr>
                <w:sz w:val="18"/>
              </w:rPr>
            </w:pPr>
            <w:r>
              <w:rPr>
                <w:sz w:val="18"/>
              </w:rPr>
              <w:t>±0.5kV DM</w:t>
            </w:r>
          </w:p>
        </w:tc>
        <w:tc>
          <w:tcPr>
            <w:tcW w:w="1635" w:type="dxa"/>
            <w:tcBorders>
              <w:top w:val="single" w:sz="2" w:space="0" w:color="00537A"/>
              <w:left w:val="single" w:sz="2" w:space="0" w:color="00537A"/>
            </w:tcBorders>
            <w:shd w:val="clear" w:color="auto" w:fill="E2E9BD"/>
          </w:tcPr>
          <w:p>
            <w:pPr>
              <w:pStyle w:val="TableParagraph"/>
              <w:spacing w:before="5"/>
              <w:rPr>
                <w:rFonts w:ascii="Times New Roman"/>
                <w:sz w:val="17"/>
              </w:rPr>
            </w:pPr>
          </w:p>
          <w:p>
            <w:pPr>
              <w:pStyle w:val="TableParagraph"/>
              <w:ind w:left="174"/>
              <w:rPr>
                <w:sz w:val="18"/>
              </w:rPr>
            </w:pPr>
            <w:r>
              <w:rPr>
                <w:sz w:val="18"/>
              </w:rPr>
              <w:t>±2kV CM</w:t>
            </w:r>
          </w:p>
          <w:p>
            <w:pPr>
              <w:pStyle w:val="TableParagraph"/>
              <w:spacing w:before="32"/>
              <w:ind w:left="174"/>
              <w:rPr>
                <w:sz w:val="18"/>
              </w:rPr>
            </w:pPr>
            <w:r>
              <w:rPr>
                <w:sz w:val="18"/>
              </w:rPr>
              <w:t>±1kV DM</w:t>
            </w:r>
          </w:p>
        </w:tc>
        <w:tc>
          <w:tcPr>
            <w:tcW w:w="1682" w:type="dxa"/>
            <w:tcBorders>
              <w:top w:val="single" w:sz="2" w:space="0" w:color="00537A"/>
              <w:right w:val="single" w:sz="2" w:space="0" w:color="00537A"/>
            </w:tcBorders>
            <w:shd w:val="clear" w:color="auto" w:fill="E2E9BD"/>
          </w:tcPr>
          <w:p>
            <w:pPr>
              <w:pStyle w:val="TableParagraph"/>
              <w:spacing w:before="5"/>
              <w:rPr>
                <w:rFonts w:ascii="Times New Roman"/>
                <w:sz w:val="17"/>
              </w:rPr>
            </w:pPr>
          </w:p>
          <w:p>
            <w:pPr>
              <w:pStyle w:val="TableParagraph"/>
              <w:ind w:left="171"/>
              <w:rPr>
                <w:sz w:val="18"/>
              </w:rPr>
            </w:pPr>
            <w:r>
              <w:rPr>
                <w:sz w:val="18"/>
              </w:rPr>
              <w:t>±2kV CM</w:t>
            </w:r>
          </w:p>
          <w:p>
            <w:pPr>
              <w:pStyle w:val="TableParagraph"/>
              <w:spacing w:before="32"/>
              <w:ind w:left="171"/>
              <w:rPr>
                <w:sz w:val="18"/>
              </w:rPr>
            </w:pPr>
            <w:r>
              <w:rPr>
                <w:sz w:val="18"/>
              </w:rPr>
              <w:t>±1kV DM</w:t>
            </w:r>
          </w:p>
        </w:tc>
        <w:tc>
          <w:tcPr>
            <w:tcW w:w="1635" w:type="dxa"/>
            <w:tcBorders>
              <w:top w:val="single" w:sz="2" w:space="0" w:color="00537A"/>
              <w:left w:val="single" w:sz="2" w:space="0" w:color="00537A"/>
            </w:tcBorders>
            <w:shd w:val="clear" w:color="auto" w:fill="D7AE33"/>
          </w:tcPr>
          <w:p>
            <w:pPr>
              <w:pStyle w:val="TableParagraph"/>
              <w:spacing w:line="193" w:lineRule="exact" w:before="50"/>
              <w:ind w:left="175"/>
              <w:rPr>
                <w:sz w:val="18"/>
              </w:rPr>
            </w:pPr>
            <w:r>
              <w:rPr>
                <w:sz w:val="18"/>
              </w:rPr>
              <w:t>±4kV CM/DM</w:t>
            </w:r>
          </w:p>
          <w:p>
            <w:pPr>
              <w:pStyle w:val="TableParagraph"/>
              <w:spacing w:line="180" w:lineRule="exact" w:before="10"/>
              <w:ind w:left="175" w:right="350"/>
              <w:rPr>
                <w:sz w:val="18"/>
              </w:rPr>
            </w:pPr>
            <w:r>
              <w:rPr>
                <w:sz w:val="18"/>
              </w:rPr>
              <w:t>Bij interfacing met TB of spoorstaven</w:t>
            </w:r>
          </w:p>
        </w:tc>
        <w:tc>
          <w:tcPr>
            <w:tcW w:w="3157" w:type="dxa"/>
            <w:tcBorders>
              <w:top w:val="single" w:sz="2" w:space="0" w:color="00537A"/>
            </w:tcBorders>
          </w:tcPr>
          <w:p>
            <w:pPr>
              <w:pStyle w:val="TableParagraph"/>
              <w:rPr>
                <w:rFonts w:ascii="Times New Roman"/>
                <w:sz w:val="20"/>
              </w:rPr>
            </w:pPr>
          </w:p>
          <w:p>
            <w:pPr>
              <w:pStyle w:val="TableParagraph"/>
              <w:spacing w:line="193" w:lineRule="exact" w:before="1"/>
              <w:ind w:left="172"/>
              <w:rPr>
                <w:sz w:val="18"/>
              </w:rPr>
            </w:pPr>
            <w:r>
              <w:rPr>
                <w:sz w:val="18"/>
              </w:rPr>
              <w:t>50121-4, 50121-5 en RLN00007</w:t>
            </w:r>
          </w:p>
          <w:p>
            <w:pPr>
              <w:pStyle w:val="TableParagraph"/>
              <w:spacing w:line="193" w:lineRule="exact"/>
              <w:ind w:left="172"/>
              <w:rPr>
                <w:sz w:val="18"/>
              </w:rPr>
            </w:pPr>
            <w:r>
              <w:rPr>
                <w:sz w:val="18"/>
              </w:rPr>
              <w:t>stelt strengere eisen</w:t>
            </w:r>
          </w:p>
        </w:tc>
      </w:tr>
      <w:tr>
        <w:trPr>
          <w:trHeight w:val="532" w:hRule="exact"/>
        </w:trPr>
        <w:tc>
          <w:tcPr>
            <w:tcW w:w="670" w:type="dxa"/>
            <w:tcBorders>
              <w:top w:val="single" w:sz="2" w:space="0" w:color="00537A"/>
              <w:bottom w:val="nil"/>
            </w:tcBorders>
          </w:tcPr>
          <w:p>
            <w:pPr>
              <w:pStyle w:val="TableParagraph"/>
              <w:spacing w:line="193" w:lineRule="exact" w:before="93"/>
              <w:ind w:left="172"/>
              <w:rPr>
                <w:sz w:val="18"/>
              </w:rPr>
            </w:pPr>
            <w:r>
              <w:rPr>
                <w:sz w:val="18"/>
              </w:rPr>
              <w:t>AC</w:t>
            </w:r>
          </w:p>
          <w:p>
            <w:pPr>
              <w:pStyle w:val="TableParagraph"/>
              <w:spacing w:line="193" w:lineRule="exact"/>
              <w:ind w:left="172"/>
              <w:rPr>
                <w:sz w:val="18"/>
              </w:rPr>
            </w:pPr>
            <w:r>
              <w:rPr>
                <w:sz w:val="18"/>
              </w:rPr>
              <w:t>port</w:t>
            </w:r>
          </w:p>
        </w:tc>
        <w:tc>
          <w:tcPr>
            <w:tcW w:w="670" w:type="dxa"/>
            <w:tcBorders>
              <w:right w:val="single" w:sz="2" w:space="0" w:color="00537A"/>
            </w:tcBorders>
          </w:tcPr>
          <w:p>
            <w:pPr>
              <w:pStyle w:val="TableParagraph"/>
              <w:spacing w:before="137"/>
              <w:ind w:left="229"/>
              <w:rPr>
                <w:sz w:val="18"/>
              </w:rPr>
            </w:pPr>
            <w:r>
              <w:rPr>
                <w:sz w:val="18"/>
              </w:rPr>
              <w:t>14</w:t>
            </w:r>
          </w:p>
        </w:tc>
        <w:tc>
          <w:tcPr>
            <w:tcW w:w="1341" w:type="dxa"/>
            <w:tcBorders>
              <w:left w:val="single" w:sz="2" w:space="0" w:color="00537A"/>
              <w:right w:val="single" w:sz="2" w:space="0" w:color="00537A"/>
            </w:tcBorders>
          </w:tcPr>
          <w:p>
            <w:pPr>
              <w:pStyle w:val="TableParagraph"/>
              <w:spacing w:before="137"/>
              <w:ind w:left="174"/>
              <w:rPr>
                <w:sz w:val="18"/>
              </w:rPr>
            </w:pPr>
            <w:r>
              <w:rPr>
                <w:sz w:val="18"/>
              </w:rPr>
              <w:t>61000-4-6</w:t>
            </w:r>
          </w:p>
        </w:tc>
        <w:tc>
          <w:tcPr>
            <w:tcW w:w="1535" w:type="dxa"/>
            <w:tcBorders>
              <w:left w:val="single" w:sz="2" w:space="0" w:color="00537A"/>
              <w:right w:val="single" w:sz="2" w:space="0" w:color="00537A"/>
            </w:tcBorders>
            <w:shd w:val="clear" w:color="auto" w:fill="E2E9BD"/>
          </w:tcPr>
          <w:p>
            <w:pPr>
              <w:pStyle w:val="TableParagraph"/>
              <w:spacing w:line="193" w:lineRule="exact" w:before="47"/>
              <w:ind w:left="175"/>
              <w:rPr>
                <w:sz w:val="18"/>
              </w:rPr>
            </w:pPr>
            <w:r>
              <w:rPr>
                <w:sz w:val="18"/>
              </w:rPr>
              <w:t>3V,</w:t>
            </w:r>
          </w:p>
          <w:p>
            <w:pPr>
              <w:pStyle w:val="TableParagraph"/>
              <w:spacing w:line="193" w:lineRule="exact"/>
              <w:ind w:left="175"/>
              <w:rPr>
                <w:sz w:val="18"/>
              </w:rPr>
            </w:pPr>
            <w:r>
              <w:rPr>
                <w:sz w:val="18"/>
              </w:rPr>
              <w:t>0.15-80MHz</w:t>
            </w:r>
          </w:p>
        </w:tc>
        <w:tc>
          <w:tcPr>
            <w:tcW w:w="1535" w:type="dxa"/>
            <w:tcBorders>
              <w:left w:val="single" w:sz="2" w:space="0" w:color="00537A"/>
              <w:right w:val="single" w:sz="2" w:space="0" w:color="00537A"/>
            </w:tcBorders>
            <w:shd w:val="clear" w:color="auto" w:fill="D8F1F2"/>
          </w:tcPr>
          <w:p>
            <w:pPr>
              <w:pStyle w:val="TableParagraph"/>
              <w:spacing w:line="193" w:lineRule="exact" w:before="47"/>
              <w:ind w:left="174"/>
              <w:rPr>
                <w:sz w:val="18"/>
              </w:rPr>
            </w:pPr>
            <w:r>
              <w:rPr>
                <w:sz w:val="18"/>
              </w:rPr>
              <w:t>10V,</w:t>
            </w:r>
          </w:p>
          <w:p>
            <w:pPr>
              <w:pStyle w:val="TableParagraph"/>
              <w:spacing w:line="193" w:lineRule="exact"/>
              <w:ind w:left="174"/>
              <w:rPr>
                <w:sz w:val="18"/>
              </w:rPr>
            </w:pPr>
            <w:r>
              <w:rPr>
                <w:sz w:val="18"/>
              </w:rPr>
              <w:t>0.15-80MHz</w:t>
            </w:r>
          </w:p>
        </w:tc>
        <w:tc>
          <w:tcPr>
            <w:tcW w:w="1635" w:type="dxa"/>
            <w:tcBorders>
              <w:left w:val="single" w:sz="2" w:space="0" w:color="00537A"/>
            </w:tcBorders>
            <w:shd w:val="clear" w:color="auto" w:fill="E2E9BD"/>
          </w:tcPr>
          <w:p>
            <w:pPr>
              <w:pStyle w:val="TableParagraph"/>
              <w:spacing w:line="193" w:lineRule="exact" w:before="47"/>
              <w:ind w:left="174"/>
              <w:rPr>
                <w:sz w:val="18"/>
              </w:rPr>
            </w:pPr>
            <w:r>
              <w:rPr>
                <w:sz w:val="18"/>
              </w:rPr>
              <w:t>10V,</w:t>
            </w:r>
          </w:p>
          <w:p>
            <w:pPr>
              <w:pStyle w:val="TableParagraph"/>
              <w:spacing w:line="193" w:lineRule="exact"/>
              <w:ind w:left="174"/>
              <w:rPr>
                <w:sz w:val="18"/>
              </w:rPr>
            </w:pPr>
            <w:r>
              <w:rPr>
                <w:sz w:val="18"/>
              </w:rPr>
              <w:t>0.15-80MHz</w:t>
            </w:r>
          </w:p>
        </w:tc>
        <w:tc>
          <w:tcPr>
            <w:tcW w:w="1682" w:type="dxa"/>
            <w:tcBorders>
              <w:right w:val="single" w:sz="2" w:space="0" w:color="00537A"/>
            </w:tcBorders>
            <w:shd w:val="clear" w:color="auto" w:fill="E2E9BD"/>
          </w:tcPr>
          <w:p>
            <w:pPr>
              <w:pStyle w:val="TableParagraph"/>
              <w:spacing w:line="193" w:lineRule="exact" w:before="47"/>
              <w:ind w:left="171"/>
              <w:rPr>
                <w:sz w:val="18"/>
              </w:rPr>
            </w:pPr>
            <w:r>
              <w:rPr>
                <w:sz w:val="18"/>
              </w:rPr>
              <w:t>10V,</w:t>
            </w:r>
          </w:p>
          <w:p>
            <w:pPr>
              <w:pStyle w:val="TableParagraph"/>
              <w:spacing w:line="193" w:lineRule="exact"/>
              <w:ind w:left="171"/>
              <w:rPr>
                <w:sz w:val="18"/>
              </w:rPr>
            </w:pPr>
            <w:r>
              <w:rPr>
                <w:sz w:val="18"/>
              </w:rPr>
              <w:t>0.15-80MHz</w:t>
            </w:r>
          </w:p>
        </w:tc>
        <w:tc>
          <w:tcPr>
            <w:tcW w:w="1635" w:type="dxa"/>
            <w:tcBorders>
              <w:left w:val="single" w:sz="2" w:space="0" w:color="00537A"/>
            </w:tcBorders>
            <w:shd w:val="clear" w:color="auto" w:fill="D7AE33"/>
          </w:tcPr>
          <w:p>
            <w:pPr>
              <w:pStyle w:val="TableParagraph"/>
              <w:spacing w:line="180" w:lineRule="exact" w:before="72"/>
              <w:ind w:left="175" w:right="620"/>
              <w:rPr>
                <w:sz w:val="18"/>
              </w:rPr>
            </w:pPr>
            <w:r>
              <w:rPr>
                <w:sz w:val="18"/>
              </w:rPr>
              <w:t>Geen aanvulling</w:t>
            </w:r>
          </w:p>
        </w:tc>
        <w:tc>
          <w:tcPr>
            <w:tcW w:w="3157" w:type="dxa"/>
          </w:tcPr>
          <w:p>
            <w:pPr>
              <w:pStyle w:val="TableParagraph"/>
              <w:spacing w:before="137"/>
              <w:ind w:left="172"/>
              <w:rPr>
                <w:sz w:val="18"/>
              </w:rPr>
            </w:pPr>
            <w:r>
              <w:rPr>
                <w:sz w:val="18"/>
              </w:rPr>
              <w:t>Geen verschil</w:t>
            </w:r>
          </w:p>
        </w:tc>
      </w:tr>
    </w:tbl>
    <w:p>
      <w:pPr>
        <w:spacing w:after="0"/>
        <w:rPr>
          <w:sz w:val="18"/>
        </w:rPr>
        <w:sectPr>
          <w:pgSz w:w="16840" w:h="11910" w:orient="landscape"/>
          <w:pgMar w:header="588" w:footer="312" w:top="920" w:bottom="500" w:left="1020" w:right="1020"/>
        </w:sectPr>
      </w:pPr>
    </w:p>
    <w:p>
      <w:pPr>
        <w:pStyle w:val="BodyText"/>
        <w:rPr>
          <w:rFonts w:ascii="Times New Roman"/>
        </w:rPr>
      </w:pPr>
    </w:p>
    <w:p>
      <w:pPr>
        <w:pStyle w:val="BodyText"/>
        <w:spacing w:before="3" w:after="1"/>
        <w:rPr>
          <w:rFonts w:ascii="Times New Roman"/>
          <w:sz w:val="21"/>
        </w:rPr>
      </w:pPr>
    </w:p>
    <w:tbl>
      <w:tblPr>
        <w:tblW w:w="0" w:type="auto"/>
        <w:jc w:val="left"/>
        <w:tblInd w:w="816" w:type="dxa"/>
        <w:tblBorders>
          <w:top w:val="single" w:sz="5" w:space="0" w:color="00537A"/>
          <w:left w:val="single" w:sz="5" w:space="0" w:color="00537A"/>
          <w:bottom w:val="single" w:sz="5" w:space="0" w:color="00537A"/>
          <w:right w:val="single" w:sz="5" w:space="0" w:color="00537A"/>
          <w:insideH w:val="single" w:sz="5" w:space="0" w:color="00537A"/>
          <w:insideV w:val="single" w:sz="5" w:space="0" w:color="00537A"/>
        </w:tblBorders>
        <w:tblLayout w:type="fixed"/>
        <w:tblCellMar>
          <w:top w:w="0" w:type="dxa"/>
          <w:left w:w="0" w:type="dxa"/>
          <w:bottom w:w="0" w:type="dxa"/>
          <w:right w:w="0" w:type="dxa"/>
        </w:tblCellMar>
        <w:tblLook w:val="01E0"/>
      </w:tblPr>
      <w:tblGrid>
        <w:gridCol w:w="670"/>
        <w:gridCol w:w="670"/>
        <w:gridCol w:w="1341"/>
        <w:gridCol w:w="1538"/>
        <w:gridCol w:w="1532"/>
        <w:gridCol w:w="1635"/>
        <w:gridCol w:w="1682"/>
        <w:gridCol w:w="1635"/>
        <w:gridCol w:w="3157"/>
      </w:tblGrid>
      <w:tr>
        <w:trPr>
          <w:trHeight w:val="388" w:hRule="exact"/>
        </w:trPr>
        <w:tc>
          <w:tcPr>
            <w:tcW w:w="670" w:type="dxa"/>
            <w:vMerge w:val="restart"/>
            <w:shd w:val="clear" w:color="auto" w:fill="BDDDE9"/>
          </w:tcPr>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0"/>
              </w:rPr>
            </w:pPr>
          </w:p>
          <w:p>
            <w:pPr>
              <w:pStyle w:val="TableParagraph"/>
              <w:spacing w:before="1"/>
              <w:ind w:left="149"/>
              <w:rPr>
                <w:b/>
                <w:sz w:val="18"/>
              </w:rPr>
            </w:pPr>
            <w:r>
              <w:rPr>
                <w:b/>
                <w:sz w:val="18"/>
              </w:rPr>
              <w:t>Port</w:t>
            </w:r>
          </w:p>
        </w:tc>
        <w:tc>
          <w:tcPr>
            <w:tcW w:w="670" w:type="dxa"/>
            <w:vMerge w:val="restart"/>
            <w:shd w:val="clear" w:color="auto" w:fill="BDDDE9"/>
          </w:tcPr>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0"/>
              </w:rPr>
            </w:pPr>
          </w:p>
          <w:p>
            <w:pPr>
              <w:pStyle w:val="TableParagraph"/>
              <w:spacing w:before="1"/>
              <w:ind w:left="209"/>
              <w:rPr>
                <w:b/>
                <w:sz w:val="18"/>
              </w:rPr>
            </w:pPr>
            <w:r>
              <w:rPr>
                <w:b/>
                <w:sz w:val="18"/>
              </w:rPr>
              <w:t>Nr.</w:t>
            </w:r>
          </w:p>
        </w:tc>
        <w:tc>
          <w:tcPr>
            <w:tcW w:w="1341" w:type="dxa"/>
            <w:vMerge w:val="restart"/>
            <w:shd w:val="clear" w:color="auto" w:fill="BDDDE9"/>
          </w:tcPr>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0"/>
              </w:rPr>
            </w:pPr>
          </w:p>
          <w:p>
            <w:pPr>
              <w:pStyle w:val="TableParagraph"/>
              <w:spacing w:before="1"/>
              <w:ind w:left="171"/>
              <w:rPr>
                <w:b/>
                <w:sz w:val="18"/>
              </w:rPr>
            </w:pPr>
            <w:r>
              <w:rPr>
                <w:b/>
                <w:sz w:val="18"/>
              </w:rPr>
              <w:t>Norm</w:t>
            </w:r>
          </w:p>
        </w:tc>
        <w:tc>
          <w:tcPr>
            <w:tcW w:w="1538" w:type="dxa"/>
            <w:tcBorders>
              <w:bottom w:val="single" w:sz="2" w:space="0" w:color="00537A"/>
              <w:right w:val="single" w:sz="2" w:space="0" w:color="00537A"/>
            </w:tcBorders>
            <w:shd w:val="clear" w:color="auto" w:fill="BDDDE9"/>
          </w:tcPr>
          <w:p>
            <w:pPr/>
          </w:p>
        </w:tc>
        <w:tc>
          <w:tcPr>
            <w:tcW w:w="4850" w:type="dxa"/>
            <w:gridSpan w:val="3"/>
            <w:tcBorders>
              <w:left w:val="single" w:sz="2" w:space="0" w:color="00537A"/>
              <w:right w:val="single" w:sz="2" w:space="0" w:color="00537A"/>
            </w:tcBorders>
            <w:shd w:val="clear" w:color="auto" w:fill="BDDDE9"/>
          </w:tcPr>
          <w:p>
            <w:pPr>
              <w:pStyle w:val="TableParagraph"/>
              <w:spacing w:before="65"/>
              <w:ind w:left="1351"/>
              <w:rPr>
                <w:b/>
                <w:sz w:val="18"/>
              </w:rPr>
            </w:pPr>
            <w:r>
              <w:rPr>
                <w:b/>
                <w:sz w:val="18"/>
              </w:rPr>
              <w:t>Omschrijving verschillen</w:t>
            </w:r>
          </w:p>
        </w:tc>
        <w:tc>
          <w:tcPr>
            <w:tcW w:w="1635" w:type="dxa"/>
            <w:vMerge w:val="restart"/>
            <w:tcBorders>
              <w:left w:val="single" w:sz="2" w:space="0" w:color="00537A"/>
            </w:tcBorders>
            <w:shd w:val="clear" w:color="auto" w:fill="BDDDE9"/>
          </w:tcPr>
          <w:p>
            <w:pPr>
              <w:pStyle w:val="TableParagraph"/>
              <w:spacing w:line="249" w:lineRule="auto" w:before="65"/>
              <w:ind w:left="175" w:right="530"/>
              <w:jc w:val="both"/>
              <w:rPr>
                <w:b/>
                <w:sz w:val="18"/>
              </w:rPr>
            </w:pPr>
            <w:r>
              <w:rPr>
                <w:b/>
                <w:sz w:val="18"/>
              </w:rPr>
              <w:t>Aanvulling</w:t>
            </w:r>
            <w:r>
              <w:rPr>
                <w:b/>
                <w:w w:val="99"/>
                <w:sz w:val="18"/>
              </w:rPr>
              <w:t> </w:t>
            </w:r>
            <w:r>
              <w:rPr>
                <w:b/>
                <w:sz w:val="18"/>
              </w:rPr>
              <w:t>ProRail op Spoorweg EMC norm</w:t>
            </w:r>
          </w:p>
        </w:tc>
        <w:tc>
          <w:tcPr>
            <w:tcW w:w="3157" w:type="dxa"/>
            <w:vMerge w:val="restart"/>
            <w:shd w:val="clear" w:color="auto" w:fill="BDDDE9"/>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8"/>
              <w:ind w:left="171"/>
              <w:rPr>
                <w:b/>
                <w:sz w:val="18"/>
              </w:rPr>
            </w:pPr>
            <w:r>
              <w:rPr>
                <w:b/>
                <w:sz w:val="18"/>
              </w:rPr>
              <w:t>Bijzonderheden</w:t>
            </w:r>
          </w:p>
        </w:tc>
      </w:tr>
      <w:tr>
        <w:trPr>
          <w:trHeight w:val="648" w:hRule="exact"/>
        </w:trPr>
        <w:tc>
          <w:tcPr>
            <w:tcW w:w="670" w:type="dxa"/>
            <w:vMerge/>
            <w:shd w:val="clear" w:color="auto" w:fill="BDDDE9"/>
          </w:tcPr>
          <w:p>
            <w:pPr/>
          </w:p>
        </w:tc>
        <w:tc>
          <w:tcPr>
            <w:tcW w:w="670" w:type="dxa"/>
            <w:vMerge/>
            <w:shd w:val="clear" w:color="auto" w:fill="BDDDE9"/>
          </w:tcPr>
          <w:p>
            <w:pPr/>
          </w:p>
        </w:tc>
        <w:tc>
          <w:tcPr>
            <w:tcW w:w="1341" w:type="dxa"/>
            <w:vMerge/>
            <w:shd w:val="clear" w:color="auto" w:fill="BDDDE9"/>
          </w:tcPr>
          <w:p>
            <w:pPr/>
          </w:p>
        </w:tc>
        <w:tc>
          <w:tcPr>
            <w:tcW w:w="1538" w:type="dxa"/>
            <w:tcBorders>
              <w:top w:val="single" w:sz="2" w:space="0" w:color="00537A"/>
              <w:right w:val="single" w:sz="2" w:space="0" w:color="00537A"/>
            </w:tcBorders>
            <w:shd w:val="clear" w:color="auto" w:fill="BDDDE9"/>
          </w:tcPr>
          <w:p>
            <w:pPr>
              <w:pStyle w:val="TableParagraph"/>
              <w:spacing w:line="249" w:lineRule="auto" w:before="112"/>
              <w:ind w:left="311" w:right="218" w:hanging="81"/>
              <w:rPr>
                <w:b/>
                <w:sz w:val="18"/>
              </w:rPr>
            </w:pPr>
            <w:r>
              <w:rPr>
                <w:b/>
                <w:sz w:val="18"/>
              </w:rPr>
              <w:t>Residentiële EMC norm</w:t>
            </w:r>
          </w:p>
        </w:tc>
        <w:tc>
          <w:tcPr>
            <w:tcW w:w="1532" w:type="dxa"/>
            <w:tcBorders>
              <w:top w:val="single" w:sz="2" w:space="0" w:color="00537A"/>
              <w:left w:val="single" w:sz="2" w:space="0" w:color="00537A"/>
              <w:right w:val="single" w:sz="2" w:space="0" w:color="00537A"/>
            </w:tcBorders>
            <w:shd w:val="clear" w:color="auto" w:fill="BDDDE9"/>
          </w:tcPr>
          <w:p>
            <w:pPr>
              <w:pStyle w:val="TableParagraph"/>
              <w:spacing w:line="249" w:lineRule="auto" w:before="68"/>
              <w:ind w:left="311" w:right="289" w:hanging="5"/>
              <w:rPr>
                <w:b/>
                <w:sz w:val="18"/>
              </w:rPr>
            </w:pPr>
            <w:r>
              <w:rPr>
                <w:b/>
                <w:sz w:val="18"/>
              </w:rPr>
              <w:t>Industriële EMC norm</w:t>
            </w:r>
          </w:p>
        </w:tc>
        <w:tc>
          <w:tcPr>
            <w:tcW w:w="1635" w:type="dxa"/>
            <w:tcBorders>
              <w:left w:val="single" w:sz="2" w:space="0" w:color="00537A"/>
            </w:tcBorders>
            <w:shd w:val="clear" w:color="auto" w:fill="BDDDE9"/>
          </w:tcPr>
          <w:p>
            <w:pPr>
              <w:pStyle w:val="TableParagraph"/>
              <w:spacing w:line="249" w:lineRule="auto" w:before="65"/>
              <w:ind w:left="365" w:right="341" w:firstLine="15"/>
              <w:rPr>
                <w:b/>
                <w:sz w:val="18"/>
              </w:rPr>
            </w:pPr>
            <w:r>
              <w:rPr>
                <w:b/>
                <w:sz w:val="18"/>
              </w:rPr>
              <w:t>Spoorweg EMC norm</w:t>
            </w:r>
          </w:p>
        </w:tc>
        <w:tc>
          <w:tcPr>
            <w:tcW w:w="1682" w:type="dxa"/>
            <w:tcBorders>
              <w:top w:val="single" w:sz="2" w:space="0" w:color="00537A"/>
              <w:right w:val="single" w:sz="2" w:space="0" w:color="00537A"/>
            </w:tcBorders>
            <w:shd w:val="clear" w:color="auto" w:fill="BDDDE9"/>
          </w:tcPr>
          <w:p>
            <w:pPr>
              <w:pStyle w:val="TableParagraph"/>
              <w:spacing w:line="249" w:lineRule="auto" w:before="68"/>
              <w:ind w:left="385" w:right="368" w:firstLine="15"/>
              <w:rPr>
                <w:b/>
                <w:sz w:val="18"/>
              </w:rPr>
            </w:pPr>
            <w:r>
              <w:rPr>
                <w:b/>
                <w:sz w:val="18"/>
              </w:rPr>
              <w:t>Spoorweg EMC norm</w:t>
            </w:r>
          </w:p>
        </w:tc>
        <w:tc>
          <w:tcPr>
            <w:tcW w:w="1635" w:type="dxa"/>
            <w:vMerge/>
            <w:tcBorders>
              <w:left w:val="single" w:sz="2" w:space="0" w:color="00537A"/>
              <w:bottom w:val="single" w:sz="2" w:space="0" w:color="00537A"/>
            </w:tcBorders>
            <w:shd w:val="clear" w:color="auto" w:fill="BDDDE9"/>
          </w:tcPr>
          <w:p>
            <w:pPr/>
          </w:p>
        </w:tc>
        <w:tc>
          <w:tcPr>
            <w:tcW w:w="3157" w:type="dxa"/>
            <w:vMerge/>
            <w:shd w:val="clear" w:color="auto" w:fill="BDDDE9"/>
          </w:tcPr>
          <w:p>
            <w:pPr/>
          </w:p>
        </w:tc>
      </w:tr>
      <w:tr>
        <w:trPr>
          <w:trHeight w:val="604" w:hRule="exact"/>
        </w:trPr>
        <w:tc>
          <w:tcPr>
            <w:tcW w:w="670" w:type="dxa"/>
            <w:vMerge/>
            <w:shd w:val="clear" w:color="auto" w:fill="BDDDE9"/>
          </w:tcPr>
          <w:p>
            <w:pPr/>
          </w:p>
        </w:tc>
        <w:tc>
          <w:tcPr>
            <w:tcW w:w="670" w:type="dxa"/>
            <w:vMerge/>
            <w:shd w:val="clear" w:color="auto" w:fill="BDDDE9"/>
          </w:tcPr>
          <w:p>
            <w:pPr/>
          </w:p>
        </w:tc>
        <w:tc>
          <w:tcPr>
            <w:tcW w:w="1341" w:type="dxa"/>
            <w:vMerge/>
            <w:shd w:val="clear" w:color="auto" w:fill="BDDDE9"/>
          </w:tcPr>
          <w:p>
            <w:pPr/>
          </w:p>
        </w:tc>
        <w:tc>
          <w:tcPr>
            <w:tcW w:w="1538" w:type="dxa"/>
            <w:tcBorders>
              <w:bottom w:val="single" w:sz="2" w:space="0" w:color="00537A"/>
              <w:right w:val="single" w:sz="2" w:space="0" w:color="00537A"/>
            </w:tcBorders>
            <w:shd w:val="clear" w:color="auto" w:fill="BDDDE9"/>
          </w:tcPr>
          <w:p>
            <w:pPr>
              <w:pStyle w:val="TableParagraph"/>
              <w:spacing w:before="65"/>
              <w:ind w:left="299" w:right="304"/>
              <w:jc w:val="center"/>
              <w:rPr>
                <w:b/>
                <w:sz w:val="18"/>
              </w:rPr>
            </w:pPr>
            <w:r>
              <w:rPr>
                <w:b/>
                <w:sz w:val="18"/>
              </w:rPr>
              <w:t>61000-6-1:</w:t>
            </w:r>
          </w:p>
          <w:p>
            <w:pPr>
              <w:pStyle w:val="TableParagraph"/>
              <w:spacing w:before="8"/>
              <w:ind w:left="300" w:right="304"/>
              <w:jc w:val="center"/>
              <w:rPr>
                <w:b/>
                <w:sz w:val="18"/>
              </w:rPr>
            </w:pPr>
            <w:r>
              <w:rPr>
                <w:b/>
                <w:sz w:val="18"/>
              </w:rPr>
              <w:t>2016</w:t>
            </w:r>
          </w:p>
        </w:tc>
        <w:tc>
          <w:tcPr>
            <w:tcW w:w="1532" w:type="dxa"/>
            <w:tcBorders>
              <w:left w:val="single" w:sz="2" w:space="0" w:color="00537A"/>
              <w:bottom w:val="single" w:sz="2" w:space="0" w:color="00537A"/>
              <w:right w:val="single" w:sz="2" w:space="0" w:color="00537A"/>
            </w:tcBorders>
            <w:shd w:val="clear" w:color="auto" w:fill="BDDDE9"/>
          </w:tcPr>
          <w:p>
            <w:pPr>
              <w:pStyle w:val="TableParagraph"/>
              <w:spacing w:before="65"/>
              <w:ind w:left="301" w:right="303"/>
              <w:jc w:val="center"/>
              <w:rPr>
                <w:b/>
                <w:sz w:val="18"/>
              </w:rPr>
            </w:pPr>
            <w:r>
              <w:rPr>
                <w:b/>
                <w:sz w:val="18"/>
              </w:rPr>
              <w:t>61000-6-2:</w:t>
            </w:r>
          </w:p>
          <w:p>
            <w:pPr>
              <w:pStyle w:val="TableParagraph"/>
              <w:spacing w:before="8"/>
              <w:ind w:left="301" w:right="302"/>
              <w:jc w:val="center"/>
              <w:rPr>
                <w:b/>
                <w:sz w:val="18"/>
              </w:rPr>
            </w:pPr>
            <w:r>
              <w:rPr>
                <w:b/>
                <w:sz w:val="18"/>
              </w:rPr>
              <w:t>2016</w:t>
            </w:r>
          </w:p>
        </w:tc>
        <w:tc>
          <w:tcPr>
            <w:tcW w:w="1635" w:type="dxa"/>
            <w:tcBorders>
              <w:left w:val="single" w:sz="2" w:space="0" w:color="00537A"/>
              <w:bottom w:val="single" w:sz="2" w:space="0" w:color="00537A"/>
            </w:tcBorders>
            <w:shd w:val="clear" w:color="auto" w:fill="BDDDE9"/>
          </w:tcPr>
          <w:p>
            <w:pPr>
              <w:pStyle w:val="TableParagraph"/>
              <w:spacing w:before="65"/>
              <w:ind w:left="229"/>
              <w:rPr>
                <w:b/>
                <w:sz w:val="18"/>
              </w:rPr>
            </w:pPr>
            <w:r>
              <w:rPr>
                <w:b/>
                <w:sz w:val="18"/>
              </w:rPr>
              <w:t>50121-4: 2016</w:t>
            </w:r>
          </w:p>
        </w:tc>
        <w:tc>
          <w:tcPr>
            <w:tcW w:w="1682" w:type="dxa"/>
            <w:tcBorders>
              <w:bottom w:val="single" w:sz="2" w:space="0" w:color="00537A"/>
              <w:right w:val="single" w:sz="2" w:space="0" w:color="00537A"/>
            </w:tcBorders>
            <w:shd w:val="clear" w:color="auto" w:fill="BDDDE9"/>
          </w:tcPr>
          <w:p>
            <w:pPr>
              <w:pStyle w:val="TableParagraph"/>
              <w:spacing w:before="65"/>
              <w:ind w:left="249"/>
              <w:rPr>
                <w:b/>
                <w:sz w:val="18"/>
              </w:rPr>
            </w:pPr>
            <w:r>
              <w:rPr>
                <w:b/>
                <w:sz w:val="18"/>
              </w:rPr>
              <w:t>50121-5: 2017</w:t>
            </w:r>
          </w:p>
        </w:tc>
        <w:tc>
          <w:tcPr>
            <w:tcW w:w="1635" w:type="dxa"/>
            <w:tcBorders>
              <w:top w:val="single" w:sz="2" w:space="0" w:color="00537A"/>
              <w:left w:val="single" w:sz="2" w:space="0" w:color="00537A"/>
              <w:bottom w:val="single" w:sz="2" w:space="0" w:color="00537A"/>
            </w:tcBorders>
            <w:shd w:val="clear" w:color="auto" w:fill="BDDDE9"/>
          </w:tcPr>
          <w:p>
            <w:pPr>
              <w:pStyle w:val="TableParagraph"/>
              <w:spacing w:line="249" w:lineRule="auto" w:before="68"/>
              <w:ind w:left="175" w:right="501"/>
              <w:rPr>
                <w:b/>
                <w:sz w:val="18"/>
              </w:rPr>
            </w:pPr>
            <w:r>
              <w:rPr>
                <w:b/>
                <w:sz w:val="18"/>
              </w:rPr>
              <w:t>RLN00007: 2016</w:t>
            </w:r>
          </w:p>
        </w:tc>
        <w:tc>
          <w:tcPr>
            <w:tcW w:w="3157" w:type="dxa"/>
            <w:vMerge/>
            <w:shd w:val="clear" w:color="auto" w:fill="BDDDE9"/>
          </w:tcPr>
          <w:p>
            <w:pPr/>
          </w:p>
        </w:tc>
      </w:tr>
      <w:tr>
        <w:trPr>
          <w:trHeight w:val="712" w:hRule="exact"/>
        </w:trPr>
        <w:tc>
          <w:tcPr>
            <w:tcW w:w="670" w:type="dxa"/>
            <w:vMerge w:val="restart"/>
          </w:tcPr>
          <w:p>
            <w:pPr/>
          </w:p>
        </w:tc>
        <w:tc>
          <w:tcPr>
            <w:tcW w:w="670" w:type="dxa"/>
            <w:tcBorders>
              <w:bottom w:val="single" w:sz="2" w:space="0" w:color="00537A"/>
              <w:right w:val="single" w:sz="2" w:space="0" w:color="00537A"/>
            </w:tcBorders>
          </w:tcPr>
          <w:p>
            <w:pPr>
              <w:pStyle w:val="TableParagraph"/>
              <w:spacing w:before="9"/>
              <w:rPr>
                <w:rFonts w:ascii="Times New Roman"/>
                <w:sz w:val="19"/>
              </w:rPr>
            </w:pPr>
          </w:p>
          <w:p>
            <w:pPr>
              <w:pStyle w:val="TableParagraph"/>
              <w:ind w:left="209" w:right="211"/>
              <w:jc w:val="center"/>
              <w:rPr>
                <w:sz w:val="18"/>
              </w:rPr>
            </w:pPr>
            <w:r>
              <w:rPr>
                <w:sz w:val="18"/>
              </w:rPr>
              <w:t>15</w:t>
            </w:r>
          </w:p>
        </w:tc>
        <w:tc>
          <w:tcPr>
            <w:tcW w:w="1341" w:type="dxa"/>
            <w:tcBorders>
              <w:left w:val="single" w:sz="2" w:space="0" w:color="00537A"/>
              <w:bottom w:val="single" w:sz="2" w:space="0" w:color="00537A"/>
              <w:right w:val="single" w:sz="2" w:space="0" w:color="00537A"/>
            </w:tcBorders>
          </w:tcPr>
          <w:p>
            <w:pPr>
              <w:pStyle w:val="TableParagraph"/>
              <w:spacing w:before="9"/>
              <w:rPr>
                <w:rFonts w:ascii="Times New Roman"/>
                <w:sz w:val="19"/>
              </w:rPr>
            </w:pPr>
          </w:p>
          <w:p>
            <w:pPr>
              <w:pStyle w:val="TableParagraph"/>
              <w:ind w:left="174"/>
              <w:rPr>
                <w:sz w:val="18"/>
              </w:rPr>
            </w:pPr>
            <w:r>
              <w:rPr>
                <w:sz w:val="18"/>
              </w:rPr>
              <w:t>61000-4-4</w:t>
            </w:r>
          </w:p>
        </w:tc>
        <w:tc>
          <w:tcPr>
            <w:tcW w:w="1538" w:type="dxa"/>
            <w:tcBorders>
              <w:top w:val="single" w:sz="2" w:space="0" w:color="00537A"/>
              <w:left w:val="single" w:sz="2" w:space="0" w:color="00537A"/>
              <w:bottom w:val="single" w:sz="2" w:space="0" w:color="00537A"/>
              <w:right w:val="single" w:sz="2" w:space="0" w:color="00537A"/>
            </w:tcBorders>
            <w:shd w:val="clear" w:color="auto" w:fill="E2E9BD"/>
          </w:tcPr>
          <w:p>
            <w:pPr>
              <w:pStyle w:val="TableParagraph"/>
              <w:rPr>
                <w:rFonts w:ascii="Times New Roman"/>
                <w:sz w:val="20"/>
              </w:rPr>
            </w:pPr>
          </w:p>
          <w:p>
            <w:pPr>
              <w:pStyle w:val="TableParagraph"/>
              <w:spacing w:before="1"/>
              <w:ind w:left="175"/>
              <w:rPr>
                <w:sz w:val="18"/>
              </w:rPr>
            </w:pPr>
            <w:r>
              <w:rPr>
                <w:sz w:val="18"/>
              </w:rPr>
              <w:t>±1kV (B)</w:t>
            </w:r>
          </w:p>
        </w:tc>
        <w:tc>
          <w:tcPr>
            <w:tcW w:w="1532" w:type="dxa"/>
            <w:tcBorders>
              <w:top w:val="single" w:sz="2" w:space="0" w:color="00537A"/>
              <w:left w:val="single" w:sz="2" w:space="0" w:color="00537A"/>
              <w:bottom w:val="single" w:sz="2" w:space="0" w:color="00537A"/>
              <w:right w:val="single" w:sz="2" w:space="0" w:color="00537A"/>
            </w:tcBorders>
            <w:shd w:val="clear" w:color="auto" w:fill="D8F1F2"/>
          </w:tcPr>
          <w:p>
            <w:pPr>
              <w:pStyle w:val="TableParagraph"/>
              <w:rPr>
                <w:rFonts w:ascii="Times New Roman"/>
                <w:sz w:val="20"/>
              </w:rPr>
            </w:pPr>
          </w:p>
          <w:p>
            <w:pPr>
              <w:pStyle w:val="TableParagraph"/>
              <w:spacing w:before="1"/>
              <w:ind w:left="171"/>
              <w:rPr>
                <w:sz w:val="18"/>
              </w:rPr>
            </w:pPr>
            <w:r>
              <w:rPr>
                <w:sz w:val="18"/>
              </w:rPr>
              <w:t>±2kV (B)</w:t>
            </w:r>
          </w:p>
        </w:tc>
        <w:tc>
          <w:tcPr>
            <w:tcW w:w="1635" w:type="dxa"/>
            <w:tcBorders>
              <w:top w:val="single" w:sz="2" w:space="0" w:color="00537A"/>
              <w:left w:val="single" w:sz="2" w:space="0" w:color="00537A"/>
              <w:bottom w:val="single" w:sz="2" w:space="0" w:color="00537A"/>
            </w:tcBorders>
            <w:shd w:val="clear" w:color="auto" w:fill="E2E9BD"/>
          </w:tcPr>
          <w:p>
            <w:pPr>
              <w:pStyle w:val="TableParagraph"/>
              <w:rPr>
                <w:rFonts w:ascii="Times New Roman"/>
                <w:sz w:val="20"/>
              </w:rPr>
            </w:pPr>
          </w:p>
          <w:p>
            <w:pPr>
              <w:pStyle w:val="TableParagraph"/>
              <w:spacing w:before="1"/>
              <w:ind w:left="174"/>
              <w:rPr>
                <w:sz w:val="18"/>
              </w:rPr>
            </w:pPr>
            <w:r>
              <w:rPr>
                <w:sz w:val="18"/>
              </w:rPr>
              <w:t>±2kV (A)</w:t>
            </w:r>
          </w:p>
        </w:tc>
        <w:tc>
          <w:tcPr>
            <w:tcW w:w="1682" w:type="dxa"/>
            <w:tcBorders>
              <w:top w:val="single" w:sz="2" w:space="0" w:color="00537A"/>
              <w:bottom w:val="single" w:sz="2" w:space="0" w:color="00537A"/>
              <w:right w:val="single" w:sz="2" w:space="0" w:color="00537A"/>
            </w:tcBorders>
            <w:shd w:val="clear" w:color="auto" w:fill="E2E9BD"/>
          </w:tcPr>
          <w:p>
            <w:pPr>
              <w:pStyle w:val="TableParagraph"/>
              <w:rPr>
                <w:rFonts w:ascii="Times New Roman"/>
                <w:sz w:val="20"/>
              </w:rPr>
            </w:pPr>
          </w:p>
          <w:p>
            <w:pPr>
              <w:pStyle w:val="TableParagraph"/>
              <w:spacing w:before="1"/>
              <w:ind w:left="171"/>
              <w:rPr>
                <w:sz w:val="18"/>
              </w:rPr>
            </w:pPr>
            <w:r>
              <w:rPr>
                <w:sz w:val="18"/>
              </w:rPr>
              <w:t>±4kV (A)</w:t>
            </w:r>
          </w:p>
        </w:tc>
        <w:tc>
          <w:tcPr>
            <w:tcW w:w="1635" w:type="dxa"/>
            <w:tcBorders>
              <w:top w:val="single" w:sz="2" w:space="0" w:color="00537A"/>
              <w:left w:val="single" w:sz="2" w:space="0" w:color="00537A"/>
              <w:bottom w:val="single" w:sz="2" w:space="0" w:color="00537A"/>
            </w:tcBorders>
            <w:shd w:val="clear" w:color="auto" w:fill="D7AE33"/>
          </w:tcPr>
          <w:p>
            <w:pPr>
              <w:pStyle w:val="TableParagraph"/>
              <w:spacing w:line="180" w:lineRule="exact" w:before="75"/>
              <w:ind w:left="175" w:right="350"/>
              <w:rPr>
                <w:sz w:val="18"/>
              </w:rPr>
            </w:pPr>
            <w:r>
              <w:rPr>
                <w:sz w:val="18"/>
              </w:rPr>
              <w:t>Bij interfacing met B-relais</w:t>
            </w:r>
          </w:p>
          <w:p>
            <w:pPr>
              <w:pStyle w:val="TableParagraph"/>
              <w:spacing w:line="182" w:lineRule="exact"/>
              <w:ind w:left="175"/>
              <w:rPr>
                <w:sz w:val="18"/>
              </w:rPr>
            </w:pPr>
            <w:r>
              <w:rPr>
                <w:sz w:val="18"/>
              </w:rPr>
              <w:t>±4kV (A)</w:t>
            </w:r>
          </w:p>
        </w:tc>
        <w:tc>
          <w:tcPr>
            <w:tcW w:w="3157" w:type="dxa"/>
            <w:tcBorders>
              <w:bottom w:val="single" w:sz="2" w:space="0" w:color="00537A"/>
            </w:tcBorders>
          </w:tcPr>
          <w:p>
            <w:pPr>
              <w:pStyle w:val="TableParagraph"/>
              <w:spacing w:line="193" w:lineRule="exact" w:before="137"/>
              <w:ind w:left="172"/>
              <w:rPr>
                <w:sz w:val="18"/>
              </w:rPr>
            </w:pPr>
            <w:r>
              <w:rPr>
                <w:sz w:val="18"/>
              </w:rPr>
              <w:t>50121-4, 50121-5 en RLN00007</w:t>
            </w:r>
          </w:p>
          <w:p>
            <w:pPr>
              <w:pStyle w:val="TableParagraph"/>
              <w:spacing w:line="193" w:lineRule="exact"/>
              <w:ind w:left="172"/>
              <w:rPr>
                <w:sz w:val="18"/>
              </w:rPr>
            </w:pPr>
            <w:r>
              <w:rPr>
                <w:sz w:val="18"/>
              </w:rPr>
              <w:t>stelt strengere eisen</w:t>
            </w:r>
          </w:p>
        </w:tc>
      </w:tr>
      <w:tr>
        <w:trPr>
          <w:trHeight w:val="892" w:hRule="exact"/>
        </w:trPr>
        <w:tc>
          <w:tcPr>
            <w:tcW w:w="670" w:type="dxa"/>
            <w:vMerge/>
          </w:tcPr>
          <w:p>
            <w:pPr/>
          </w:p>
        </w:tc>
        <w:tc>
          <w:tcPr>
            <w:tcW w:w="670" w:type="dxa"/>
            <w:tcBorders>
              <w:top w:val="single" w:sz="2" w:space="0" w:color="00537A"/>
              <w:right w:val="single" w:sz="2" w:space="0" w:color="00537A"/>
            </w:tcBorders>
          </w:tcPr>
          <w:p>
            <w:pPr>
              <w:pStyle w:val="TableParagraph"/>
              <w:spacing w:before="10"/>
              <w:rPr>
                <w:rFonts w:ascii="Times New Roman"/>
                <w:sz w:val="27"/>
              </w:rPr>
            </w:pPr>
          </w:p>
          <w:p>
            <w:pPr>
              <w:pStyle w:val="TableParagraph"/>
              <w:ind w:left="209" w:right="211"/>
              <w:jc w:val="center"/>
              <w:rPr>
                <w:sz w:val="18"/>
              </w:rPr>
            </w:pPr>
            <w:r>
              <w:rPr>
                <w:sz w:val="18"/>
              </w:rPr>
              <w:t>16</w:t>
            </w:r>
          </w:p>
        </w:tc>
        <w:tc>
          <w:tcPr>
            <w:tcW w:w="1341" w:type="dxa"/>
            <w:tcBorders>
              <w:top w:val="single" w:sz="2" w:space="0" w:color="00537A"/>
              <w:left w:val="single" w:sz="2" w:space="0" w:color="00537A"/>
              <w:right w:val="single" w:sz="2" w:space="0" w:color="00537A"/>
            </w:tcBorders>
          </w:tcPr>
          <w:p>
            <w:pPr>
              <w:pStyle w:val="TableParagraph"/>
              <w:spacing w:before="10"/>
              <w:rPr>
                <w:rFonts w:ascii="Times New Roman"/>
                <w:sz w:val="27"/>
              </w:rPr>
            </w:pPr>
          </w:p>
          <w:p>
            <w:pPr>
              <w:pStyle w:val="TableParagraph"/>
              <w:ind w:left="174"/>
              <w:rPr>
                <w:sz w:val="18"/>
              </w:rPr>
            </w:pPr>
            <w:r>
              <w:rPr>
                <w:sz w:val="18"/>
              </w:rPr>
              <w:t>61000-4-5</w:t>
            </w:r>
          </w:p>
        </w:tc>
        <w:tc>
          <w:tcPr>
            <w:tcW w:w="1538" w:type="dxa"/>
            <w:tcBorders>
              <w:top w:val="single" w:sz="2" w:space="0" w:color="00537A"/>
              <w:left w:val="single" w:sz="2" w:space="0" w:color="00537A"/>
              <w:right w:val="single" w:sz="2" w:space="0" w:color="00537A"/>
            </w:tcBorders>
            <w:shd w:val="clear" w:color="auto" w:fill="E2E9BD"/>
          </w:tcPr>
          <w:p>
            <w:pPr>
              <w:pStyle w:val="TableParagraph"/>
              <w:spacing w:before="5"/>
              <w:rPr>
                <w:rFonts w:ascii="Times New Roman"/>
                <w:sz w:val="17"/>
              </w:rPr>
            </w:pPr>
          </w:p>
          <w:p>
            <w:pPr>
              <w:pStyle w:val="TableParagraph"/>
              <w:ind w:left="175"/>
              <w:rPr>
                <w:sz w:val="18"/>
              </w:rPr>
            </w:pPr>
            <w:r>
              <w:rPr>
                <w:sz w:val="18"/>
              </w:rPr>
              <w:t>±2kV CM</w:t>
            </w:r>
          </w:p>
          <w:p>
            <w:pPr>
              <w:pStyle w:val="TableParagraph"/>
              <w:spacing w:before="32"/>
              <w:ind w:left="175"/>
              <w:rPr>
                <w:sz w:val="18"/>
              </w:rPr>
            </w:pPr>
            <w:r>
              <w:rPr>
                <w:sz w:val="18"/>
              </w:rPr>
              <w:t>±1kV DM</w:t>
            </w:r>
          </w:p>
        </w:tc>
        <w:tc>
          <w:tcPr>
            <w:tcW w:w="1532" w:type="dxa"/>
            <w:tcBorders>
              <w:top w:val="single" w:sz="2" w:space="0" w:color="00537A"/>
              <w:left w:val="single" w:sz="2" w:space="0" w:color="00537A"/>
              <w:right w:val="single" w:sz="2" w:space="0" w:color="00537A"/>
            </w:tcBorders>
            <w:shd w:val="clear" w:color="auto" w:fill="D8F1F2"/>
          </w:tcPr>
          <w:p>
            <w:pPr>
              <w:pStyle w:val="TableParagraph"/>
              <w:spacing w:before="5"/>
              <w:rPr>
                <w:rFonts w:ascii="Times New Roman"/>
                <w:sz w:val="17"/>
              </w:rPr>
            </w:pPr>
          </w:p>
          <w:p>
            <w:pPr>
              <w:pStyle w:val="TableParagraph"/>
              <w:ind w:left="171"/>
              <w:rPr>
                <w:sz w:val="18"/>
              </w:rPr>
            </w:pPr>
            <w:r>
              <w:rPr>
                <w:sz w:val="18"/>
              </w:rPr>
              <w:t>±2kV CM</w:t>
            </w:r>
          </w:p>
          <w:p>
            <w:pPr>
              <w:pStyle w:val="TableParagraph"/>
              <w:spacing w:before="32"/>
              <w:ind w:left="171"/>
              <w:rPr>
                <w:sz w:val="18"/>
              </w:rPr>
            </w:pPr>
            <w:r>
              <w:rPr>
                <w:sz w:val="18"/>
              </w:rPr>
              <w:t>±1kV DM</w:t>
            </w:r>
          </w:p>
        </w:tc>
        <w:tc>
          <w:tcPr>
            <w:tcW w:w="1635" w:type="dxa"/>
            <w:tcBorders>
              <w:top w:val="single" w:sz="2" w:space="0" w:color="00537A"/>
              <w:left w:val="single" w:sz="2" w:space="0" w:color="00537A"/>
            </w:tcBorders>
            <w:shd w:val="clear" w:color="auto" w:fill="E2E9BD"/>
          </w:tcPr>
          <w:p>
            <w:pPr>
              <w:pStyle w:val="TableParagraph"/>
              <w:spacing w:before="5"/>
              <w:rPr>
                <w:rFonts w:ascii="Times New Roman"/>
                <w:sz w:val="17"/>
              </w:rPr>
            </w:pPr>
          </w:p>
          <w:p>
            <w:pPr>
              <w:pStyle w:val="TableParagraph"/>
              <w:ind w:left="174"/>
              <w:rPr>
                <w:sz w:val="18"/>
              </w:rPr>
            </w:pPr>
            <w:r>
              <w:rPr>
                <w:sz w:val="18"/>
              </w:rPr>
              <w:t>±2kV CM</w:t>
            </w:r>
          </w:p>
          <w:p>
            <w:pPr>
              <w:pStyle w:val="TableParagraph"/>
              <w:spacing w:before="32"/>
              <w:ind w:left="174"/>
              <w:rPr>
                <w:sz w:val="18"/>
              </w:rPr>
            </w:pPr>
            <w:r>
              <w:rPr>
                <w:sz w:val="18"/>
              </w:rPr>
              <w:t>±1kV DM</w:t>
            </w:r>
          </w:p>
        </w:tc>
        <w:tc>
          <w:tcPr>
            <w:tcW w:w="1682" w:type="dxa"/>
            <w:tcBorders>
              <w:top w:val="single" w:sz="2" w:space="0" w:color="00537A"/>
              <w:right w:val="single" w:sz="2" w:space="0" w:color="00537A"/>
            </w:tcBorders>
            <w:shd w:val="clear" w:color="auto" w:fill="E2E9BD"/>
          </w:tcPr>
          <w:p>
            <w:pPr>
              <w:pStyle w:val="TableParagraph"/>
              <w:spacing w:before="5"/>
              <w:rPr>
                <w:rFonts w:ascii="Times New Roman"/>
                <w:sz w:val="17"/>
              </w:rPr>
            </w:pPr>
          </w:p>
          <w:p>
            <w:pPr>
              <w:pStyle w:val="TableParagraph"/>
              <w:ind w:left="171"/>
              <w:rPr>
                <w:sz w:val="18"/>
              </w:rPr>
            </w:pPr>
            <w:r>
              <w:rPr>
                <w:sz w:val="18"/>
              </w:rPr>
              <w:t>±4kV CM</w:t>
            </w:r>
          </w:p>
          <w:p>
            <w:pPr>
              <w:pStyle w:val="TableParagraph"/>
              <w:spacing w:before="32"/>
              <w:ind w:left="171"/>
              <w:rPr>
                <w:sz w:val="18"/>
              </w:rPr>
            </w:pPr>
            <w:r>
              <w:rPr>
                <w:sz w:val="18"/>
              </w:rPr>
              <w:t>±2kV DM</w:t>
            </w:r>
          </w:p>
        </w:tc>
        <w:tc>
          <w:tcPr>
            <w:tcW w:w="1635" w:type="dxa"/>
            <w:tcBorders>
              <w:top w:val="single" w:sz="2" w:space="0" w:color="00537A"/>
              <w:left w:val="single" w:sz="2" w:space="0" w:color="00537A"/>
            </w:tcBorders>
            <w:shd w:val="clear" w:color="auto" w:fill="D7AE33"/>
          </w:tcPr>
          <w:p>
            <w:pPr>
              <w:pStyle w:val="TableParagraph"/>
              <w:spacing w:line="193" w:lineRule="exact" w:before="50"/>
              <w:ind w:left="175"/>
              <w:rPr>
                <w:sz w:val="18"/>
              </w:rPr>
            </w:pPr>
            <w:r>
              <w:rPr>
                <w:sz w:val="18"/>
              </w:rPr>
              <w:t>±4kV CM/DM</w:t>
            </w:r>
          </w:p>
          <w:p>
            <w:pPr>
              <w:pStyle w:val="TableParagraph"/>
              <w:spacing w:line="180" w:lineRule="exact" w:before="10"/>
              <w:ind w:left="175" w:right="350"/>
              <w:rPr>
                <w:sz w:val="18"/>
              </w:rPr>
            </w:pPr>
            <w:r>
              <w:rPr>
                <w:sz w:val="18"/>
              </w:rPr>
              <w:t>Bij interfacing met TB of spoorstaven</w:t>
            </w:r>
          </w:p>
        </w:tc>
        <w:tc>
          <w:tcPr>
            <w:tcW w:w="3157" w:type="dxa"/>
            <w:tcBorders>
              <w:top w:val="single" w:sz="2" w:space="0" w:color="00537A"/>
            </w:tcBorders>
          </w:tcPr>
          <w:p>
            <w:pPr>
              <w:pStyle w:val="TableParagraph"/>
              <w:spacing w:before="2"/>
              <w:rPr>
                <w:rFonts w:ascii="Times New Roman"/>
                <w:sz w:val="22"/>
              </w:rPr>
            </w:pPr>
          </w:p>
          <w:p>
            <w:pPr>
              <w:pStyle w:val="TableParagraph"/>
              <w:spacing w:line="180" w:lineRule="exact"/>
              <w:ind w:left="172" w:right="911"/>
              <w:rPr>
                <w:sz w:val="18"/>
              </w:rPr>
            </w:pPr>
            <w:r>
              <w:rPr>
                <w:sz w:val="18"/>
              </w:rPr>
              <w:t>50121 en RLN00007 stelt strengere eisen</w:t>
            </w:r>
          </w:p>
        </w:tc>
      </w:tr>
      <w:tr>
        <w:trPr>
          <w:trHeight w:val="532" w:hRule="exact"/>
        </w:trPr>
        <w:tc>
          <w:tcPr>
            <w:tcW w:w="670" w:type="dxa"/>
            <w:vMerge/>
          </w:tcPr>
          <w:p>
            <w:pPr/>
          </w:p>
        </w:tc>
        <w:tc>
          <w:tcPr>
            <w:tcW w:w="670" w:type="dxa"/>
            <w:tcBorders>
              <w:right w:val="single" w:sz="2" w:space="0" w:color="00537A"/>
            </w:tcBorders>
          </w:tcPr>
          <w:p>
            <w:pPr>
              <w:pStyle w:val="TableParagraph"/>
              <w:spacing w:before="137"/>
              <w:ind w:left="209" w:right="211"/>
              <w:jc w:val="center"/>
              <w:rPr>
                <w:sz w:val="18"/>
              </w:rPr>
            </w:pPr>
            <w:r>
              <w:rPr>
                <w:sz w:val="18"/>
              </w:rPr>
              <w:t>17</w:t>
            </w:r>
          </w:p>
        </w:tc>
        <w:tc>
          <w:tcPr>
            <w:tcW w:w="1341" w:type="dxa"/>
            <w:tcBorders>
              <w:left w:val="single" w:sz="2" w:space="0" w:color="00537A"/>
              <w:right w:val="single" w:sz="2" w:space="0" w:color="00537A"/>
            </w:tcBorders>
          </w:tcPr>
          <w:p>
            <w:pPr>
              <w:pStyle w:val="TableParagraph"/>
              <w:spacing w:line="193" w:lineRule="exact" w:before="47"/>
              <w:ind w:left="174"/>
              <w:rPr>
                <w:sz w:val="18"/>
              </w:rPr>
            </w:pPr>
            <w:r>
              <w:rPr>
                <w:sz w:val="18"/>
              </w:rPr>
              <w:t>61000-4-11</w:t>
            </w:r>
          </w:p>
          <w:p>
            <w:pPr>
              <w:pStyle w:val="TableParagraph"/>
              <w:spacing w:line="193" w:lineRule="exact"/>
              <w:ind w:left="174"/>
              <w:rPr>
                <w:sz w:val="18"/>
              </w:rPr>
            </w:pPr>
            <w:r>
              <w:rPr>
                <w:sz w:val="18"/>
              </w:rPr>
              <w:t>en 4-34</w:t>
            </w:r>
          </w:p>
        </w:tc>
        <w:tc>
          <w:tcPr>
            <w:tcW w:w="1538" w:type="dxa"/>
            <w:tcBorders>
              <w:left w:val="single" w:sz="2" w:space="0" w:color="00537A"/>
              <w:right w:val="single" w:sz="2" w:space="0" w:color="00537A"/>
            </w:tcBorders>
            <w:shd w:val="clear" w:color="auto" w:fill="E2E9BD"/>
          </w:tcPr>
          <w:p>
            <w:pPr>
              <w:pStyle w:val="TableParagraph"/>
              <w:spacing w:line="180" w:lineRule="exact" w:before="72"/>
              <w:ind w:left="175" w:right="336"/>
              <w:rPr>
                <w:sz w:val="18"/>
              </w:rPr>
            </w:pPr>
            <w:r>
              <w:rPr>
                <w:sz w:val="18"/>
              </w:rPr>
              <w:t>Dips en Interruptions</w:t>
            </w:r>
          </w:p>
        </w:tc>
        <w:tc>
          <w:tcPr>
            <w:tcW w:w="1532" w:type="dxa"/>
            <w:tcBorders>
              <w:left w:val="single" w:sz="2" w:space="0" w:color="00537A"/>
              <w:right w:val="single" w:sz="2" w:space="0" w:color="00537A"/>
            </w:tcBorders>
            <w:shd w:val="clear" w:color="auto" w:fill="D8F1F2"/>
          </w:tcPr>
          <w:p>
            <w:pPr>
              <w:pStyle w:val="TableParagraph"/>
              <w:spacing w:line="180" w:lineRule="exact" w:before="72"/>
              <w:ind w:left="171" w:right="334"/>
              <w:rPr>
                <w:sz w:val="18"/>
              </w:rPr>
            </w:pPr>
            <w:r>
              <w:rPr>
                <w:sz w:val="18"/>
              </w:rPr>
              <w:t>Dips en Interruptions</w:t>
            </w:r>
          </w:p>
        </w:tc>
        <w:tc>
          <w:tcPr>
            <w:tcW w:w="1635" w:type="dxa"/>
            <w:tcBorders>
              <w:left w:val="single" w:sz="2" w:space="0" w:color="00537A"/>
            </w:tcBorders>
            <w:shd w:val="clear" w:color="auto" w:fill="E2E9BD"/>
          </w:tcPr>
          <w:p>
            <w:pPr>
              <w:pStyle w:val="TableParagraph"/>
              <w:spacing w:before="137"/>
              <w:ind w:left="174"/>
              <w:rPr>
                <w:sz w:val="18"/>
              </w:rPr>
            </w:pPr>
            <w:r>
              <w:rPr>
                <w:sz w:val="18"/>
              </w:rPr>
              <w:t>Geen eisen</w:t>
            </w:r>
          </w:p>
        </w:tc>
        <w:tc>
          <w:tcPr>
            <w:tcW w:w="1682" w:type="dxa"/>
            <w:tcBorders>
              <w:right w:val="single" w:sz="2" w:space="0" w:color="00537A"/>
            </w:tcBorders>
            <w:shd w:val="clear" w:color="auto" w:fill="E2E9BD"/>
          </w:tcPr>
          <w:p>
            <w:pPr>
              <w:pStyle w:val="TableParagraph"/>
              <w:spacing w:before="137"/>
              <w:ind w:left="171"/>
              <w:rPr>
                <w:sz w:val="18"/>
              </w:rPr>
            </w:pPr>
            <w:r>
              <w:rPr>
                <w:sz w:val="18"/>
              </w:rPr>
              <w:t>Geen eisen</w:t>
            </w:r>
          </w:p>
        </w:tc>
        <w:tc>
          <w:tcPr>
            <w:tcW w:w="1635" w:type="dxa"/>
            <w:tcBorders>
              <w:left w:val="single" w:sz="2" w:space="0" w:color="00537A"/>
            </w:tcBorders>
            <w:shd w:val="clear" w:color="auto" w:fill="D7AE33"/>
          </w:tcPr>
          <w:p>
            <w:pPr>
              <w:pStyle w:val="TableParagraph"/>
              <w:spacing w:line="180" w:lineRule="exact" w:before="72"/>
              <w:ind w:left="175" w:right="620"/>
              <w:rPr>
                <w:sz w:val="18"/>
              </w:rPr>
            </w:pPr>
            <w:r>
              <w:rPr>
                <w:sz w:val="18"/>
              </w:rPr>
              <w:t>Geen aanvulling</w:t>
            </w:r>
          </w:p>
        </w:tc>
        <w:tc>
          <w:tcPr>
            <w:tcW w:w="3157" w:type="dxa"/>
          </w:tcPr>
          <w:p>
            <w:pPr>
              <w:pStyle w:val="TableParagraph"/>
              <w:spacing w:before="137"/>
              <w:ind w:left="172"/>
              <w:rPr>
                <w:sz w:val="18"/>
              </w:rPr>
            </w:pPr>
            <w:r>
              <w:rPr>
                <w:sz w:val="18"/>
              </w:rPr>
              <w:t>Generieke norm is strenger</w:t>
            </w:r>
          </w:p>
        </w:tc>
      </w:tr>
    </w:tbl>
    <w:p>
      <w:pPr>
        <w:spacing w:after="0"/>
        <w:rPr>
          <w:sz w:val="18"/>
        </w:rPr>
        <w:sectPr>
          <w:pgSz w:w="16840" w:h="11910" w:orient="landscape"/>
          <w:pgMar w:header="588" w:footer="312" w:top="920" w:bottom="500" w:left="1020" w:right="1020"/>
        </w:sectPr>
      </w:pPr>
    </w:p>
    <w:p>
      <w:pPr>
        <w:pStyle w:val="BodyText"/>
        <w:ind w:left="115"/>
        <w:rPr>
          <w:rFonts w:ascii="Times New Roman"/>
        </w:rPr>
      </w:pPr>
      <w:r>
        <w:rPr>
          <w:rFonts w:ascii="Times New Roman"/>
        </w:rPr>
        <w:pict>
          <v:group style="width:454.8pt;height:17.4pt;mso-position-horizontal-relative:char;mso-position-vertical-relative:line" coordorigin="0,0" coordsize="9096,348">
            <v:line style="position:absolute" from="5,343" to="3029,343" stroked="true" strokeweight=".5pt" strokecolor="#000000">
              <v:stroke dashstyle="solid"/>
            </v:line>
            <v:shape style="position:absolute;left:5;top:0;width:1154;height:283" type="#_x0000_t75" stroked="false">
              <v:imagedata r:id="rId8" o:title=""/>
            </v:shape>
            <v:line style="position:absolute" from="3029,343" to="6052,343" stroked="true" strokeweight=".5pt" strokecolor="#000000">
              <v:stroke dashstyle="solid"/>
            </v:line>
            <v:line style="position:absolute" from="6052,343" to="9076,343" stroked="true" strokeweight=".5pt" strokecolor="#000000">
              <v:stroke dashstyle="solid"/>
            </v:line>
            <v:shape style="position:absolute;left:8302;top:139;width:794;height:179" type="#_x0000_t202" filled="false" stroked="false">
              <v:textbox inset="0,0,0,0">
                <w:txbxContent>
                  <w:p>
                    <w:pPr>
                      <w:spacing w:line="179" w:lineRule="exact" w:before="0"/>
                      <w:ind w:left="0" w:right="0" w:firstLine="0"/>
                      <w:jc w:val="left"/>
                      <w:rPr>
                        <w:b/>
                        <w:sz w:val="16"/>
                      </w:rPr>
                    </w:pPr>
                    <w:r>
                      <w:rPr>
                        <w:b/>
                        <w:sz w:val="16"/>
                      </w:rPr>
                      <w:t>RLN00007</w:t>
                    </w:r>
                  </w:p>
                </w:txbxContent>
              </v:textbox>
              <w10:wrap type="none"/>
            </v:shape>
          </v:group>
        </w:pict>
      </w:r>
      <w:r>
        <w:rPr>
          <w:rFonts w:ascii="Times New Roman"/>
        </w:rPr>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7"/>
        <w:rPr>
          <w:rFonts w:ascii="Times New Roman"/>
          <w:sz w:val="25"/>
        </w:rPr>
      </w:pPr>
      <w:r>
        <w:rPr/>
        <w:pict>
          <v:group style="position:absolute;margin-left:84.789001pt;margin-top:16.717476pt;width:454.05pt;height:.5pt;mso-position-horizontal-relative:page;mso-position-vertical-relative:paragraph;z-index:1576;mso-wrap-distance-left:0;mso-wrap-distance-right:0" coordorigin="1696,334" coordsize="9081,10">
            <v:line style="position:absolute" from="1701,339" to="4724,339" stroked="true" strokeweight=".5pt" strokecolor="#000000">
              <v:stroke dashstyle="solid"/>
            </v:line>
            <v:line style="position:absolute" from="4724,339" to="7748,339" stroked="true" strokeweight=".5pt" strokecolor="#000000">
              <v:stroke dashstyle="solid"/>
            </v:line>
            <v:line style="position:absolute" from="7748,339" to="10772,339" stroked="true" strokeweight=".5pt" strokecolor="#000000">
              <v:stroke dashstyle="solid"/>
            </v:line>
            <w10:wrap type="topAndBottom"/>
          </v:group>
        </w:pict>
      </w:r>
    </w:p>
    <w:p>
      <w:pPr>
        <w:tabs>
          <w:tab w:pos="4313" w:val="left" w:leader="none"/>
          <w:tab w:pos="8702" w:val="left" w:leader="none"/>
        </w:tabs>
        <w:spacing w:line="142" w:lineRule="exact" w:before="0"/>
        <w:ind w:left="120" w:right="0" w:firstLine="0"/>
        <w:jc w:val="left"/>
        <w:rPr>
          <w:sz w:val="16"/>
        </w:rPr>
      </w:pPr>
      <w:r>
        <w:rPr>
          <w:sz w:val="16"/>
        </w:rPr>
        <w:t>RLN</w:t>
      </w:r>
      <w:r>
        <w:rPr>
          <w:spacing w:val="-2"/>
          <w:sz w:val="16"/>
        </w:rPr>
        <w:t> </w:t>
      </w:r>
      <w:r>
        <w:rPr>
          <w:sz w:val="16"/>
        </w:rPr>
        <w:t>-</w:t>
      </w:r>
      <w:r>
        <w:rPr>
          <w:spacing w:val="-2"/>
          <w:sz w:val="16"/>
        </w:rPr>
        <w:t> </w:t>
      </w:r>
      <w:r>
        <w:rPr>
          <w:sz w:val="16"/>
        </w:rPr>
        <w:t>Richtlijn</w:t>
        <w:tab/>
      </w:r>
      <w:r>
        <w:rPr>
          <w:b/>
          <w:sz w:val="16"/>
        </w:rPr>
        <w:t>006</w:t>
      </w:r>
      <w:r>
        <w:rPr>
          <w:b/>
          <w:spacing w:val="-2"/>
          <w:sz w:val="16"/>
        </w:rPr>
        <w:t> </w:t>
      </w:r>
      <w:r>
        <w:rPr>
          <w:sz w:val="16"/>
        </w:rPr>
        <w:t>(000)</w:t>
        <w:tab/>
        <w:t>17 /</w:t>
      </w:r>
      <w:r>
        <w:rPr>
          <w:spacing w:val="-3"/>
          <w:sz w:val="16"/>
        </w:rPr>
        <w:t> </w:t>
      </w:r>
      <w:r>
        <w:rPr>
          <w:sz w:val="16"/>
        </w:rPr>
        <w:t>17</w:t>
      </w:r>
    </w:p>
    <w:sectPr>
      <w:headerReference w:type="even" r:id="rId20"/>
      <w:footerReference w:type="even" r:id="rId21"/>
      <w:pgSz w:w="11910" w:h="16840"/>
      <w:pgMar w:header="0" w:footer="0" w:top="580" w:bottom="280" w:left="158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84.789001pt;margin-top:813.292969pt;width:454.05pt;height:.5pt;mso-position-horizontal-relative:page;mso-position-vertical-relative:page;z-index:-47944" coordorigin="1696,16266" coordsize="9081,10">
          <v:line style="position:absolute" from="1701,16271" to="4724,16271" stroked="true" strokeweight=".5pt" strokecolor="#000000">
            <v:stroke dashstyle="solid"/>
          </v:line>
          <v:line style="position:absolute" from="4724,16271" to="7748,16271" stroked="true" strokeweight=".5pt" strokecolor="#000000">
            <v:stroke dashstyle="solid"/>
          </v:line>
          <v:line style="position:absolute" from="7748,16271" to="10772,16271" stroked="true" strokeweight=".5pt" strokecolor="#000000">
            <v:stroke dashstyle="solid"/>
          </v:line>
          <w10:wrap type="none"/>
        </v:group>
      </w:pict>
    </w:r>
    <w:r>
      <w:rPr/>
      <w:pict>
        <v:shapetype id="_x0000_t202" o:spt="202" coordsize="21600,21600" path="m,l,21600r21600,l21600,xe">
          <v:stroke joinstyle="miter"/>
          <v:path gradientshapeok="t" o:connecttype="rect"/>
        </v:shapetype>
        <v:shape style="position:absolute;margin-left:84.039001pt;margin-top:812.422791pt;width:53.1pt;height:10.95pt;mso-position-horizontal-relative:page;mso-position-vertical-relative:page;z-index:-47920" type="#_x0000_t202" filled="false" stroked="false">
          <v:textbox inset="0,0,0,0">
            <w:txbxContent>
              <w:p>
                <w:pPr>
                  <w:spacing w:before="14"/>
                  <w:ind w:left="20" w:right="0" w:firstLine="0"/>
                  <w:jc w:val="left"/>
                  <w:rPr>
                    <w:sz w:val="16"/>
                  </w:rPr>
                </w:pPr>
                <w:r>
                  <w:rPr>
                    <w:sz w:val="16"/>
                  </w:rPr>
                  <w:t>RLN - Richtlijn</w:t>
                </w:r>
              </w:p>
            </w:txbxContent>
          </v:textbox>
          <w10:wrap type="none"/>
        </v:shape>
      </w:pict>
    </w:r>
    <w:r>
      <w:rPr/>
      <w:pict>
        <v:shape style="position:absolute;margin-left:293.694pt;margin-top:812.422791pt;width:36.25pt;height:10.95pt;mso-position-horizontal-relative:page;mso-position-vertical-relative:page;z-index:-47896" type="#_x0000_t202" filled="false" stroked="false">
          <v:textbox inset="0,0,0,0">
            <w:txbxContent>
              <w:p>
                <w:pPr>
                  <w:spacing w:before="14"/>
                  <w:ind w:left="20" w:right="0" w:firstLine="0"/>
                  <w:jc w:val="left"/>
                  <w:rPr>
                    <w:sz w:val="16"/>
                  </w:rPr>
                </w:pPr>
                <w:r>
                  <w:rPr>
                    <w:b/>
                    <w:sz w:val="16"/>
                  </w:rPr>
                  <w:t>006 </w:t>
                </w:r>
                <w:r>
                  <w:rPr>
                    <w:sz w:val="16"/>
                  </w:rPr>
                  <w:t>(000)</w:t>
                </w:r>
              </w:p>
            </w:txbxContent>
          </v:textbox>
          <w10:wrap type="none"/>
        </v:shape>
      </w:pict>
    </w:r>
    <w:r>
      <w:rPr/>
      <w:pict>
        <v:shape style="position:absolute;margin-left:512.141968pt;margin-top:812.422791pt;width:27.45pt;height:10.95pt;mso-position-horizontal-relative:page;mso-position-vertical-relative:page;z-index:-47872"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11</w:t>
                </w:r>
                <w:r>
                  <w:rPr/>
                  <w:fldChar w:fldCharType="end"/>
                </w:r>
                <w:r>
                  <w:rPr>
                    <w:sz w:val="16"/>
                  </w:rPr>
                  <w:t> / 17</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56.442001pt;margin-top:813.292969pt;width:454.05pt;height:.5pt;mso-position-horizontal-relative:page;mso-position-vertical-relative:page;z-index:-47848" coordorigin="1129,16266" coordsize="9081,10">
          <v:line style="position:absolute" from="1134,16271" to="4157,16271" stroked="true" strokeweight=".5pt" strokecolor="#000000">
            <v:stroke dashstyle="solid"/>
          </v:line>
          <v:line style="position:absolute" from="4157,16271" to="7181,16271" stroked="true" strokeweight=".5pt" strokecolor="#000000">
            <v:stroke dashstyle="solid"/>
          </v:line>
          <v:line style="position:absolute" from="7181,16271" to="10205,16271" stroked="true" strokeweight=".5pt" strokecolor="#000000">
            <v:stroke dashstyle="solid"/>
          </v:line>
          <w10:wrap type="none"/>
        </v:group>
      </w:pict>
    </w:r>
    <w:r>
      <w:rPr/>
      <w:pict>
        <v:shape style="position:absolute;margin-left:55.692001pt;margin-top:812.422791pt;width:53.1pt;height:10.95pt;mso-position-horizontal-relative:page;mso-position-vertical-relative:page;z-index:-47824" type="#_x0000_t202" filled="false" stroked="false">
          <v:textbox inset="0,0,0,0">
            <w:txbxContent>
              <w:p>
                <w:pPr>
                  <w:spacing w:before="14"/>
                  <w:ind w:left="20" w:right="0" w:firstLine="0"/>
                  <w:jc w:val="left"/>
                  <w:rPr>
                    <w:sz w:val="16"/>
                  </w:rPr>
                </w:pPr>
                <w:r>
                  <w:rPr>
                    <w:sz w:val="16"/>
                  </w:rPr>
                  <w:t>RLN - Richtlijn</w:t>
                </w:r>
              </w:p>
            </w:txbxContent>
          </v:textbox>
          <w10:wrap type="none"/>
        </v:shape>
      </w:pict>
    </w:r>
    <w:r>
      <w:rPr/>
      <w:pict>
        <v:shape style="position:absolute;margin-left:265.346985pt;margin-top:812.422791pt;width:36.25pt;height:10.95pt;mso-position-horizontal-relative:page;mso-position-vertical-relative:page;z-index:-47800" type="#_x0000_t202" filled="false" stroked="false">
          <v:textbox inset="0,0,0,0">
            <w:txbxContent>
              <w:p>
                <w:pPr>
                  <w:spacing w:before="14"/>
                  <w:ind w:left="20" w:right="0" w:firstLine="0"/>
                  <w:jc w:val="left"/>
                  <w:rPr>
                    <w:sz w:val="16"/>
                  </w:rPr>
                </w:pPr>
                <w:r>
                  <w:rPr>
                    <w:b/>
                    <w:sz w:val="16"/>
                  </w:rPr>
                  <w:t>006 </w:t>
                </w:r>
                <w:r>
                  <w:rPr>
                    <w:sz w:val="16"/>
                  </w:rPr>
                  <w:t>(000)</w:t>
                </w:r>
              </w:p>
            </w:txbxContent>
          </v:textbox>
          <w10:wrap type="none"/>
        </v:shape>
      </w:pict>
    </w:r>
    <w:r>
      <w:rPr/>
      <w:pict>
        <v:shape style="position:absolute;margin-left:483.794983pt;margin-top:812.422791pt;width:27.45pt;height:10.95pt;mso-position-horizontal-relative:page;mso-position-vertical-relative:page;z-index:-47776"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10</w:t>
                </w:r>
                <w:r>
                  <w:rPr/>
                  <w:fldChar w:fldCharType="end"/>
                </w:r>
                <w:r>
                  <w:rPr>
                    <w:sz w:val="16"/>
                  </w:rPr>
                  <w:t> / 17</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56.442001pt;margin-top:566.679016pt;width:729.05pt;height:.5pt;mso-position-horizontal-relative:page;mso-position-vertical-relative:page;z-index:-47248" coordorigin="1129,11334" coordsize="14581,10">
          <v:line style="position:absolute" from="1134,11339" to="5991,11339" stroked="true" strokeweight=".5pt" strokecolor="#000000">
            <v:stroke dashstyle="solid"/>
          </v:line>
          <v:line style="position:absolute" from="5991,11339" to="10847,11339" stroked="true" strokeweight=".5pt" strokecolor="#000000">
            <v:stroke dashstyle="solid"/>
          </v:line>
          <v:line style="position:absolute" from="10847,11339" to="15704,11339" stroked="true" strokeweight=".5pt" strokecolor="#000000">
            <v:stroke dashstyle="solid"/>
          </v:line>
          <w10:wrap type="none"/>
        </v:group>
      </w:pict>
    </w:r>
    <w:r>
      <w:rPr/>
      <w:pict>
        <v:shape style="position:absolute;margin-left:55.692001pt;margin-top:565.808838pt;width:53.1pt;height:10.95pt;mso-position-horizontal-relative:page;mso-position-vertical-relative:page;z-index:-47224" type="#_x0000_t202" filled="false" stroked="false">
          <v:textbox inset="0,0,0,0">
            <w:txbxContent>
              <w:p>
                <w:pPr>
                  <w:spacing w:before="14"/>
                  <w:ind w:left="20" w:right="0" w:firstLine="0"/>
                  <w:jc w:val="left"/>
                  <w:rPr>
                    <w:sz w:val="16"/>
                  </w:rPr>
                </w:pPr>
                <w:r>
                  <w:rPr>
                    <w:sz w:val="16"/>
                  </w:rPr>
                  <w:t>RLN - Richtlijn</w:t>
                </w:r>
              </w:p>
            </w:txbxContent>
          </v:textbox>
          <w10:wrap type="none"/>
        </v:shape>
      </w:pict>
    </w:r>
    <w:r>
      <w:rPr/>
      <w:pict>
        <v:shape style="position:absolute;margin-left:402.828003pt;margin-top:565.808838pt;width:36.25pt;height:10.95pt;mso-position-horizontal-relative:page;mso-position-vertical-relative:page;z-index:-47200" type="#_x0000_t202" filled="false" stroked="false">
          <v:textbox inset="0,0,0,0">
            <w:txbxContent>
              <w:p>
                <w:pPr>
                  <w:spacing w:before="14"/>
                  <w:ind w:left="20" w:right="0" w:firstLine="0"/>
                  <w:jc w:val="left"/>
                  <w:rPr>
                    <w:sz w:val="16"/>
                  </w:rPr>
                </w:pPr>
                <w:r>
                  <w:rPr>
                    <w:b/>
                    <w:sz w:val="16"/>
                  </w:rPr>
                  <w:t>006 </w:t>
                </w:r>
                <w:r>
                  <w:rPr>
                    <w:sz w:val="16"/>
                  </w:rPr>
                  <w:t>(000)</w:t>
                </w:r>
              </w:p>
            </w:txbxContent>
          </v:textbox>
          <w10:wrap type="none"/>
        </v:shape>
      </w:pict>
    </w:r>
    <w:r>
      <w:rPr/>
      <w:pict>
        <v:shape style="position:absolute;margin-left:758.757019pt;margin-top:565.808838pt;width:27.45pt;height:10.95pt;mso-position-horizontal-relative:page;mso-position-vertical-relative:page;z-index:-47176"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13</w:t>
                </w:r>
                <w:r>
                  <w:rPr/>
                  <w:fldChar w:fldCharType="end"/>
                </w:r>
                <w:r>
                  <w:rPr>
                    <w:sz w:val="16"/>
                  </w:rPr>
                  <w:t> / 17</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56.442001pt;margin-top:566.679016pt;width:729.05pt;height:.5pt;mso-position-horizontal-relative:page;mso-position-vertical-relative:page;z-index:-47152" coordorigin="1129,11334" coordsize="14581,10">
          <v:line style="position:absolute" from="1134,11339" to="5991,11339" stroked="true" strokeweight=".5pt" strokecolor="#000000">
            <v:stroke dashstyle="solid"/>
          </v:line>
          <v:line style="position:absolute" from="5991,11339" to="10847,11339" stroked="true" strokeweight=".5pt" strokecolor="#000000">
            <v:stroke dashstyle="solid"/>
          </v:line>
          <v:line style="position:absolute" from="10847,11339" to="15704,11339" stroked="true" strokeweight=".5pt" strokecolor="#000000">
            <v:stroke dashstyle="solid"/>
          </v:line>
          <w10:wrap type="none"/>
        </v:group>
      </w:pict>
    </w:r>
    <w:r>
      <w:rPr/>
      <w:pict>
        <v:shape style="position:absolute;margin-left:55.692001pt;margin-top:565.808838pt;width:53.1pt;height:10.95pt;mso-position-horizontal-relative:page;mso-position-vertical-relative:page;z-index:-47128" type="#_x0000_t202" filled="false" stroked="false">
          <v:textbox inset="0,0,0,0">
            <w:txbxContent>
              <w:p>
                <w:pPr>
                  <w:spacing w:before="14"/>
                  <w:ind w:left="20" w:right="0" w:firstLine="0"/>
                  <w:jc w:val="left"/>
                  <w:rPr>
                    <w:sz w:val="16"/>
                  </w:rPr>
                </w:pPr>
                <w:r>
                  <w:rPr>
                    <w:sz w:val="16"/>
                  </w:rPr>
                  <w:t>RLN - Richtlijn</w:t>
                </w:r>
              </w:p>
            </w:txbxContent>
          </v:textbox>
          <w10:wrap type="none"/>
        </v:shape>
      </w:pict>
    </w:r>
    <w:r>
      <w:rPr/>
      <w:pict>
        <v:shape style="position:absolute;margin-left:402.828003pt;margin-top:565.808838pt;width:36.25pt;height:10.95pt;mso-position-horizontal-relative:page;mso-position-vertical-relative:page;z-index:-47104" type="#_x0000_t202" filled="false" stroked="false">
          <v:textbox inset="0,0,0,0">
            <w:txbxContent>
              <w:p>
                <w:pPr>
                  <w:spacing w:before="14"/>
                  <w:ind w:left="20" w:right="0" w:firstLine="0"/>
                  <w:jc w:val="left"/>
                  <w:rPr>
                    <w:sz w:val="16"/>
                  </w:rPr>
                </w:pPr>
                <w:r>
                  <w:rPr>
                    <w:b/>
                    <w:sz w:val="16"/>
                  </w:rPr>
                  <w:t>006 </w:t>
                </w:r>
                <w:r>
                  <w:rPr>
                    <w:sz w:val="16"/>
                  </w:rPr>
                  <w:t>(000)</w:t>
                </w:r>
              </w:p>
            </w:txbxContent>
          </v:textbox>
          <w10:wrap type="none"/>
        </v:shape>
      </w:pict>
    </w:r>
    <w:r>
      <w:rPr/>
      <w:pict>
        <v:shape style="position:absolute;margin-left:758.757019pt;margin-top:565.808838pt;width:27.45pt;height:10.95pt;mso-position-horizontal-relative:page;mso-position-vertical-relative:page;z-index:-47080" type="#_x0000_t202" filled="false" stroked="false">
          <v:textbox inset="0,0,0,0">
            <w:txbxContent>
              <w:p>
                <w:pPr>
                  <w:spacing w:before="14"/>
                  <w:ind w:left="40" w:right="0" w:firstLine="0"/>
                  <w:jc w:val="left"/>
                  <w:rPr>
                    <w:sz w:val="16"/>
                  </w:rPr>
                </w:pPr>
                <w:r>
                  <w:rPr/>
                  <w:fldChar w:fldCharType="begin"/>
                </w:r>
                <w:r>
                  <w:rPr>
                    <w:sz w:val="16"/>
                  </w:rPr>
                  <w:instrText> PAGE </w:instrText>
                </w:r>
                <w:r>
                  <w:rPr/>
                  <w:fldChar w:fldCharType="separate"/>
                </w:r>
                <w:r>
                  <w:rPr/>
                  <w:t>14</w:t>
                </w:r>
                <w:r>
                  <w:rPr/>
                  <w:fldChar w:fldCharType="end"/>
                </w:r>
                <w:r>
                  <w:rPr>
                    <w:sz w:val="16"/>
                  </w:rPr>
                  <w:t> / 17</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87703">
          <wp:simplePos x="0" y="0"/>
          <wp:positionH relativeFrom="page">
            <wp:posOffset>719988</wp:posOffset>
          </wp:positionH>
          <wp:positionV relativeFrom="page">
            <wp:posOffset>633031</wp:posOffset>
          </wp:positionV>
          <wp:extent cx="732840" cy="179997"/>
          <wp:effectExtent l="0" t="0" r="0" b="0"/>
          <wp:wrapNone/>
          <wp:docPr id="3" name="image2.png" descr=""/>
          <wp:cNvGraphicFramePr>
            <a:graphicFrameLocks noChangeAspect="1"/>
          </wp:cNvGraphicFramePr>
          <a:graphic>
            <a:graphicData uri="http://schemas.openxmlformats.org/drawingml/2006/picture">
              <pic:pic>
                <pic:nvPicPr>
                  <pic:cNvPr id="4" name="image2.png"/>
                  <pic:cNvPicPr/>
                </pic:nvPicPr>
                <pic:blipFill>
                  <a:blip r:embed="rId1" cstate="print"/>
                  <a:stretch>
                    <a:fillRect/>
                  </a:stretch>
                </pic:blipFill>
                <pic:spPr>
                  <a:xfrm>
                    <a:off x="0" y="0"/>
                    <a:ext cx="732840" cy="179997"/>
                  </a:xfrm>
                  <a:prstGeom prst="rect">
                    <a:avLst/>
                  </a:prstGeom>
                </pic:spPr>
              </pic:pic>
            </a:graphicData>
          </a:graphic>
        </wp:anchor>
      </w:drawing>
    </w:r>
    <w:r>
      <w:rPr/>
      <w:pict>
        <v:shape style="position:absolute;margin-left:219.843002pt;margin-top:26.97579pt;width:127.25pt;height:39.75pt;mso-position-horizontal-relative:page;mso-position-vertical-relative:page;z-index:-47728" type="#_x0000_t202" filled="false" stroked="false">
          <v:textbox inset="0,0,0,0">
            <w:txbxContent>
              <w:p>
                <w:pPr>
                  <w:spacing w:line="249" w:lineRule="auto" w:before="14"/>
                  <w:ind w:left="272" w:right="262" w:hanging="9"/>
                  <w:jc w:val="both"/>
                  <w:rPr>
                    <w:b/>
                    <w:sz w:val="16"/>
                  </w:rPr>
                </w:pPr>
                <w:r>
                  <w:rPr>
                    <w:b/>
                    <w:sz w:val="16"/>
                  </w:rPr>
                  <w:t>EMC-eisen aan apparatuur nabij alle geëlektrificeerde en niet-geëlektrificeerde</w:t>
                </w:r>
              </w:p>
              <w:p>
                <w:pPr>
                  <w:spacing w:before="0"/>
                  <w:ind w:left="20" w:right="0" w:firstLine="0"/>
                  <w:jc w:val="left"/>
                  <w:rPr>
                    <w:b/>
                    <w:sz w:val="16"/>
                  </w:rPr>
                </w:pPr>
                <w:r>
                  <w:rPr>
                    <w:b/>
                    <w:sz w:val="16"/>
                  </w:rPr>
                  <w:t>baanvakken in beheer bij ProRail</w:t>
                </w:r>
              </w:p>
            </w:txbxContent>
          </v:textbox>
          <w10:wrap type="none"/>
        </v:shape>
      </w:pict>
    </w:r>
    <w:r>
      <w:rPr/>
      <w:pict>
        <v:shape style="position:absolute;margin-left:470.562988pt;margin-top:55.775791pt;width:40.7pt;height:10.95pt;mso-position-horizontal-relative:page;mso-position-vertical-relative:page;z-index:-47704" type="#_x0000_t202" filled="false" stroked="false">
          <v:textbox inset="0,0,0,0">
            <w:txbxContent>
              <w:p>
                <w:pPr>
                  <w:spacing w:before="14"/>
                  <w:ind w:left="20" w:right="0" w:firstLine="0"/>
                  <w:jc w:val="left"/>
                  <w:rPr>
                    <w:b/>
                    <w:sz w:val="16"/>
                  </w:rPr>
                </w:pPr>
                <w:r>
                  <w:rPr>
                    <w:b/>
                    <w:sz w:val="16"/>
                  </w:rPr>
                  <w:t>RLN00007</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87775">
          <wp:simplePos x="0" y="0"/>
          <wp:positionH relativeFrom="page">
            <wp:posOffset>1079995</wp:posOffset>
          </wp:positionH>
          <wp:positionV relativeFrom="page">
            <wp:posOffset>633031</wp:posOffset>
          </wp:positionV>
          <wp:extent cx="732840" cy="179997"/>
          <wp:effectExtent l="0" t="0" r="0" b="0"/>
          <wp:wrapNone/>
          <wp:docPr id="5" name="image2.png" descr=""/>
          <wp:cNvGraphicFramePr>
            <a:graphicFrameLocks noChangeAspect="1"/>
          </wp:cNvGraphicFramePr>
          <a:graphic>
            <a:graphicData uri="http://schemas.openxmlformats.org/drawingml/2006/picture">
              <pic:pic>
                <pic:nvPicPr>
                  <pic:cNvPr id="6" name="image2.png"/>
                  <pic:cNvPicPr/>
                </pic:nvPicPr>
                <pic:blipFill>
                  <a:blip r:embed="rId1" cstate="print"/>
                  <a:stretch>
                    <a:fillRect/>
                  </a:stretch>
                </pic:blipFill>
                <pic:spPr>
                  <a:xfrm>
                    <a:off x="0" y="0"/>
                    <a:ext cx="732840" cy="179997"/>
                  </a:xfrm>
                  <a:prstGeom prst="rect">
                    <a:avLst/>
                  </a:prstGeom>
                </pic:spPr>
              </pic:pic>
            </a:graphicData>
          </a:graphic>
        </wp:anchor>
      </w:drawing>
    </w:r>
    <w:r>
      <w:rPr/>
      <w:pict>
        <v:group style="position:absolute;margin-left:84.789001pt;margin-top:66.745979pt;width:454.05pt;height:.5pt;mso-position-horizontal-relative:page;mso-position-vertical-relative:page;z-index:-47656" coordorigin="1696,1335" coordsize="9081,10">
          <v:line style="position:absolute" from="1701,1340" to="4724,1340" stroked="true" strokeweight=".5pt" strokecolor="#000000">
            <v:stroke dashstyle="solid"/>
          </v:line>
          <v:line style="position:absolute" from="4724,1340" to="7748,1340" stroked="true" strokeweight=".5pt" strokecolor="#000000">
            <v:stroke dashstyle="solid"/>
          </v:line>
          <v:line style="position:absolute" from="7748,1340" to="10772,1340" stroked="true" strokeweight=".5pt" strokecolor="#000000">
            <v:stroke dashstyle="solid"/>
          </v:line>
          <w10:wrap type="none"/>
        </v:group>
      </w:pict>
    </w:r>
    <w:r>
      <w:rPr/>
      <w:pict>
        <v:shape style="position:absolute;margin-left:248.190002pt;margin-top:26.97579pt;width:127.25pt;height:39.75pt;mso-position-horizontal-relative:page;mso-position-vertical-relative:page;z-index:-47632" type="#_x0000_t202" filled="false" stroked="false">
          <v:textbox inset="0,0,0,0">
            <w:txbxContent>
              <w:p>
                <w:pPr>
                  <w:spacing w:line="249" w:lineRule="auto" w:before="14"/>
                  <w:ind w:left="272" w:right="262" w:hanging="9"/>
                  <w:jc w:val="both"/>
                  <w:rPr>
                    <w:b/>
                    <w:sz w:val="16"/>
                  </w:rPr>
                </w:pPr>
                <w:r>
                  <w:rPr>
                    <w:b/>
                    <w:sz w:val="16"/>
                  </w:rPr>
                  <w:t>EMC-eisen aan apparatuur nabij alle geëlektrificeerde en niet-geëlektrificeerde</w:t>
                </w:r>
              </w:p>
              <w:p>
                <w:pPr>
                  <w:spacing w:before="0"/>
                  <w:ind w:left="20" w:right="0" w:firstLine="0"/>
                  <w:jc w:val="left"/>
                  <w:rPr>
                    <w:b/>
                    <w:sz w:val="16"/>
                  </w:rPr>
                </w:pPr>
                <w:r>
                  <w:rPr>
                    <w:b/>
                    <w:sz w:val="16"/>
                  </w:rPr>
                  <w:t>baanvakken in beheer bij ProRail</w:t>
                </w:r>
              </w:p>
            </w:txbxContent>
          </v:textbox>
          <w10:wrap type="none"/>
        </v:shape>
      </w:pict>
    </w:r>
    <w:r>
      <w:rPr/>
      <w:pict>
        <v:shape style="position:absolute;margin-left:498.910004pt;margin-top:55.775791pt;width:40.7pt;height:10.95pt;mso-position-horizontal-relative:page;mso-position-vertical-relative:page;z-index:-47608" type="#_x0000_t202" filled="false" stroked="false">
          <v:textbox inset="0,0,0,0">
            <w:txbxContent>
              <w:p>
                <w:pPr>
                  <w:spacing w:before="14"/>
                  <w:ind w:left="20" w:right="0" w:firstLine="0"/>
                  <w:jc w:val="left"/>
                  <w:rPr>
                    <w:b/>
                    <w:sz w:val="16"/>
                  </w:rPr>
                </w:pPr>
                <w:r>
                  <w:rPr>
                    <w:b/>
                    <w:sz w:val="16"/>
                  </w:rPr>
                  <w:t>RLN00007</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87871">
          <wp:simplePos x="0" y="0"/>
          <wp:positionH relativeFrom="page">
            <wp:posOffset>719988</wp:posOffset>
          </wp:positionH>
          <wp:positionV relativeFrom="page">
            <wp:posOffset>633031</wp:posOffset>
          </wp:positionV>
          <wp:extent cx="732840" cy="179997"/>
          <wp:effectExtent l="0" t="0" r="0" b="0"/>
          <wp:wrapNone/>
          <wp:docPr id="9" name="image2.png" descr=""/>
          <wp:cNvGraphicFramePr>
            <a:graphicFrameLocks noChangeAspect="1"/>
          </wp:cNvGraphicFramePr>
          <a:graphic>
            <a:graphicData uri="http://schemas.openxmlformats.org/drawingml/2006/picture">
              <pic:pic>
                <pic:nvPicPr>
                  <pic:cNvPr id="10" name="image2.png"/>
                  <pic:cNvPicPr/>
                </pic:nvPicPr>
                <pic:blipFill>
                  <a:blip r:embed="rId1" cstate="print"/>
                  <a:stretch>
                    <a:fillRect/>
                  </a:stretch>
                </pic:blipFill>
                <pic:spPr>
                  <a:xfrm>
                    <a:off x="0" y="0"/>
                    <a:ext cx="732840" cy="179997"/>
                  </a:xfrm>
                  <a:prstGeom prst="rect">
                    <a:avLst/>
                  </a:prstGeom>
                </pic:spPr>
              </pic:pic>
            </a:graphicData>
          </a:graphic>
        </wp:anchor>
      </w:drawing>
    </w:r>
    <w:r>
      <w:rPr/>
      <w:pict>
        <v:group style="position:absolute;margin-left:56.442001pt;margin-top:66.745979pt;width:454.05pt;height:.5pt;mso-position-horizontal-relative:page;mso-position-vertical-relative:page;z-index:-47560" coordorigin="1129,1335" coordsize="9081,10">
          <v:line style="position:absolute" from="1134,1340" to="4157,1340" stroked="true" strokeweight=".5pt" strokecolor="#000000">
            <v:stroke dashstyle="solid"/>
          </v:line>
          <v:line style="position:absolute" from="4157,1340" to="7181,1340" stroked="true" strokeweight=".5pt" strokecolor="#000000">
            <v:stroke dashstyle="solid"/>
          </v:line>
          <v:line style="position:absolute" from="7181,1340" to="10205,1340" stroked="true" strokeweight=".5pt" strokecolor="#000000">
            <v:stroke dashstyle="solid"/>
          </v:line>
          <w10:wrap type="none"/>
        </v:group>
      </w:pict>
    </w:r>
    <w:r>
      <w:rPr/>
      <w:pict>
        <v:shape style="position:absolute;margin-left:219.843002pt;margin-top:26.97579pt;width:127.25pt;height:39.75pt;mso-position-horizontal-relative:page;mso-position-vertical-relative:page;z-index:-47536" type="#_x0000_t202" filled="false" stroked="false">
          <v:textbox inset="0,0,0,0">
            <w:txbxContent>
              <w:p>
                <w:pPr>
                  <w:spacing w:line="249" w:lineRule="auto" w:before="14"/>
                  <w:ind w:left="272" w:right="262" w:hanging="9"/>
                  <w:jc w:val="both"/>
                  <w:rPr>
                    <w:b/>
                    <w:sz w:val="16"/>
                  </w:rPr>
                </w:pPr>
                <w:r>
                  <w:rPr>
                    <w:b/>
                    <w:sz w:val="16"/>
                  </w:rPr>
                  <w:t>EMC-eisen aan apparatuur nabij alle geëlektrificeerde en niet-geëlektrificeerde</w:t>
                </w:r>
              </w:p>
              <w:p>
                <w:pPr>
                  <w:spacing w:before="0"/>
                  <w:ind w:left="20" w:right="0" w:firstLine="0"/>
                  <w:jc w:val="left"/>
                  <w:rPr>
                    <w:b/>
                    <w:sz w:val="16"/>
                  </w:rPr>
                </w:pPr>
                <w:r>
                  <w:rPr>
                    <w:b/>
                    <w:sz w:val="16"/>
                  </w:rPr>
                  <w:t>baanvakken in beheer bij ProRail</w:t>
                </w:r>
              </w:p>
            </w:txbxContent>
          </v:textbox>
          <w10:wrap type="none"/>
        </v:shape>
      </w:pict>
    </w:r>
    <w:r>
      <w:rPr/>
      <w:pict>
        <v:shape style="position:absolute;margin-left:470.562988pt;margin-top:55.775791pt;width:40.7pt;height:10.95pt;mso-position-horizontal-relative:page;mso-position-vertical-relative:page;z-index:-47512" type="#_x0000_t202" filled="false" stroked="false">
          <v:textbox inset="0,0,0,0">
            <w:txbxContent>
              <w:p>
                <w:pPr>
                  <w:spacing w:before="14"/>
                  <w:ind w:left="20" w:right="0" w:firstLine="0"/>
                  <w:jc w:val="left"/>
                  <w:rPr>
                    <w:b/>
                    <w:sz w:val="16"/>
                  </w:rPr>
                </w:pPr>
                <w:r>
                  <w:rPr>
                    <w:b/>
                    <w:sz w:val="16"/>
                  </w:rPr>
                  <w:t>RLN00007</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87967">
          <wp:simplePos x="0" y="0"/>
          <wp:positionH relativeFrom="page">
            <wp:posOffset>1079995</wp:posOffset>
          </wp:positionH>
          <wp:positionV relativeFrom="page">
            <wp:posOffset>633031</wp:posOffset>
          </wp:positionV>
          <wp:extent cx="732840" cy="179997"/>
          <wp:effectExtent l="0" t="0" r="0" b="0"/>
          <wp:wrapNone/>
          <wp:docPr id="11" name="image2.png" descr=""/>
          <wp:cNvGraphicFramePr>
            <a:graphicFrameLocks noChangeAspect="1"/>
          </wp:cNvGraphicFramePr>
          <a:graphic>
            <a:graphicData uri="http://schemas.openxmlformats.org/drawingml/2006/picture">
              <pic:pic>
                <pic:nvPicPr>
                  <pic:cNvPr id="12" name="image2.png"/>
                  <pic:cNvPicPr/>
                </pic:nvPicPr>
                <pic:blipFill>
                  <a:blip r:embed="rId1" cstate="print"/>
                  <a:stretch>
                    <a:fillRect/>
                  </a:stretch>
                </pic:blipFill>
                <pic:spPr>
                  <a:xfrm>
                    <a:off x="0" y="0"/>
                    <a:ext cx="732840" cy="179997"/>
                  </a:xfrm>
                  <a:prstGeom prst="rect">
                    <a:avLst/>
                  </a:prstGeom>
                </pic:spPr>
              </pic:pic>
            </a:graphicData>
          </a:graphic>
        </wp:anchor>
      </w:drawing>
    </w:r>
    <w:r>
      <w:rPr/>
      <w:pict>
        <v:group style="position:absolute;margin-left:84.789001pt;margin-top:66.745979pt;width:454.05pt;height:.5pt;mso-position-horizontal-relative:page;mso-position-vertical-relative:page;z-index:-47464" coordorigin="1696,1335" coordsize="9081,10">
          <v:line style="position:absolute" from="1701,1340" to="4724,1340" stroked="true" strokeweight=".5pt" strokecolor="#000000">
            <v:stroke dashstyle="solid"/>
          </v:line>
          <v:line style="position:absolute" from="4724,1340" to="7748,1340" stroked="true" strokeweight=".5pt" strokecolor="#000000">
            <v:stroke dashstyle="solid"/>
          </v:line>
          <v:line style="position:absolute" from="7748,1340" to="10772,1340" stroked="true" strokeweight=".5pt" strokecolor="#000000">
            <v:stroke dashstyle="solid"/>
          </v:line>
          <w10:wrap type="none"/>
        </v:group>
      </w:pict>
    </w:r>
    <w:r>
      <w:rPr/>
      <w:pict>
        <v:shape style="position:absolute;margin-left:248.190002pt;margin-top:26.97579pt;width:127.25pt;height:39.75pt;mso-position-horizontal-relative:page;mso-position-vertical-relative:page;z-index:-47440" type="#_x0000_t202" filled="false" stroked="false">
          <v:textbox inset="0,0,0,0">
            <w:txbxContent>
              <w:p>
                <w:pPr>
                  <w:spacing w:line="249" w:lineRule="auto" w:before="14"/>
                  <w:ind w:left="272" w:right="262" w:hanging="9"/>
                  <w:jc w:val="both"/>
                  <w:rPr>
                    <w:b/>
                    <w:sz w:val="16"/>
                  </w:rPr>
                </w:pPr>
                <w:r>
                  <w:rPr>
                    <w:b/>
                    <w:sz w:val="16"/>
                  </w:rPr>
                  <w:t>EMC-eisen aan apparatuur nabij alle geëlektrificeerde en niet-geëlektrificeerde</w:t>
                </w:r>
              </w:p>
              <w:p>
                <w:pPr>
                  <w:spacing w:before="0"/>
                  <w:ind w:left="20" w:right="0" w:firstLine="0"/>
                  <w:jc w:val="left"/>
                  <w:rPr>
                    <w:b/>
                    <w:sz w:val="16"/>
                  </w:rPr>
                </w:pPr>
                <w:r>
                  <w:rPr>
                    <w:b/>
                    <w:sz w:val="16"/>
                  </w:rPr>
                  <w:t>baanvakken in beheer bij ProRail</w:t>
                </w:r>
              </w:p>
            </w:txbxContent>
          </v:textbox>
          <w10:wrap type="none"/>
        </v:shape>
      </w:pict>
    </w:r>
    <w:r>
      <w:rPr/>
      <w:pict>
        <v:shape style="position:absolute;margin-left:498.910004pt;margin-top:55.775791pt;width:40.7pt;height:10.95pt;mso-position-horizontal-relative:page;mso-position-vertical-relative:page;z-index:-47416" type="#_x0000_t202" filled="false" stroked="false">
          <v:textbox inset="0,0,0,0">
            <w:txbxContent>
              <w:p>
                <w:pPr>
                  <w:spacing w:before="14"/>
                  <w:ind w:left="20" w:right="0" w:firstLine="0"/>
                  <w:jc w:val="left"/>
                  <w:rPr>
                    <w:b/>
                    <w:sz w:val="16"/>
                  </w:rPr>
                </w:pPr>
                <w:r>
                  <w:rPr>
                    <w:b/>
                    <w:sz w:val="16"/>
                  </w:rPr>
                  <w:t>RLN00007</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88063">
          <wp:simplePos x="0" y="0"/>
          <wp:positionH relativeFrom="page">
            <wp:posOffset>719988</wp:posOffset>
          </wp:positionH>
          <wp:positionV relativeFrom="page">
            <wp:posOffset>373304</wp:posOffset>
          </wp:positionV>
          <wp:extent cx="732840" cy="179997"/>
          <wp:effectExtent l="0" t="0" r="0" b="0"/>
          <wp:wrapNone/>
          <wp:docPr id="13" name="image2.png" descr=""/>
          <wp:cNvGraphicFramePr>
            <a:graphicFrameLocks noChangeAspect="1"/>
          </wp:cNvGraphicFramePr>
          <a:graphic>
            <a:graphicData uri="http://schemas.openxmlformats.org/drawingml/2006/picture">
              <pic:pic>
                <pic:nvPicPr>
                  <pic:cNvPr id="14" name="image2.png"/>
                  <pic:cNvPicPr/>
                </pic:nvPicPr>
                <pic:blipFill>
                  <a:blip r:embed="rId1" cstate="print"/>
                  <a:stretch>
                    <a:fillRect/>
                  </a:stretch>
                </pic:blipFill>
                <pic:spPr>
                  <a:xfrm>
                    <a:off x="0" y="0"/>
                    <a:ext cx="732840" cy="179997"/>
                  </a:xfrm>
                  <a:prstGeom prst="rect">
                    <a:avLst/>
                  </a:prstGeom>
                </pic:spPr>
              </pic:pic>
            </a:graphicData>
          </a:graphic>
        </wp:anchor>
      </w:drawing>
    </w:r>
    <w:r>
      <w:rPr/>
      <w:pict>
        <v:group style="position:absolute;margin-left:56.442001pt;margin-top:46.295025pt;width:729.05pt;height:.5pt;mso-position-horizontal-relative:page;mso-position-vertical-relative:page;z-index:-47368" coordorigin="1129,926" coordsize="14581,10">
          <v:line style="position:absolute" from="1134,931" to="5991,931" stroked="true" strokeweight=".5pt" strokecolor="#000000">
            <v:stroke dashstyle="solid"/>
          </v:line>
          <v:line style="position:absolute" from="5991,931" to="10847,931" stroked="true" strokeweight=".5pt" strokecolor="#000000">
            <v:stroke dashstyle="solid"/>
          </v:line>
          <v:line style="position:absolute" from="10847,931" to="15704,931" stroked="true" strokeweight=".5pt" strokecolor="#000000">
            <v:stroke dashstyle="solid"/>
          </v:line>
          <w10:wrap type="none"/>
        </v:group>
      </w:pict>
    </w:r>
    <w:r>
      <w:rPr/>
      <w:pict>
        <v:shape style="position:absolute;margin-left:745.525024pt;margin-top:35.324837pt;width:40.7pt;height:10.95pt;mso-position-horizontal-relative:page;mso-position-vertical-relative:page;z-index:-47344" type="#_x0000_t202" filled="false" stroked="false">
          <v:textbox inset="0,0,0,0">
            <w:txbxContent>
              <w:p>
                <w:pPr>
                  <w:spacing w:before="14"/>
                  <w:ind w:left="20" w:right="0" w:firstLine="0"/>
                  <w:jc w:val="left"/>
                  <w:rPr>
                    <w:b/>
                    <w:sz w:val="16"/>
                  </w:rPr>
                </w:pPr>
                <w:r>
                  <w:rPr>
                    <w:b/>
                    <w:sz w:val="16"/>
                  </w:rPr>
                  <w:t>RLN00007</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68388135">
          <wp:simplePos x="0" y="0"/>
          <wp:positionH relativeFrom="page">
            <wp:posOffset>719988</wp:posOffset>
          </wp:positionH>
          <wp:positionV relativeFrom="page">
            <wp:posOffset>373304</wp:posOffset>
          </wp:positionV>
          <wp:extent cx="732840" cy="179997"/>
          <wp:effectExtent l="0" t="0" r="0" b="0"/>
          <wp:wrapNone/>
          <wp:docPr id="15" name="image2.png" descr=""/>
          <wp:cNvGraphicFramePr>
            <a:graphicFrameLocks noChangeAspect="1"/>
          </wp:cNvGraphicFramePr>
          <a:graphic>
            <a:graphicData uri="http://schemas.openxmlformats.org/drawingml/2006/picture">
              <pic:pic>
                <pic:nvPicPr>
                  <pic:cNvPr id="16" name="image2.png"/>
                  <pic:cNvPicPr/>
                </pic:nvPicPr>
                <pic:blipFill>
                  <a:blip r:embed="rId1" cstate="print"/>
                  <a:stretch>
                    <a:fillRect/>
                  </a:stretch>
                </pic:blipFill>
                <pic:spPr>
                  <a:xfrm>
                    <a:off x="0" y="0"/>
                    <a:ext cx="732840" cy="179997"/>
                  </a:xfrm>
                  <a:prstGeom prst="rect">
                    <a:avLst/>
                  </a:prstGeom>
                </pic:spPr>
              </pic:pic>
            </a:graphicData>
          </a:graphic>
        </wp:anchor>
      </w:drawing>
    </w:r>
    <w:r>
      <w:rPr/>
      <w:pict>
        <v:group style="position:absolute;margin-left:56.442001pt;margin-top:46.295025pt;width:729.05pt;height:.5pt;mso-position-horizontal-relative:page;mso-position-vertical-relative:page;z-index:-47296" coordorigin="1129,926" coordsize="14581,10">
          <v:line style="position:absolute" from="1134,931" to="5991,931" stroked="true" strokeweight=".5pt" strokecolor="#000000">
            <v:stroke dashstyle="solid"/>
          </v:line>
          <v:line style="position:absolute" from="5991,931" to="10847,931" stroked="true" strokeweight=".5pt" strokecolor="#000000">
            <v:stroke dashstyle="solid"/>
          </v:line>
          <v:line style="position:absolute" from="10847,931" to="15704,931" stroked="true" strokeweight=".5pt" strokecolor="#000000">
            <v:stroke dashstyle="solid"/>
          </v:line>
          <w10:wrap type="none"/>
        </v:group>
      </w:pict>
    </w:r>
    <w:r>
      <w:rPr/>
      <w:pict>
        <v:shape style="position:absolute;margin-left:745.525024pt;margin-top:35.324837pt;width:40.7pt;height:10.95pt;mso-position-horizontal-relative:page;mso-position-vertical-relative:page;z-index:-47272" type="#_x0000_t202" filled="false" stroked="false">
          <v:textbox inset="0,0,0,0">
            <w:txbxContent>
              <w:p>
                <w:pPr>
                  <w:spacing w:before="14"/>
                  <w:ind w:left="20" w:right="0" w:firstLine="0"/>
                  <w:jc w:val="left"/>
                  <w:rPr>
                    <w:b/>
                    <w:sz w:val="16"/>
                  </w:rPr>
                </w:pPr>
                <w:r>
                  <w:rPr>
                    <w:b/>
                    <w:sz w:val="16"/>
                  </w:rPr>
                  <w:t>RLN00007</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1230" w:hanging="409"/>
        <w:jc w:val="left"/>
      </w:pPr>
      <w:rPr>
        <w:rFonts w:hint="default" w:ascii="Arial" w:hAnsi="Arial" w:eastAsia="Arial" w:cs="Arial"/>
        <w:w w:val="99"/>
        <w:sz w:val="20"/>
        <w:szCs w:val="20"/>
      </w:rPr>
    </w:lvl>
    <w:lvl w:ilvl="1">
      <w:start w:val="0"/>
      <w:numFmt w:val="bullet"/>
      <w:lvlText w:val="•"/>
      <w:lvlJc w:val="left"/>
      <w:pPr>
        <w:ind w:left="2046" w:hanging="409"/>
      </w:pPr>
      <w:rPr>
        <w:rFonts w:hint="default"/>
      </w:rPr>
    </w:lvl>
    <w:lvl w:ilvl="2">
      <w:start w:val="0"/>
      <w:numFmt w:val="bullet"/>
      <w:lvlText w:val="•"/>
      <w:lvlJc w:val="left"/>
      <w:pPr>
        <w:ind w:left="2853" w:hanging="409"/>
      </w:pPr>
      <w:rPr>
        <w:rFonts w:hint="default"/>
      </w:rPr>
    </w:lvl>
    <w:lvl w:ilvl="3">
      <w:start w:val="0"/>
      <w:numFmt w:val="bullet"/>
      <w:lvlText w:val="•"/>
      <w:lvlJc w:val="left"/>
      <w:pPr>
        <w:ind w:left="3659" w:hanging="409"/>
      </w:pPr>
      <w:rPr>
        <w:rFonts w:hint="default"/>
      </w:rPr>
    </w:lvl>
    <w:lvl w:ilvl="4">
      <w:start w:val="0"/>
      <w:numFmt w:val="bullet"/>
      <w:lvlText w:val="•"/>
      <w:lvlJc w:val="left"/>
      <w:pPr>
        <w:ind w:left="4466" w:hanging="409"/>
      </w:pPr>
      <w:rPr>
        <w:rFonts w:hint="default"/>
      </w:rPr>
    </w:lvl>
    <w:lvl w:ilvl="5">
      <w:start w:val="0"/>
      <w:numFmt w:val="bullet"/>
      <w:lvlText w:val="•"/>
      <w:lvlJc w:val="left"/>
      <w:pPr>
        <w:ind w:left="5272" w:hanging="409"/>
      </w:pPr>
      <w:rPr>
        <w:rFonts w:hint="default"/>
      </w:rPr>
    </w:lvl>
    <w:lvl w:ilvl="6">
      <w:start w:val="0"/>
      <w:numFmt w:val="bullet"/>
      <w:lvlText w:val="•"/>
      <w:lvlJc w:val="left"/>
      <w:pPr>
        <w:ind w:left="6079" w:hanging="409"/>
      </w:pPr>
      <w:rPr>
        <w:rFonts w:hint="default"/>
      </w:rPr>
    </w:lvl>
    <w:lvl w:ilvl="7">
      <w:start w:val="0"/>
      <w:numFmt w:val="bullet"/>
      <w:lvlText w:val="•"/>
      <w:lvlJc w:val="left"/>
      <w:pPr>
        <w:ind w:left="6885" w:hanging="409"/>
      </w:pPr>
      <w:rPr>
        <w:rFonts w:hint="default"/>
      </w:rPr>
    </w:lvl>
    <w:lvl w:ilvl="8">
      <w:start w:val="0"/>
      <w:numFmt w:val="bullet"/>
      <w:lvlText w:val="•"/>
      <w:lvlJc w:val="left"/>
      <w:pPr>
        <w:ind w:left="7692" w:hanging="409"/>
      </w:pPr>
      <w:rPr>
        <w:rFonts w:hint="default"/>
      </w:rPr>
    </w:lvl>
  </w:abstractNum>
  <w:abstractNum w:abstractNumId="5">
    <w:multiLevelType w:val="hybridMultilevel"/>
    <w:lvl w:ilvl="0">
      <w:start w:val="0"/>
      <w:numFmt w:val="bullet"/>
      <w:lvlText w:val="■"/>
      <w:lvlJc w:val="left"/>
      <w:pPr>
        <w:ind w:left="1237" w:hanging="409"/>
      </w:pPr>
      <w:rPr>
        <w:rFonts w:hint="default" w:ascii="Arial" w:hAnsi="Arial" w:eastAsia="Arial" w:cs="Arial"/>
        <w:spacing w:val="-1"/>
        <w:w w:val="99"/>
        <w:sz w:val="20"/>
        <w:szCs w:val="20"/>
      </w:rPr>
    </w:lvl>
    <w:lvl w:ilvl="1">
      <w:start w:val="0"/>
      <w:numFmt w:val="bullet"/>
      <w:lvlText w:val="•"/>
      <w:lvlJc w:val="left"/>
      <w:pPr>
        <w:ind w:left="2046" w:hanging="409"/>
      </w:pPr>
      <w:rPr>
        <w:rFonts w:hint="default"/>
      </w:rPr>
    </w:lvl>
    <w:lvl w:ilvl="2">
      <w:start w:val="0"/>
      <w:numFmt w:val="bullet"/>
      <w:lvlText w:val="•"/>
      <w:lvlJc w:val="left"/>
      <w:pPr>
        <w:ind w:left="2853" w:hanging="409"/>
      </w:pPr>
      <w:rPr>
        <w:rFonts w:hint="default"/>
      </w:rPr>
    </w:lvl>
    <w:lvl w:ilvl="3">
      <w:start w:val="0"/>
      <w:numFmt w:val="bullet"/>
      <w:lvlText w:val="•"/>
      <w:lvlJc w:val="left"/>
      <w:pPr>
        <w:ind w:left="3659" w:hanging="409"/>
      </w:pPr>
      <w:rPr>
        <w:rFonts w:hint="default"/>
      </w:rPr>
    </w:lvl>
    <w:lvl w:ilvl="4">
      <w:start w:val="0"/>
      <w:numFmt w:val="bullet"/>
      <w:lvlText w:val="•"/>
      <w:lvlJc w:val="left"/>
      <w:pPr>
        <w:ind w:left="4466" w:hanging="409"/>
      </w:pPr>
      <w:rPr>
        <w:rFonts w:hint="default"/>
      </w:rPr>
    </w:lvl>
    <w:lvl w:ilvl="5">
      <w:start w:val="0"/>
      <w:numFmt w:val="bullet"/>
      <w:lvlText w:val="•"/>
      <w:lvlJc w:val="left"/>
      <w:pPr>
        <w:ind w:left="5272" w:hanging="409"/>
      </w:pPr>
      <w:rPr>
        <w:rFonts w:hint="default"/>
      </w:rPr>
    </w:lvl>
    <w:lvl w:ilvl="6">
      <w:start w:val="0"/>
      <w:numFmt w:val="bullet"/>
      <w:lvlText w:val="•"/>
      <w:lvlJc w:val="left"/>
      <w:pPr>
        <w:ind w:left="6079" w:hanging="409"/>
      </w:pPr>
      <w:rPr>
        <w:rFonts w:hint="default"/>
      </w:rPr>
    </w:lvl>
    <w:lvl w:ilvl="7">
      <w:start w:val="0"/>
      <w:numFmt w:val="bullet"/>
      <w:lvlText w:val="•"/>
      <w:lvlJc w:val="left"/>
      <w:pPr>
        <w:ind w:left="6885" w:hanging="409"/>
      </w:pPr>
      <w:rPr>
        <w:rFonts w:hint="default"/>
      </w:rPr>
    </w:lvl>
    <w:lvl w:ilvl="8">
      <w:start w:val="0"/>
      <w:numFmt w:val="bullet"/>
      <w:lvlText w:val="•"/>
      <w:lvlJc w:val="left"/>
      <w:pPr>
        <w:ind w:left="7692" w:hanging="409"/>
      </w:pPr>
      <w:rPr>
        <w:rFonts w:hint="default"/>
      </w:rPr>
    </w:lvl>
  </w:abstractNum>
  <w:abstractNum w:abstractNumId="4">
    <w:multiLevelType w:val="hybridMultilevel"/>
    <w:lvl w:ilvl="0">
      <w:start w:val="0"/>
      <w:numFmt w:val="bullet"/>
      <w:lvlText w:val="-"/>
      <w:lvlJc w:val="left"/>
      <w:pPr>
        <w:ind w:left="944" w:hanging="122"/>
      </w:pPr>
      <w:rPr>
        <w:rFonts w:hint="default" w:ascii="Arial" w:hAnsi="Arial" w:eastAsia="Arial" w:cs="Arial"/>
        <w:w w:val="99"/>
        <w:sz w:val="20"/>
        <w:szCs w:val="20"/>
      </w:rPr>
    </w:lvl>
    <w:lvl w:ilvl="1">
      <w:start w:val="0"/>
      <w:numFmt w:val="bullet"/>
      <w:lvlText w:val="•"/>
      <w:lvlJc w:val="left"/>
      <w:pPr>
        <w:ind w:left="1776" w:hanging="122"/>
      </w:pPr>
      <w:rPr>
        <w:rFonts w:hint="default"/>
      </w:rPr>
    </w:lvl>
    <w:lvl w:ilvl="2">
      <w:start w:val="0"/>
      <w:numFmt w:val="bullet"/>
      <w:lvlText w:val="•"/>
      <w:lvlJc w:val="left"/>
      <w:pPr>
        <w:ind w:left="2613" w:hanging="122"/>
      </w:pPr>
      <w:rPr>
        <w:rFonts w:hint="default"/>
      </w:rPr>
    </w:lvl>
    <w:lvl w:ilvl="3">
      <w:start w:val="0"/>
      <w:numFmt w:val="bullet"/>
      <w:lvlText w:val="•"/>
      <w:lvlJc w:val="left"/>
      <w:pPr>
        <w:ind w:left="3449" w:hanging="122"/>
      </w:pPr>
      <w:rPr>
        <w:rFonts w:hint="default"/>
      </w:rPr>
    </w:lvl>
    <w:lvl w:ilvl="4">
      <w:start w:val="0"/>
      <w:numFmt w:val="bullet"/>
      <w:lvlText w:val="•"/>
      <w:lvlJc w:val="left"/>
      <w:pPr>
        <w:ind w:left="4286" w:hanging="122"/>
      </w:pPr>
      <w:rPr>
        <w:rFonts w:hint="default"/>
      </w:rPr>
    </w:lvl>
    <w:lvl w:ilvl="5">
      <w:start w:val="0"/>
      <w:numFmt w:val="bullet"/>
      <w:lvlText w:val="•"/>
      <w:lvlJc w:val="left"/>
      <w:pPr>
        <w:ind w:left="5122" w:hanging="122"/>
      </w:pPr>
      <w:rPr>
        <w:rFonts w:hint="default"/>
      </w:rPr>
    </w:lvl>
    <w:lvl w:ilvl="6">
      <w:start w:val="0"/>
      <w:numFmt w:val="bullet"/>
      <w:lvlText w:val="•"/>
      <w:lvlJc w:val="left"/>
      <w:pPr>
        <w:ind w:left="5959" w:hanging="122"/>
      </w:pPr>
      <w:rPr>
        <w:rFonts w:hint="default"/>
      </w:rPr>
    </w:lvl>
    <w:lvl w:ilvl="7">
      <w:start w:val="0"/>
      <w:numFmt w:val="bullet"/>
      <w:lvlText w:val="•"/>
      <w:lvlJc w:val="left"/>
      <w:pPr>
        <w:ind w:left="6795" w:hanging="122"/>
      </w:pPr>
      <w:rPr>
        <w:rFonts w:hint="default"/>
      </w:rPr>
    </w:lvl>
    <w:lvl w:ilvl="8">
      <w:start w:val="0"/>
      <w:numFmt w:val="bullet"/>
      <w:lvlText w:val="•"/>
      <w:lvlJc w:val="left"/>
      <w:pPr>
        <w:ind w:left="7632" w:hanging="122"/>
      </w:pPr>
      <w:rPr>
        <w:rFonts w:hint="default"/>
      </w:rPr>
    </w:lvl>
  </w:abstractNum>
  <w:abstractNum w:abstractNumId="3">
    <w:multiLevelType w:val="hybridMultilevel"/>
    <w:lvl w:ilvl="0">
      <w:start w:val="1"/>
      <w:numFmt w:val="decimal"/>
      <w:lvlText w:val="%1."/>
      <w:lvlJc w:val="left"/>
      <w:pPr>
        <w:ind w:left="1230" w:hanging="409"/>
        <w:jc w:val="left"/>
      </w:pPr>
      <w:rPr>
        <w:rFonts w:hint="default" w:ascii="Arial" w:hAnsi="Arial" w:eastAsia="Arial" w:cs="Arial"/>
        <w:w w:val="99"/>
        <w:sz w:val="20"/>
        <w:szCs w:val="20"/>
      </w:rPr>
    </w:lvl>
    <w:lvl w:ilvl="1">
      <w:start w:val="0"/>
      <w:numFmt w:val="bullet"/>
      <w:lvlText w:val="•"/>
      <w:lvlJc w:val="left"/>
      <w:pPr>
        <w:ind w:left="2046" w:hanging="409"/>
      </w:pPr>
      <w:rPr>
        <w:rFonts w:hint="default"/>
      </w:rPr>
    </w:lvl>
    <w:lvl w:ilvl="2">
      <w:start w:val="0"/>
      <w:numFmt w:val="bullet"/>
      <w:lvlText w:val="•"/>
      <w:lvlJc w:val="left"/>
      <w:pPr>
        <w:ind w:left="2853" w:hanging="409"/>
      </w:pPr>
      <w:rPr>
        <w:rFonts w:hint="default"/>
      </w:rPr>
    </w:lvl>
    <w:lvl w:ilvl="3">
      <w:start w:val="0"/>
      <w:numFmt w:val="bullet"/>
      <w:lvlText w:val="•"/>
      <w:lvlJc w:val="left"/>
      <w:pPr>
        <w:ind w:left="3659" w:hanging="409"/>
      </w:pPr>
      <w:rPr>
        <w:rFonts w:hint="default"/>
      </w:rPr>
    </w:lvl>
    <w:lvl w:ilvl="4">
      <w:start w:val="0"/>
      <w:numFmt w:val="bullet"/>
      <w:lvlText w:val="•"/>
      <w:lvlJc w:val="left"/>
      <w:pPr>
        <w:ind w:left="4466" w:hanging="409"/>
      </w:pPr>
      <w:rPr>
        <w:rFonts w:hint="default"/>
      </w:rPr>
    </w:lvl>
    <w:lvl w:ilvl="5">
      <w:start w:val="0"/>
      <w:numFmt w:val="bullet"/>
      <w:lvlText w:val="•"/>
      <w:lvlJc w:val="left"/>
      <w:pPr>
        <w:ind w:left="5272" w:hanging="409"/>
      </w:pPr>
      <w:rPr>
        <w:rFonts w:hint="default"/>
      </w:rPr>
    </w:lvl>
    <w:lvl w:ilvl="6">
      <w:start w:val="0"/>
      <w:numFmt w:val="bullet"/>
      <w:lvlText w:val="•"/>
      <w:lvlJc w:val="left"/>
      <w:pPr>
        <w:ind w:left="6079" w:hanging="409"/>
      </w:pPr>
      <w:rPr>
        <w:rFonts w:hint="default"/>
      </w:rPr>
    </w:lvl>
    <w:lvl w:ilvl="7">
      <w:start w:val="0"/>
      <w:numFmt w:val="bullet"/>
      <w:lvlText w:val="•"/>
      <w:lvlJc w:val="left"/>
      <w:pPr>
        <w:ind w:left="6885" w:hanging="409"/>
      </w:pPr>
      <w:rPr>
        <w:rFonts w:hint="default"/>
      </w:rPr>
    </w:lvl>
    <w:lvl w:ilvl="8">
      <w:start w:val="0"/>
      <w:numFmt w:val="bullet"/>
      <w:lvlText w:val="•"/>
      <w:lvlJc w:val="left"/>
      <w:pPr>
        <w:ind w:left="7692" w:hanging="409"/>
      </w:pPr>
      <w:rPr>
        <w:rFonts w:hint="default"/>
      </w:rPr>
    </w:lvl>
  </w:abstractNum>
  <w:abstractNum w:abstractNumId="2">
    <w:multiLevelType w:val="hybridMultilevel"/>
    <w:lvl w:ilvl="0">
      <w:start w:val="1"/>
      <w:numFmt w:val="decimal"/>
      <w:lvlText w:val="%1."/>
      <w:lvlJc w:val="left"/>
      <w:pPr>
        <w:ind w:left="1051" w:hanging="222"/>
        <w:jc w:val="left"/>
      </w:pPr>
      <w:rPr>
        <w:rFonts w:hint="default" w:ascii="Arial" w:hAnsi="Arial" w:eastAsia="Arial" w:cs="Arial"/>
        <w:b/>
        <w:bCs/>
        <w:w w:val="99"/>
        <w:sz w:val="20"/>
        <w:szCs w:val="20"/>
      </w:rPr>
    </w:lvl>
    <w:lvl w:ilvl="1">
      <w:start w:val="1"/>
      <w:numFmt w:val="lowerLetter"/>
      <w:lvlText w:val="%2."/>
      <w:lvlJc w:val="left"/>
      <w:pPr>
        <w:ind w:left="829" w:hanging="222"/>
        <w:jc w:val="left"/>
      </w:pPr>
      <w:rPr>
        <w:rFonts w:hint="default" w:ascii="Arial" w:hAnsi="Arial" w:eastAsia="Arial" w:cs="Arial"/>
        <w:b/>
        <w:bCs/>
        <w:w w:val="99"/>
        <w:sz w:val="20"/>
        <w:szCs w:val="20"/>
      </w:rPr>
    </w:lvl>
    <w:lvl w:ilvl="2">
      <w:start w:val="0"/>
      <w:numFmt w:val="bullet"/>
      <w:lvlText w:val="•"/>
      <w:lvlJc w:val="left"/>
      <w:pPr>
        <w:ind w:left="1976" w:hanging="222"/>
      </w:pPr>
      <w:rPr>
        <w:rFonts w:hint="default"/>
      </w:rPr>
    </w:lvl>
    <w:lvl w:ilvl="3">
      <w:start w:val="0"/>
      <w:numFmt w:val="bullet"/>
      <w:lvlText w:val="•"/>
      <w:lvlJc w:val="left"/>
      <w:pPr>
        <w:ind w:left="2892" w:hanging="222"/>
      </w:pPr>
      <w:rPr>
        <w:rFonts w:hint="default"/>
      </w:rPr>
    </w:lvl>
    <w:lvl w:ilvl="4">
      <w:start w:val="0"/>
      <w:numFmt w:val="bullet"/>
      <w:lvlText w:val="•"/>
      <w:lvlJc w:val="left"/>
      <w:pPr>
        <w:ind w:left="3808" w:hanging="222"/>
      </w:pPr>
      <w:rPr>
        <w:rFonts w:hint="default"/>
      </w:rPr>
    </w:lvl>
    <w:lvl w:ilvl="5">
      <w:start w:val="0"/>
      <w:numFmt w:val="bullet"/>
      <w:lvlText w:val="•"/>
      <w:lvlJc w:val="left"/>
      <w:pPr>
        <w:ind w:left="4724" w:hanging="222"/>
      </w:pPr>
      <w:rPr>
        <w:rFonts w:hint="default"/>
      </w:rPr>
    </w:lvl>
    <w:lvl w:ilvl="6">
      <w:start w:val="0"/>
      <w:numFmt w:val="bullet"/>
      <w:lvlText w:val="•"/>
      <w:lvlJc w:val="left"/>
      <w:pPr>
        <w:ind w:left="5640" w:hanging="222"/>
      </w:pPr>
      <w:rPr>
        <w:rFonts w:hint="default"/>
      </w:rPr>
    </w:lvl>
    <w:lvl w:ilvl="7">
      <w:start w:val="0"/>
      <w:numFmt w:val="bullet"/>
      <w:lvlText w:val="•"/>
      <w:lvlJc w:val="left"/>
      <w:pPr>
        <w:ind w:left="6557" w:hanging="222"/>
      </w:pPr>
      <w:rPr>
        <w:rFonts w:hint="default"/>
      </w:rPr>
    </w:lvl>
    <w:lvl w:ilvl="8">
      <w:start w:val="0"/>
      <w:numFmt w:val="bullet"/>
      <w:lvlText w:val="•"/>
      <w:lvlJc w:val="left"/>
      <w:pPr>
        <w:ind w:left="7473" w:hanging="222"/>
      </w:pPr>
      <w:rPr>
        <w:rFonts w:hint="default"/>
      </w:rPr>
    </w:lvl>
  </w:abstractNum>
  <w:abstractNum w:abstractNumId="1">
    <w:multiLevelType w:val="hybridMultilevel"/>
    <w:lvl w:ilvl="0">
      <w:start w:val="1"/>
      <w:numFmt w:val="decimal"/>
      <w:lvlText w:val="%1"/>
      <w:lvlJc w:val="left"/>
      <w:pPr>
        <w:ind w:left="822" w:hanging="709"/>
        <w:jc w:val="left"/>
      </w:pPr>
      <w:rPr>
        <w:rFonts w:hint="default" w:ascii="Arial" w:hAnsi="Arial" w:eastAsia="Arial" w:cs="Arial"/>
        <w:b/>
        <w:bCs/>
        <w:w w:val="99"/>
        <w:sz w:val="24"/>
        <w:szCs w:val="24"/>
      </w:rPr>
    </w:lvl>
    <w:lvl w:ilvl="1">
      <w:start w:val="1"/>
      <w:numFmt w:val="decimal"/>
      <w:lvlText w:val="%1.%2"/>
      <w:lvlJc w:val="left"/>
      <w:pPr>
        <w:ind w:left="822" w:hanging="709"/>
        <w:jc w:val="left"/>
      </w:pPr>
      <w:rPr>
        <w:rFonts w:hint="default" w:ascii="Arial" w:hAnsi="Arial" w:eastAsia="Arial" w:cs="Arial"/>
        <w:b/>
        <w:bCs/>
        <w:w w:val="99"/>
        <w:sz w:val="20"/>
        <w:szCs w:val="20"/>
      </w:rPr>
    </w:lvl>
    <w:lvl w:ilvl="2">
      <w:start w:val="0"/>
      <w:numFmt w:val="bullet"/>
      <w:lvlText w:val="■"/>
      <w:lvlJc w:val="left"/>
      <w:pPr>
        <w:ind w:left="1230" w:hanging="409"/>
      </w:pPr>
      <w:rPr>
        <w:rFonts w:hint="default" w:ascii="Arial" w:hAnsi="Arial" w:eastAsia="Arial" w:cs="Arial"/>
        <w:w w:val="99"/>
        <w:sz w:val="20"/>
        <w:szCs w:val="20"/>
      </w:rPr>
    </w:lvl>
    <w:lvl w:ilvl="3">
      <w:start w:val="0"/>
      <w:numFmt w:val="bullet"/>
      <w:lvlText w:val="•"/>
      <w:lvlJc w:val="left"/>
      <w:pPr>
        <w:ind w:left="2907" w:hanging="409"/>
      </w:pPr>
      <w:rPr>
        <w:rFonts w:hint="default"/>
      </w:rPr>
    </w:lvl>
    <w:lvl w:ilvl="4">
      <w:start w:val="0"/>
      <w:numFmt w:val="bullet"/>
      <w:lvlText w:val="•"/>
      <w:lvlJc w:val="left"/>
      <w:pPr>
        <w:ind w:left="3741" w:hanging="409"/>
      </w:pPr>
      <w:rPr>
        <w:rFonts w:hint="default"/>
      </w:rPr>
    </w:lvl>
    <w:lvl w:ilvl="5">
      <w:start w:val="0"/>
      <w:numFmt w:val="bullet"/>
      <w:lvlText w:val="•"/>
      <w:lvlJc w:val="left"/>
      <w:pPr>
        <w:ind w:left="4575" w:hanging="409"/>
      </w:pPr>
      <w:rPr>
        <w:rFonts w:hint="default"/>
      </w:rPr>
    </w:lvl>
    <w:lvl w:ilvl="6">
      <w:start w:val="0"/>
      <w:numFmt w:val="bullet"/>
      <w:lvlText w:val="•"/>
      <w:lvlJc w:val="left"/>
      <w:pPr>
        <w:ind w:left="5409" w:hanging="409"/>
      </w:pPr>
      <w:rPr>
        <w:rFonts w:hint="default"/>
      </w:rPr>
    </w:lvl>
    <w:lvl w:ilvl="7">
      <w:start w:val="0"/>
      <w:numFmt w:val="bullet"/>
      <w:lvlText w:val="•"/>
      <w:lvlJc w:val="left"/>
      <w:pPr>
        <w:ind w:left="6243" w:hanging="409"/>
      </w:pPr>
      <w:rPr>
        <w:rFonts w:hint="default"/>
      </w:rPr>
    </w:lvl>
    <w:lvl w:ilvl="8">
      <w:start w:val="0"/>
      <w:numFmt w:val="bullet"/>
      <w:lvlText w:val="•"/>
      <w:lvlJc w:val="left"/>
      <w:pPr>
        <w:ind w:left="7077" w:hanging="409"/>
      </w:pPr>
      <w:rPr>
        <w:rFonts w:hint="default"/>
      </w:rPr>
    </w:lvl>
  </w:abstractNum>
  <w:abstractNum w:abstractNumId="0">
    <w:multiLevelType w:val="hybridMultilevel"/>
    <w:lvl w:ilvl="0">
      <w:start w:val="1"/>
      <w:numFmt w:val="decimal"/>
      <w:lvlText w:val="%1"/>
      <w:lvlJc w:val="left"/>
      <w:pPr>
        <w:ind w:left="1097" w:hanging="269"/>
        <w:jc w:val="left"/>
      </w:pPr>
      <w:rPr>
        <w:rFonts w:hint="default" w:ascii="Arial" w:hAnsi="Arial" w:eastAsia="Arial" w:cs="Arial"/>
        <w:b/>
        <w:bCs/>
        <w:color w:val="000077"/>
        <w:w w:val="99"/>
        <w:sz w:val="20"/>
        <w:szCs w:val="20"/>
      </w:rPr>
    </w:lvl>
    <w:lvl w:ilvl="1">
      <w:start w:val="1"/>
      <w:numFmt w:val="decimal"/>
      <w:lvlText w:val="%1.%2"/>
      <w:lvlJc w:val="left"/>
      <w:pPr>
        <w:ind w:left="1485" w:hanging="430"/>
        <w:jc w:val="left"/>
      </w:pPr>
      <w:rPr>
        <w:rFonts w:hint="default" w:ascii="Arial" w:hAnsi="Arial" w:eastAsia="Arial" w:cs="Arial"/>
        <w:color w:val="000077"/>
        <w:w w:val="99"/>
        <w:sz w:val="20"/>
        <w:szCs w:val="20"/>
      </w:rPr>
    </w:lvl>
    <w:lvl w:ilvl="2">
      <w:start w:val="0"/>
      <w:numFmt w:val="bullet"/>
      <w:lvlText w:val="•"/>
      <w:lvlJc w:val="left"/>
      <w:pPr>
        <w:ind w:left="1460" w:hanging="430"/>
      </w:pPr>
      <w:rPr>
        <w:rFonts w:hint="default"/>
      </w:rPr>
    </w:lvl>
    <w:lvl w:ilvl="3">
      <w:start w:val="0"/>
      <w:numFmt w:val="bullet"/>
      <w:lvlText w:val="•"/>
      <w:lvlJc w:val="left"/>
      <w:pPr>
        <w:ind w:left="1480" w:hanging="430"/>
      </w:pPr>
      <w:rPr>
        <w:rFonts w:hint="default"/>
      </w:rPr>
    </w:lvl>
    <w:lvl w:ilvl="4">
      <w:start w:val="0"/>
      <w:numFmt w:val="bullet"/>
      <w:lvlText w:val="•"/>
      <w:lvlJc w:val="left"/>
      <w:pPr>
        <w:ind w:left="2603" w:hanging="430"/>
      </w:pPr>
      <w:rPr>
        <w:rFonts w:hint="default"/>
      </w:rPr>
    </w:lvl>
    <w:lvl w:ilvl="5">
      <w:start w:val="0"/>
      <w:numFmt w:val="bullet"/>
      <w:lvlText w:val="•"/>
      <w:lvlJc w:val="left"/>
      <w:pPr>
        <w:ind w:left="3727" w:hanging="430"/>
      </w:pPr>
      <w:rPr>
        <w:rFonts w:hint="default"/>
      </w:rPr>
    </w:lvl>
    <w:lvl w:ilvl="6">
      <w:start w:val="0"/>
      <w:numFmt w:val="bullet"/>
      <w:lvlText w:val="•"/>
      <w:lvlJc w:val="left"/>
      <w:pPr>
        <w:ind w:left="4850" w:hanging="430"/>
      </w:pPr>
      <w:rPr>
        <w:rFonts w:hint="default"/>
      </w:rPr>
    </w:lvl>
    <w:lvl w:ilvl="7">
      <w:start w:val="0"/>
      <w:numFmt w:val="bullet"/>
      <w:lvlText w:val="•"/>
      <w:lvlJc w:val="left"/>
      <w:pPr>
        <w:ind w:left="5974" w:hanging="430"/>
      </w:pPr>
      <w:rPr>
        <w:rFonts w:hint="default"/>
      </w:rPr>
    </w:lvl>
    <w:lvl w:ilvl="8">
      <w:start w:val="0"/>
      <w:numFmt w:val="bullet"/>
      <w:lvlText w:val="•"/>
      <w:lvlJc w:val="left"/>
      <w:pPr>
        <w:ind w:left="7098" w:hanging="430"/>
      </w:pPr>
      <w:rPr>
        <w:rFonts w:hint="default"/>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TOC1" w:type="paragraph">
    <w:name w:val="TOC 1"/>
    <w:basedOn w:val="Normal"/>
    <w:uiPriority w:val="1"/>
    <w:qFormat/>
    <w:pPr>
      <w:spacing w:before="209"/>
      <w:ind w:left="1067" w:hanging="268"/>
    </w:pPr>
    <w:rPr>
      <w:rFonts w:ascii="Arial" w:hAnsi="Arial" w:eastAsia="Arial" w:cs="Arial"/>
      <w:b/>
      <w:bCs/>
      <w:sz w:val="20"/>
      <w:szCs w:val="20"/>
    </w:rPr>
  </w:style>
  <w:style w:styleId="TOC2" w:type="paragraph">
    <w:name w:val="TOC 2"/>
    <w:basedOn w:val="Normal"/>
    <w:uiPriority w:val="1"/>
    <w:qFormat/>
    <w:pPr>
      <w:spacing w:before="69"/>
      <w:ind w:left="1056"/>
    </w:pPr>
    <w:rPr>
      <w:rFonts w:ascii="Arial" w:hAnsi="Arial" w:eastAsia="Arial" w:cs="Arial"/>
      <w:sz w:val="20"/>
      <w:szCs w:val="20"/>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ind w:left="117"/>
      <w:outlineLvl w:val="1"/>
    </w:pPr>
    <w:rPr>
      <w:rFonts w:ascii="Arial" w:hAnsi="Arial" w:eastAsia="Arial" w:cs="Arial"/>
      <w:b/>
      <w:bCs/>
      <w:sz w:val="28"/>
      <w:szCs w:val="28"/>
    </w:rPr>
  </w:style>
  <w:style w:styleId="Heading2" w:type="paragraph">
    <w:name w:val="Heading 2"/>
    <w:basedOn w:val="Normal"/>
    <w:uiPriority w:val="1"/>
    <w:qFormat/>
    <w:pPr>
      <w:ind w:left="822" w:hanging="709"/>
      <w:outlineLvl w:val="2"/>
    </w:pPr>
    <w:rPr>
      <w:rFonts w:ascii="Arial" w:hAnsi="Arial" w:eastAsia="Arial" w:cs="Arial"/>
      <w:b/>
      <w:bCs/>
      <w:sz w:val="24"/>
      <w:szCs w:val="24"/>
    </w:rPr>
  </w:style>
  <w:style w:styleId="Heading3" w:type="paragraph">
    <w:name w:val="Heading 3"/>
    <w:basedOn w:val="Normal"/>
    <w:uiPriority w:val="1"/>
    <w:qFormat/>
    <w:pPr>
      <w:ind w:left="829" w:hanging="709"/>
      <w:outlineLvl w:val="3"/>
    </w:pPr>
    <w:rPr>
      <w:rFonts w:ascii="Arial" w:hAnsi="Arial" w:eastAsia="Arial" w:cs="Arial"/>
      <w:b/>
      <w:bCs/>
      <w:sz w:val="20"/>
      <w:szCs w:val="20"/>
    </w:rPr>
  </w:style>
  <w:style w:styleId="ListParagraph" w:type="paragraph">
    <w:name w:val="List Paragraph"/>
    <w:basedOn w:val="Normal"/>
    <w:uiPriority w:val="1"/>
    <w:qFormat/>
    <w:pPr>
      <w:spacing w:before="69"/>
      <w:ind w:left="1230" w:hanging="709"/>
    </w:pPr>
    <w:rPr>
      <w:rFonts w:ascii="Arial" w:hAnsi="Arial" w:eastAsia="Arial" w:cs="Arial"/>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image" Target="media/image2.pn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yperlink" Target="https://ec.europa.eu/growth/single-market/european-standards/harmonised-standards/electromagnetic-compatibility_en" TargetMode="External"/><Relationship Id="rId12" Type="http://schemas.openxmlformats.org/officeDocument/2006/relationships/image" Target="media/image3.png"/><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image" Target="media/image4.png"/><Relationship Id="rId20" Type="http://schemas.openxmlformats.org/officeDocument/2006/relationships/header" Target="header7.xml"/><Relationship Id="rId21" Type="http://schemas.openxmlformats.org/officeDocument/2006/relationships/footer" Target="footer5.xml"/><Relationship Id="rId2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2020-03-11T11:27:04Z</dcterms:created>
  <dcterms:modified xsi:type="dcterms:W3CDTF">2020-03-11T11:27:04Z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Creator">
    <vt:lpwstr>Apache FOP Version 1.1</vt:lpwstr>
  </property>
  <property fmtid="{D5CDD505-2E9C-101B-9397-08002B2CF9AE}" pid="4" name="LastSaved">
    <vt:filetime>2020-03-11T00:00:00Z</vt:filetime>
  </property>
</Properties>
</file>