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487C6" w14:textId="77777777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p w14:paraId="7219781D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highlight w:val="yellow"/>
          <w:lang w:val="nl-NL"/>
        </w:rPr>
        <w:t>Model dient aangepast te worden om het goed aan te laten sluiten op de eisen aan de referentie en de punten waarop die worden beoordeeld</w:t>
      </w:r>
    </w:p>
    <w:p w14:paraId="5621F1C9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6D246405" w14:textId="77777777" w:rsidTr="002E312A">
        <w:tc>
          <w:tcPr>
            <w:tcW w:w="3223" w:type="dxa"/>
            <w:shd w:val="clear" w:color="auto" w:fill="F2F2F2"/>
          </w:tcPr>
          <w:p w14:paraId="6F45929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5B15C49B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5A7C9F83" w14:textId="77777777" w:rsidTr="002E312A">
        <w:tc>
          <w:tcPr>
            <w:tcW w:w="3223" w:type="dxa"/>
            <w:shd w:val="clear" w:color="auto" w:fill="E6E6E6"/>
          </w:tcPr>
          <w:p w14:paraId="281DFB5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21412030" w14:textId="52A7A813" w:rsidR="003B3076" w:rsidRPr="003F5FFB" w:rsidRDefault="00CA54D5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proofErr w:type="spellStart"/>
            <w:r w:rsidRPr="00CA54D5">
              <w:rPr>
                <w:rFonts w:asciiTheme="minorHAnsi" w:eastAsia="Arial Unicode MS" w:hAnsiTheme="minorHAnsi" w:cs="Arial"/>
                <w:sz w:val="20"/>
                <w:highlight w:val="yellow"/>
                <w:lang w:val="en-US"/>
              </w:rPr>
              <w:t>Vervangen</w:t>
            </w:r>
            <w:proofErr w:type="spellEnd"/>
            <w:r w:rsidRPr="00CA54D5">
              <w:rPr>
                <w:rFonts w:asciiTheme="minorHAnsi" w:eastAsia="Arial Unicode MS" w:hAnsiTheme="minorHAnsi" w:cs="Arial"/>
                <w:sz w:val="20"/>
                <w:highlight w:val="yellow"/>
                <w:lang w:val="en-US"/>
              </w:rPr>
              <w:t xml:space="preserve"> </w:t>
            </w:r>
            <w:proofErr w:type="spellStart"/>
            <w:r w:rsidRPr="00CA54D5">
              <w:rPr>
                <w:rFonts w:asciiTheme="minorHAnsi" w:eastAsia="Arial Unicode MS" w:hAnsiTheme="minorHAnsi" w:cs="Arial"/>
                <w:sz w:val="20"/>
                <w:highlight w:val="yellow"/>
                <w:lang w:val="en-US"/>
              </w:rPr>
              <w:t>asfaltwegconstructie</w:t>
            </w:r>
            <w:proofErr w:type="spellEnd"/>
          </w:p>
        </w:tc>
      </w:tr>
      <w:tr w:rsidR="003B3076" w:rsidRPr="003F5FFB" w14:paraId="7A23DC26" w14:textId="77777777" w:rsidTr="002E312A">
        <w:tc>
          <w:tcPr>
            <w:tcW w:w="3223" w:type="dxa"/>
            <w:shd w:val="clear" w:color="auto" w:fill="E6E6E6"/>
          </w:tcPr>
          <w:p w14:paraId="7A0048C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77F481C8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F9BE3B1" w14:textId="77777777" w:rsidTr="002E312A">
        <w:tc>
          <w:tcPr>
            <w:tcW w:w="3223" w:type="dxa"/>
            <w:shd w:val="clear" w:color="auto" w:fill="E6E6E6"/>
          </w:tcPr>
          <w:p w14:paraId="4CC19FC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3B1C815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37D1FB" w14:textId="77777777" w:rsidTr="002E312A">
        <w:tc>
          <w:tcPr>
            <w:tcW w:w="3223" w:type="dxa"/>
            <w:shd w:val="clear" w:color="auto" w:fill="E6E6E6"/>
          </w:tcPr>
          <w:p w14:paraId="2A7AD06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44999D64" w14:textId="5901750C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1980BD4" w14:textId="77777777" w:rsidTr="002E312A">
        <w:tc>
          <w:tcPr>
            <w:tcW w:w="3223" w:type="dxa"/>
            <w:shd w:val="clear" w:color="auto" w:fill="E6E6E6"/>
          </w:tcPr>
          <w:p w14:paraId="7C7F5D0D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D21B7E1" w14:textId="4C98FEC1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4F9F876" w14:textId="77777777" w:rsidTr="002E312A">
        <w:tc>
          <w:tcPr>
            <w:tcW w:w="3223" w:type="dxa"/>
            <w:shd w:val="clear" w:color="auto" w:fill="E6E6E6"/>
          </w:tcPr>
          <w:p w14:paraId="510A9CB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1F2B8E2C" w14:textId="6CD24FC8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7F90127" w14:textId="77777777" w:rsidTr="002E312A">
        <w:tc>
          <w:tcPr>
            <w:tcW w:w="3223" w:type="dxa"/>
            <w:shd w:val="clear" w:color="auto" w:fill="E6E6E6"/>
          </w:tcPr>
          <w:p w14:paraId="64BDB5D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5CF5ACF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39A5C30" w14:textId="77777777" w:rsidTr="002E312A">
        <w:tc>
          <w:tcPr>
            <w:tcW w:w="3223" w:type="dxa"/>
            <w:shd w:val="clear" w:color="auto" w:fill="E6E6E6"/>
          </w:tcPr>
          <w:p w14:paraId="06AE2052" w14:textId="6C20C3EA" w:rsidR="003B3076" w:rsidRPr="003F5FFB" w:rsidRDefault="00CA54D5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atum einde opdracht</w:t>
            </w:r>
          </w:p>
        </w:tc>
        <w:tc>
          <w:tcPr>
            <w:tcW w:w="6416" w:type="dxa"/>
            <w:shd w:val="clear" w:color="auto" w:fill="auto"/>
          </w:tcPr>
          <w:p w14:paraId="611A938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850A63" w:rsidRPr="003F5FFB" w14:paraId="0F53055E" w14:textId="77777777" w:rsidTr="002E312A">
        <w:tc>
          <w:tcPr>
            <w:tcW w:w="3223" w:type="dxa"/>
            <w:shd w:val="clear" w:color="auto" w:fill="E6E6E6"/>
          </w:tcPr>
          <w:p w14:paraId="67086FBE" w14:textId="07D8C996" w:rsidR="00850A63" w:rsidRPr="003F5FFB" w:rsidRDefault="00850A63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Weglengte</w:t>
            </w:r>
          </w:p>
        </w:tc>
        <w:tc>
          <w:tcPr>
            <w:tcW w:w="6416" w:type="dxa"/>
            <w:shd w:val="clear" w:color="auto" w:fill="auto"/>
          </w:tcPr>
          <w:p w14:paraId="49B3BC7E" w14:textId="529C681A" w:rsidR="00850A63" w:rsidRPr="003F5FFB" w:rsidRDefault="00850A63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M1 ….</w:t>
            </w:r>
          </w:p>
        </w:tc>
      </w:tr>
      <w:tr w:rsidR="00850A63" w:rsidRPr="003F5FFB" w14:paraId="31EED354" w14:textId="77777777" w:rsidTr="002E312A">
        <w:tc>
          <w:tcPr>
            <w:tcW w:w="3223" w:type="dxa"/>
            <w:shd w:val="clear" w:color="auto" w:fill="E6E6E6"/>
          </w:tcPr>
          <w:p w14:paraId="1A34D954" w14:textId="09321511" w:rsidR="00850A63" w:rsidRPr="003F5FFB" w:rsidRDefault="00850A63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Wegoppervlak</w:t>
            </w:r>
          </w:p>
        </w:tc>
        <w:tc>
          <w:tcPr>
            <w:tcW w:w="6416" w:type="dxa"/>
            <w:shd w:val="clear" w:color="auto" w:fill="auto"/>
          </w:tcPr>
          <w:p w14:paraId="78821865" w14:textId="270C4676" w:rsidR="00850A63" w:rsidRPr="003F5FFB" w:rsidRDefault="00850A63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M2 …</w:t>
            </w:r>
          </w:p>
        </w:tc>
      </w:tr>
      <w:tr w:rsidR="003B3076" w:rsidRPr="003F5FFB" w14:paraId="6927B13E" w14:textId="77777777" w:rsidTr="002E312A">
        <w:tc>
          <w:tcPr>
            <w:tcW w:w="3223" w:type="dxa"/>
            <w:shd w:val="clear" w:color="auto" w:fill="E6E6E6"/>
          </w:tcPr>
          <w:p w14:paraId="63CF757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28DAB39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3F5FFB" w14:paraId="6FB13FFA" w14:textId="77777777" w:rsidTr="002E312A">
        <w:tc>
          <w:tcPr>
            <w:tcW w:w="3223" w:type="dxa"/>
            <w:shd w:val="clear" w:color="auto" w:fill="E6E6E6"/>
          </w:tcPr>
          <w:p w14:paraId="32C7831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2AFE0FC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82504E1" w14:textId="77777777" w:rsidTr="002E312A">
        <w:tc>
          <w:tcPr>
            <w:tcW w:w="3223" w:type="dxa"/>
            <w:shd w:val="clear" w:color="auto" w:fill="E6E6E6"/>
          </w:tcPr>
          <w:p w14:paraId="7DF05A7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08CBA927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9626D91" w14:textId="77777777" w:rsidTr="002E312A">
        <w:tc>
          <w:tcPr>
            <w:tcW w:w="3223" w:type="dxa"/>
            <w:shd w:val="clear" w:color="auto" w:fill="E6E6E6"/>
          </w:tcPr>
          <w:p w14:paraId="0F38D8B3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2DDFDE8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C904210" w14:textId="77777777" w:rsidTr="002E312A">
        <w:tc>
          <w:tcPr>
            <w:tcW w:w="3223" w:type="dxa"/>
            <w:shd w:val="clear" w:color="auto" w:fill="E6E6E6"/>
          </w:tcPr>
          <w:p w14:paraId="00124E0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59487A7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EC1BDB4" w14:textId="77777777" w:rsidTr="002E312A">
        <w:tc>
          <w:tcPr>
            <w:tcW w:w="3223" w:type="dxa"/>
            <w:shd w:val="clear" w:color="auto" w:fill="E6E6E6"/>
          </w:tcPr>
          <w:p w14:paraId="554344D1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0B3DA13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4F5E9AB" w14:textId="77777777" w:rsidTr="002E312A">
        <w:tc>
          <w:tcPr>
            <w:tcW w:w="3223" w:type="dxa"/>
            <w:shd w:val="clear" w:color="auto" w:fill="E6E6E6"/>
          </w:tcPr>
          <w:p w14:paraId="49978213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5465EB0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817AE54" w14:textId="77777777" w:rsidTr="002E312A">
        <w:tc>
          <w:tcPr>
            <w:tcW w:w="3223" w:type="dxa"/>
            <w:shd w:val="clear" w:color="auto" w:fill="E6E6E6"/>
          </w:tcPr>
          <w:p w14:paraId="49123091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59DE16A5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8F2B1E9" w14:textId="77777777" w:rsidTr="002E312A">
        <w:tc>
          <w:tcPr>
            <w:tcW w:w="3223" w:type="dxa"/>
            <w:shd w:val="clear" w:color="auto" w:fill="E6E6E6"/>
          </w:tcPr>
          <w:p w14:paraId="7F87A60D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1FA4340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DF56008" w14:textId="77777777" w:rsidTr="002E312A">
        <w:tc>
          <w:tcPr>
            <w:tcW w:w="3223" w:type="dxa"/>
            <w:shd w:val="clear" w:color="auto" w:fill="E6E6E6"/>
          </w:tcPr>
          <w:p w14:paraId="21A0124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4EB324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6971E540" w14:textId="1E8C46A9" w:rsidR="003B3076" w:rsidRPr="003F5FFB" w:rsidRDefault="003B3076" w:rsidP="003B3076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  <w:r w:rsidRPr="003F5FFB">
        <w:rPr>
          <w:rFonts w:ascii="Arial" w:hAnsi="Arial" w:cs="Arial"/>
          <w:snapToGrid w:val="0"/>
          <w:sz w:val="20"/>
          <w:szCs w:val="20"/>
          <w:highlight w:val="yellow"/>
          <w:lang w:val="nl-NL"/>
        </w:rPr>
        <w:t>►</w:t>
      </w:r>
      <w:r w:rsidRPr="003F5FFB"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  <w:tab/>
      </w:r>
      <w:r w:rsidRPr="003F5FFB">
        <w:rPr>
          <w:rFonts w:asciiTheme="minorHAnsi" w:hAnsiTheme="minorHAnsi" w:cs="Arial"/>
          <w:b/>
          <w:snapToGrid w:val="0"/>
          <w:sz w:val="20"/>
          <w:szCs w:val="20"/>
          <w:highlight w:val="yellow"/>
          <w:lang w:val="nl-NL"/>
        </w:rPr>
        <w:t xml:space="preserve">Vergeet niet </w:t>
      </w:r>
      <w:r w:rsidR="00CA54D5">
        <w:rPr>
          <w:rFonts w:asciiTheme="minorHAnsi" w:hAnsiTheme="minorHAnsi" w:cs="Arial"/>
          <w:b/>
          <w:snapToGrid w:val="0"/>
          <w:sz w:val="20"/>
          <w:szCs w:val="20"/>
          <w:highlight w:val="yellow"/>
          <w:lang w:val="nl-NL"/>
        </w:rPr>
        <w:t>de tevredenheidsverklaring</w:t>
      </w:r>
      <w:r w:rsidRPr="003F5FFB">
        <w:rPr>
          <w:rFonts w:asciiTheme="minorHAnsi" w:hAnsiTheme="minorHAnsi" w:cs="Arial"/>
          <w:b/>
          <w:snapToGrid w:val="0"/>
          <w:sz w:val="20"/>
          <w:szCs w:val="20"/>
          <w:highlight w:val="yellow"/>
          <w:lang w:val="nl-NL"/>
        </w:rPr>
        <w:t xml:space="preserve"> bij te voegen</w:t>
      </w:r>
      <w:r w:rsidRPr="003F5FFB">
        <w:rPr>
          <w:rFonts w:asciiTheme="minorHAnsi" w:hAnsiTheme="minorHAnsi" w:cs="Arial"/>
          <w:szCs w:val="20"/>
          <w:highlight w:val="yellow"/>
          <w:lang w:val="nl-NL"/>
        </w:rPr>
        <w:t>.</w:t>
      </w:r>
    </w:p>
    <w:p w14:paraId="5174B9FE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061014C7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276E4774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1F9BF0E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234EBB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690432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A6FED91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CB7FDC3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8F0CC3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FE97666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F283676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2F9843C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5299E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0E653C3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1B6A6EDC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BDFF72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57FD8331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339ED348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1C3AE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90BE61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887C3AC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7230DD6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2BAB70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F5CC665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5534014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26D6B84A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8"/>
      <w:footerReference w:type="first" r:id="rId9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47B58" w14:textId="77777777" w:rsidR="002E312A" w:rsidRDefault="002E312A">
      <w:r>
        <w:separator/>
      </w:r>
    </w:p>
  </w:endnote>
  <w:endnote w:type="continuationSeparator" w:id="0">
    <w:p w14:paraId="0AF04F69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B3A77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0A1EAB92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1B763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56E526C2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8B7CA" w14:textId="77777777" w:rsidR="002E312A" w:rsidRDefault="002E312A">
      <w:r>
        <w:separator/>
      </w:r>
    </w:p>
  </w:footnote>
  <w:footnote w:type="continuationSeparator" w:id="0">
    <w:p w14:paraId="4F283FD6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0A6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54D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7077B519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790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Ruigrok, Jos</cp:lastModifiedBy>
  <cp:revision>4</cp:revision>
  <cp:lastPrinted>2014-04-10T07:55:00Z</cp:lastPrinted>
  <dcterms:created xsi:type="dcterms:W3CDTF">2019-01-10T12:51:00Z</dcterms:created>
  <dcterms:modified xsi:type="dcterms:W3CDTF">2021-04-19T15:55:00Z</dcterms:modified>
</cp:coreProperties>
</file>