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DF2" w:rsidRDefault="00742DF2">
      <w:pPr>
        <w:spacing w:line="276" w:lineRule="auto"/>
        <w:rPr>
          <w:rFonts w:ascii="Trebuchet MS" w:eastAsia="Trebuchet MS" w:hAnsi="Trebuchet MS" w:cs="Trebuchet MS"/>
        </w:rPr>
      </w:pPr>
    </w:p>
    <w:tbl>
      <w:tblPr>
        <w:tblStyle w:val="a"/>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46"/>
        <w:gridCol w:w="7505"/>
        <w:gridCol w:w="1386"/>
      </w:tblGrid>
      <w:tr w:rsidR="00742DF2" w:rsidTr="006710AE">
        <w:trPr>
          <w:trHeight w:val="585"/>
        </w:trPr>
        <w:tc>
          <w:tcPr>
            <w:tcW w:w="746" w:type="dxa"/>
            <w:tcBorders>
              <w:top w:val="single" w:sz="18" w:space="0" w:color="FFFFFF"/>
              <w:left w:val="single" w:sz="18" w:space="0" w:color="FFFFFF"/>
              <w:bottom w:val="single" w:sz="18" w:space="0" w:color="FFFFFF"/>
              <w:right w:val="single" w:sz="18" w:space="0" w:color="FFFFFF"/>
            </w:tcBorders>
            <w:shd w:val="clear" w:color="auto" w:fill="000000"/>
            <w:tcMar>
              <w:top w:w="40" w:type="dxa"/>
              <w:left w:w="40" w:type="dxa"/>
              <w:bottom w:w="40" w:type="dxa"/>
              <w:right w:w="40" w:type="dxa"/>
            </w:tcMar>
            <w:vAlign w:val="bottom"/>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b/>
                <w:color w:val="FFFFFF"/>
                <w:sz w:val="20"/>
                <w:szCs w:val="20"/>
              </w:rPr>
              <w:t>eis</w:t>
            </w:r>
          </w:p>
        </w:tc>
        <w:tc>
          <w:tcPr>
            <w:tcW w:w="7505" w:type="dxa"/>
            <w:tcBorders>
              <w:top w:val="single" w:sz="18" w:space="0" w:color="FFFFFF"/>
              <w:left w:val="single" w:sz="6" w:space="0" w:color="CCCCCC"/>
              <w:bottom w:val="single" w:sz="18" w:space="0" w:color="FFFFFF"/>
              <w:right w:val="single" w:sz="18" w:space="0" w:color="FFFFFF"/>
            </w:tcBorders>
            <w:shd w:val="clear" w:color="auto" w:fill="000000"/>
            <w:tcMar>
              <w:top w:w="40" w:type="dxa"/>
              <w:left w:w="40" w:type="dxa"/>
              <w:bottom w:w="40" w:type="dxa"/>
              <w:right w:w="40" w:type="dxa"/>
            </w:tcMar>
            <w:vAlign w:val="bottom"/>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b/>
                <w:color w:val="FFFFFF"/>
                <w:sz w:val="20"/>
                <w:szCs w:val="20"/>
              </w:rPr>
              <w:t>gevraagd</w:t>
            </w:r>
          </w:p>
        </w:tc>
        <w:tc>
          <w:tcPr>
            <w:tcW w:w="1386" w:type="dxa"/>
            <w:tcBorders>
              <w:top w:val="single" w:sz="18" w:space="0" w:color="FFFFFF"/>
              <w:left w:val="single" w:sz="6" w:space="0" w:color="CCCCCC"/>
              <w:bottom w:val="single" w:sz="18" w:space="0" w:color="FFFFFF"/>
              <w:right w:val="single" w:sz="18" w:space="0" w:color="FFFFFF"/>
            </w:tcBorders>
            <w:shd w:val="clear" w:color="auto" w:fill="000000"/>
            <w:tcMar>
              <w:top w:w="40" w:type="dxa"/>
              <w:left w:w="40" w:type="dxa"/>
              <w:bottom w:w="40" w:type="dxa"/>
              <w:right w:w="40" w:type="dxa"/>
            </w:tcMar>
            <w:vAlign w:val="bottom"/>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b/>
                <w:color w:val="FFFFFF"/>
                <w:sz w:val="20"/>
                <w:szCs w:val="20"/>
              </w:rPr>
              <w:t>antwoord met JA of NEE</w:t>
            </w:r>
          </w:p>
        </w:tc>
      </w:tr>
      <w:tr w:rsidR="00742DF2"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Functioneel</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FE01</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kan op afstand door opdrachtgever ingeschakeld en uitgeschakeld worden.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FE02</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beschikt over de mogelijkheid om per verzamelcontainer de status (aflopende stroomvoorziening, verklemming, vulgraad, aantal stortingen, aantal stortingen per huisvuilpas) 24/7 te communiceren.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FE03</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beschikt over de mogelijkheid om de teller van het aantal stortingen automatisch op 0 te zetten na lediging van de verzamelcontainer.</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FE04</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beschikt over de mogelijkheid om een huisvuilpas aan een onbeperkt aantal verzamelcontainers te koppelen.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Juridisch</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JE01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stemt in met de Gemeentelijke Inkoopvoorwaarden Bij IT (GIBIT).</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JE02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bent akkoord met het Concept Verwerkersovereenkomst.</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JE03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bent akkoord met de Concept Overeenkomst</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Kwaliteit</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94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Het digitale scherm van uw oplossing en eventuele indicatielampjes dienen gedurende de gehele contractperiode (inclusief verlengingsjaren) zonder afname in kwaliteit afleesbaar te zijn voor zowel de doeleinden waarvoor burgers uw oplossing nodig hebben als</w:t>
            </w:r>
            <w:r>
              <w:rPr>
                <w:rFonts w:ascii="Trebuchet MS" w:eastAsia="Trebuchet MS" w:hAnsi="Trebuchet MS" w:cs="Trebuchet MS"/>
                <w:sz w:val="18"/>
                <w:szCs w:val="18"/>
              </w:rPr>
              <w:t xml:space="preserve"> de doeleinden waarvoor medewerkers van opdrachtgever uw oplossing gebruiken.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is waterproof, dat wil zeggen dat uw oplossing ondoordringbaar is voor water èn stof.</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monteurs en die van uw onderaannemers zijn VCA gecertificeerd.</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KE04</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Diensten voor onderhoud en ondersteuning aan de software, voor zover deze door de Opdrachtnemer moeten worden geleverd, kunnen op afstand worden uitgevoerd.</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115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KE05</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De Opdrachtnemer verzorgt een Nederlandstalige helpdesk voor zowel technische als functionele ondersteuning. De helpdesk is het centrale punt voor het melden van incidenten, het stellen van vragen, indienen van wijzigingsvoorstellen en geeft informatie/inz</w:t>
            </w:r>
            <w:r>
              <w:rPr>
                <w:rFonts w:ascii="Trebuchet MS" w:eastAsia="Trebuchet MS" w:hAnsi="Trebuchet MS" w:cs="Trebuchet MS"/>
                <w:sz w:val="18"/>
                <w:szCs w:val="18"/>
              </w:rPr>
              <w:t>icht in de afhandeling daarvan. De helpdesk van de opdrachtnemer levert zowel telefonische ondersteuning als ondersteuning via e-mail en/of webportaal.</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157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KE06</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De helpdesk is verantwoordelijk voor de gehele behandeling van meldingen, incidenten met betrekking tot de Oplossing volgens de procedure zoals vastgelegd in de Service Level Agreement (SLA). De opdrachtgever bepaalt de prioriteit van incidenten. Ten aanzi</w:t>
            </w:r>
            <w:r>
              <w:rPr>
                <w:rFonts w:ascii="Trebuchet MS" w:eastAsia="Trebuchet MS" w:hAnsi="Trebuchet MS" w:cs="Trebuchet MS"/>
                <w:sz w:val="18"/>
                <w:szCs w:val="18"/>
              </w:rPr>
              <w:t xml:space="preserve">en van de ondersteuning wordt de volgende prioriteitsbepaling gehanteerd: 1: De oplossing is volledig niet beschikbaar (naar mening van Opdrachtgever); 2: De Oplossing is deels niet beschikbaar of deels niet beschikbaar voor meer dan 10% van de gebruikers </w:t>
            </w:r>
            <w:r>
              <w:rPr>
                <w:rFonts w:ascii="Trebuchet MS" w:eastAsia="Trebuchet MS" w:hAnsi="Trebuchet MS" w:cs="Trebuchet MS"/>
                <w:sz w:val="18"/>
                <w:szCs w:val="18"/>
              </w:rPr>
              <w:t>(naar mening van de Opdrachtgever). 3: Kleine verstoringen (naar mening van de Opdrachtgever). 4: Gebruikers/beheerdersvraag.</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94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lastRenderedPageBreak/>
              <w:t>KE07</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De helpdesk draagt tevens zorg voor relateren van incidenten aan reeds bekende problemen met betrekking tot de Oplossing. De Opdrachtnemer maakt voor de Opdrachtgever inzichtelijk wanneer een incident in behandeling is genomen en wat de status van afhandel</w:t>
            </w:r>
            <w:r>
              <w:rPr>
                <w:rFonts w:ascii="Trebuchet MS" w:eastAsia="Trebuchet MS" w:hAnsi="Trebuchet MS" w:cs="Trebuchet MS"/>
                <w:sz w:val="18"/>
                <w:szCs w:val="18"/>
              </w:rPr>
              <w:t>ing is. De Opdrachtnemer is eindverantwoordelijk voor het beheren van incidenten.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KE08</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Categorie 1: reactietijd: 0 - 1/2 uur beantwoorden (24/7). Oplossing binnen: Workaround 4 uur. Oplossing 8 uur</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KE09</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Categorie 2: reactietijd: 1 uur (Op werkdagen tussen 8.00 en 18.00). Work-around binnen 8 uur op werkdagen. Oplossing binnen 48 uur op werkdagen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KE10</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Categorie 3: reactietijd: 24 uur (Op werkdagen van 8.00 en 18.00). Work-around binnen 2 werkdagen. Oplossing in volgende reguliere versie</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Categorie 4: reactietijd: 24 uur (op werkdagen tussen 8.00 en 18.00) Antwoord binnen 1 week</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De Opdrachtnemer is verantwoordelijk voor de gehele afhandeling van wijzigingsvoorstellen voor de Oplossing. De Opdrachtnemer is verantwoordelijk voor het inbrengen van wijzigingsvoorstellen voor de oplossing van al geïdentificeerde problemen. Elk wijzigin</w:t>
            </w:r>
            <w:r>
              <w:rPr>
                <w:rFonts w:ascii="Trebuchet MS" w:eastAsia="Trebuchet MS" w:hAnsi="Trebuchet MS" w:cs="Trebuchet MS"/>
                <w:sz w:val="18"/>
                <w:szCs w:val="18"/>
              </w:rPr>
              <w:t>gsvoorstel ondergaat een intakeprocedure</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De release momenten worden minimaal 2 weken van te voren vastgesteld waarbij releasenotes worden opgeleverd. Voor het oplossen van urgente productieverstoringen kunnen ad-hoc crashreleases worden ingepland.</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KE15</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Alle functionele beheertaken kunnen worden uitgevoerd, zonder dat dit invloed heeft op de werking van de Oplossing voor de overige gebruikers. Gebruikers kunnen ingelogd blijven en volledig gebruik maken van de Oplossing tijdens deze functionele beheertake</w:t>
            </w:r>
            <w:r>
              <w:rPr>
                <w:rFonts w:ascii="Trebuchet MS" w:eastAsia="Trebuchet MS" w:hAnsi="Trebuchet MS" w:cs="Trebuchet MS"/>
                <w:sz w:val="18"/>
                <w:szCs w:val="18"/>
              </w:rPr>
              <w:t>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KE16</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Voor het testen van functionele wijzigingen heeft de gemeente de wens om naast de productieomgeving ook gebruik te kunnen maken van een separate testomgeving. U stelt hiervoor een testomgeving beschikbaar.</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KE17</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heeft een 24/7 beschikbaarheid voor 99% per maand. Er wordt uitgegaan van een beschikbaarheid van de verbinding vanuit de gemeente Midden-Groningen van 100% waarbij gepland onderhoud niet wordt meegenomen.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Logistiek</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73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LE01</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verzorgt het volledige onderhoud van de TCS-en, inclusief de verbinding met de verzamelcontainer. Onder het onderhoud verstaan we het oplossen van storingen, het vervangen van batterijen en wanneer nodig het vervangen van TCS-en die niet voldoen aan de e</w:t>
            </w:r>
            <w:r>
              <w:rPr>
                <w:rFonts w:ascii="Trebuchet MS" w:eastAsia="Trebuchet MS" w:hAnsi="Trebuchet MS" w:cs="Trebuchet MS"/>
                <w:sz w:val="18"/>
                <w:szCs w:val="18"/>
              </w:rPr>
              <w:t>isen.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178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LE02</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levert nieuwe huisvuilpassen in de huisstijl van Midden-Groningen (voor- en achterkant in full color) met pasnummer bedrukt geactiveerd aan. Met geactiveerd bedoelen wij dat de gemeente niet zelf de Mifare passen hoeft te activeren met een scanner of soo</w:t>
            </w:r>
            <w:r>
              <w:rPr>
                <w:rFonts w:ascii="Trebuchet MS" w:eastAsia="Trebuchet MS" w:hAnsi="Trebuchet MS" w:cs="Trebuchet MS"/>
                <w:sz w:val="18"/>
                <w:szCs w:val="18"/>
              </w:rPr>
              <w:t>rtgelijk. Enige actie die de gemeente moet uitvoeren is het koppelen van de pas aan een adres in het BSA. De gemeente verstuurd de huisvuilpas naar de inwoner. Opdrachtgever geeft bij opdrachtverstrekking aan wat het eerste pasnummer is van waaraf geteld m</w:t>
            </w:r>
            <w:r>
              <w:rPr>
                <w:rFonts w:ascii="Trebuchet MS" w:eastAsia="Trebuchet MS" w:hAnsi="Trebuchet MS" w:cs="Trebuchet MS"/>
                <w:sz w:val="18"/>
                <w:szCs w:val="18"/>
              </w:rPr>
              <w:t>oet worden omdat de huidige huisvuilpassen behouden blijven. U levert bij het aanleveren van de huisvuilpassen een Excel-bestand aan waarin op iedere regel een huisvuilpas met pasnummer en chipnummer is opgenomen.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LE03</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voert de te vervangen TCS-en af.</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94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742DF2" w:rsidRDefault="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lastRenderedPageBreak/>
              <w:t>LE04</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draagt bij het aflopen of beëindigen van de overeenkomst alle data (inclusief meta-data) uit de database van uw oplossing in een origineel en duurzaam bestandsformaat over aan de opdrachtgever. Na bevestiging van een succesvolle overdracht verwijderd u a</w:t>
            </w:r>
            <w:r>
              <w:rPr>
                <w:rFonts w:ascii="Trebuchet MS" w:eastAsia="Trebuchet MS" w:hAnsi="Trebuchet MS" w:cs="Trebuchet MS"/>
                <w:sz w:val="18"/>
                <w:szCs w:val="18"/>
              </w:rPr>
              <w:t>lle data uit uw oplossing en levert u een verklaring van vernietiging.</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742DF2"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rsidR="00742DF2" w:rsidRDefault="00742DF2">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Social Return</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742DF2" w:rsidRDefault="00742DF2">
            <w:pPr>
              <w:widowControl w:val="0"/>
              <w:spacing w:line="276" w:lineRule="auto"/>
              <w:rPr>
                <w:rFonts w:ascii="Arial" w:eastAsia="Arial" w:hAnsi="Arial" w:cs="Arial"/>
                <w:sz w:val="20"/>
                <w:szCs w:val="20"/>
              </w:rPr>
            </w:pPr>
          </w:p>
        </w:tc>
      </w:tr>
      <w:tr w:rsidR="006710AE"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SE01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6710AE" w:rsidRPr="00F55A48" w:rsidRDefault="006710AE" w:rsidP="006710AE">
            <w:pPr>
              <w:spacing w:line="240" w:lineRule="auto"/>
              <w:rPr>
                <w:rFonts w:ascii="Trebuchet MS" w:hAnsi="Trebuchet MS" w:cstheme="minorHAnsi"/>
                <w:b/>
                <w:bCs/>
                <w:sz w:val="18"/>
                <w:szCs w:val="18"/>
              </w:rPr>
            </w:pPr>
            <w:r w:rsidRPr="00F55A48">
              <w:rPr>
                <w:rFonts w:ascii="Trebuchet MS" w:hAnsi="Trebuchet MS" w:cstheme="minorHAnsi"/>
                <w:b/>
                <w:bCs/>
                <w:sz w:val="18"/>
                <w:szCs w:val="18"/>
              </w:rPr>
              <w:t>Social Return binnen Werk in Zicht/arbeidsmarktregio Groningen</w:t>
            </w:r>
          </w:p>
          <w:p w:rsidR="006710AE" w:rsidRPr="00F55A48" w:rsidRDefault="006710AE" w:rsidP="006710AE">
            <w:pPr>
              <w:pStyle w:val="Default"/>
              <w:spacing w:after="120"/>
              <w:rPr>
                <w:rFonts w:ascii="Trebuchet MS" w:eastAsia="Arial Unicode MS" w:hAnsi="Trebuchet MS" w:cstheme="minorHAnsi"/>
                <w:sz w:val="18"/>
                <w:szCs w:val="18"/>
                <w:bdr w:val="none" w:sz="0" w:space="0" w:color="auto" w:frame="1"/>
              </w:rPr>
            </w:pPr>
            <w:r w:rsidRPr="00F55A48">
              <w:rPr>
                <w:rFonts w:ascii="Trebuchet MS" w:hAnsi="Trebuchet MS" w:cstheme="minorHAnsi"/>
                <w:sz w:val="18"/>
                <w:szCs w:val="18"/>
              </w:rPr>
              <w:t>Het doel van S</w:t>
            </w:r>
            <w:r w:rsidRPr="00F55A48">
              <w:rPr>
                <w:rFonts w:ascii="Trebuchet MS" w:hAnsi="Trebuchet MS" w:cstheme="minorHAnsi"/>
                <w:i/>
                <w:sz w:val="18"/>
                <w:szCs w:val="18"/>
              </w:rPr>
              <w:t xml:space="preserve">ocial Return </w:t>
            </w:r>
            <w:r w:rsidRPr="00F55A48">
              <w:rPr>
                <w:rFonts w:ascii="Trebuchet MS" w:hAnsi="Trebuchet MS" w:cstheme="minorHAnsi"/>
                <w:sz w:val="18"/>
                <w:szCs w:val="18"/>
              </w:rPr>
              <w:t>is</w:t>
            </w:r>
            <w:r w:rsidRPr="00F55A48">
              <w:rPr>
                <w:rFonts w:ascii="Trebuchet MS" w:eastAsia="Arial Unicode MS" w:hAnsi="Trebuchet MS" w:cstheme="minorHAnsi"/>
                <w:sz w:val="18"/>
                <w:szCs w:val="18"/>
                <w:bdr w:val="none" w:sz="0" w:space="0" w:color="auto" w:frame="1"/>
              </w:rPr>
              <w:t xml:space="preserve"> het bevorderen van arbeidsparticipatie. Dit kan onder andere in de vorm van arbeidsplaatsen, leer-werkplekken en stageplekken te bieden voor doelgroepen of door op een andere wijze een (aanvullende) maatschappelijke bijdrage te leveren. </w:t>
            </w:r>
          </w:p>
          <w:p w:rsidR="006710AE" w:rsidRPr="00F55A48" w:rsidRDefault="006710AE" w:rsidP="006710AE">
            <w:pPr>
              <w:pStyle w:val="Default"/>
              <w:ind w:left="709" w:hanging="709"/>
              <w:rPr>
                <w:rFonts w:ascii="Trebuchet MS" w:hAnsi="Trebuchet MS" w:cstheme="minorHAnsi"/>
                <w:b/>
                <w:sz w:val="18"/>
                <w:szCs w:val="18"/>
              </w:rPr>
            </w:pPr>
            <w:r w:rsidRPr="00F55A48">
              <w:rPr>
                <w:rFonts w:ascii="Trebuchet MS" w:hAnsi="Trebuchet MS" w:cstheme="minorHAnsi"/>
                <w:b/>
                <w:iCs/>
                <w:sz w:val="18"/>
                <w:szCs w:val="18"/>
              </w:rPr>
              <w:t xml:space="preserve">Social-returnverplichting </w:t>
            </w:r>
          </w:p>
          <w:p w:rsidR="006710AE" w:rsidRPr="00F55A48" w:rsidRDefault="006710AE" w:rsidP="006710AE">
            <w:pPr>
              <w:pStyle w:val="Default"/>
              <w:numPr>
                <w:ilvl w:val="0"/>
                <w:numId w:val="1"/>
              </w:numPr>
              <w:ind w:left="714" w:hanging="357"/>
              <w:rPr>
                <w:rFonts w:ascii="Trebuchet MS" w:hAnsi="Trebuchet MS" w:cstheme="minorHAnsi"/>
                <w:sz w:val="18"/>
                <w:szCs w:val="18"/>
              </w:rPr>
            </w:pPr>
            <w:bookmarkStart w:id="0" w:name="_Hlk514770095"/>
            <w:r w:rsidRPr="00F55A48">
              <w:rPr>
                <w:rFonts w:ascii="Trebuchet MS" w:hAnsi="Trebuchet MS" w:cstheme="minorHAnsi"/>
                <w:sz w:val="18"/>
                <w:szCs w:val="18"/>
              </w:rPr>
              <w:t xml:space="preserve">De verplichting vloeit voort uit een gegunde opdracht door Opdrachtgever aan Opdrachtnemer. </w:t>
            </w:r>
          </w:p>
          <w:p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moet bij de uitvoering van de opdracht </w:t>
            </w:r>
            <w:r>
              <w:rPr>
                <w:rFonts w:ascii="Trebuchet MS" w:hAnsi="Trebuchet MS" w:cstheme="minorHAnsi"/>
                <w:sz w:val="18"/>
                <w:szCs w:val="18"/>
              </w:rPr>
              <w:t xml:space="preserve">5 </w:t>
            </w:r>
            <w:r w:rsidRPr="00F55A48">
              <w:rPr>
                <w:rFonts w:ascii="Trebuchet MS" w:hAnsi="Trebuchet MS" w:cstheme="minorHAnsi"/>
                <w:sz w:val="18"/>
                <w:szCs w:val="18"/>
              </w:rPr>
              <w:t>% van de opdrachtsom exclusief btw inzetten voor Social Return.</w:t>
            </w:r>
          </w:p>
          <w:p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De Opdrachtnemer is zelf verantwoordelijk voor het nakomen van zijn Social Returnverplichtingen.</w:t>
            </w:r>
          </w:p>
          <w:p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ontvangt na de gunning per e-mail de inloggegevens voor de monitoringsapplicatie </w:t>
            </w:r>
            <w:hyperlink r:id="rId7" w:history="1">
              <w:r w:rsidRPr="00F55A48">
                <w:rPr>
                  <w:rStyle w:val="Hyperlink"/>
                  <w:rFonts w:ascii="Trebuchet MS" w:hAnsi="Trebuchet MS" w:cstheme="minorHAnsi"/>
                  <w:sz w:val="18"/>
                  <w:szCs w:val="18"/>
                </w:rPr>
                <w:t>www.socialreturnmonitor.nl</w:t>
              </w:r>
            </w:hyperlink>
            <w:r w:rsidRPr="00F55A48">
              <w:rPr>
                <w:rFonts w:ascii="Trebuchet MS" w:hAnsi="Trebuchet MS" w:cstheme="minorHAnsi"/>
                <w:sz w:val="18"/>
                <w:szCs w:val="18"/>
              </w:rPr>
              <w:t>.</w:t>
            </w:r>
          </w:p>
          <w:p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 xml:space="preserve">De Opdrachtnemer neemt binnen 7 dagen na ontvangst van de inloggegevens contact op met de contactpersoon van het werkplein die gekoppeld is aan het project in de monitoringsapplicatie onder het tabblad contact. </w:t>
            </w:r>
          </w:p>
          <w:p w:rsidR="006710AE" w:rsidRDefault="006710AE" w:rsidP="006710AE">
            <w:pPr>
              <w:pStyle w:val="Default"/>
              <w:numPr>
                <w:ilvl w:val="0"/>
                <w:numId w:val="1"/>
              </w:numPr>
              <w:ind w:left="714" w:hanging="357"/>
              <w:rPr>
                <w:rFonts w:ascii="Trebuchet MS" w:hAnsi="Trebuchet MS" w:cstheme="minorHAnsi"/>
                <w:sz w:val="18"/>
                <w:szCs w:val="18"/>
              </w:rPr>
            </w:pPr>
            <w:r w:rsidRPr="00F55A48">
              <w:rPr>
                <w:rFonts w:ascii="Trebuchet MS" w:hAnsi="Trebuchet MS" w:cstheme="minorHAnsi"/>
                <w:sz w:val="18"/>
                <w:szCs w:val="18"/>
              </w:rPr>
              <w:t>In bijlage</w:t>
            </w:r>
            <w:r>
              <w:rPr>
                <w:rFonts w:ascii="Trebuchet MS" w:hAnsi="Trebuchet MS" w:cstheme="minorHAnsi"/>
                <w:sz w:val="18"/>
                <w:szCs w:val="18"/>
              </w:rPr>
              <w:t xml:space="preserve"> 12 (</w:t>
            </w:r>
            <w:r w:rsidRPr="00F55A48">
              <w:rPr>
                <w:rFonts w:ascii="Trebuchet MS" w:hAnsi="Trebuchet MS" w:cstheme="minorHAnsi"/>
                <w:sz w:val="18"/>
                <w:szCs w:val="18"/>
              </w:rPr>
              <w:t>“Uitvoeringsvoorwaarden Social Return”</w:t>
            </w:r>
            <w:r>
              <w:rPr>
                <w:rFonts w:ascii="Trebuchet MS" w:hAnsi="Trebuchet MS" w:cstheme="minorHAnsi"/>
                <w:sz w:val="18"/>
                <w:szCs w:val="18"/>
              </w:rPr>
              <w:t>)</w:t>
            </w:r>
            <w:r w:rsidRPr="00F55A48">
              <w:rPr>
                <w:rFonts w:ascii="Trebuchet MS" w:hAnsi="Trebuchet MS" w:cstheme="minorHAnsi"/>
                <w:sz w:val="18"/>
                <w:szCs w:val="18"/>
              </w:rPr>
              <w:t xml:space="preserve"> </w:t>
            </w:r>
            <w:r>
              <w:rPr>
                <w:rFonts w:ascii="Trebuchet MS" w:hAnsi="Trebuchet MS" w:cstheme="minorHAnsi"/>
                <w:sz w:val="18"/>
                <w:szCs w:val="18"/>
              </w:rPr>
              <w:t xml:space="preserve">van de offerteaanvraag </w:t>
            </w:r>
            <w:r w:rsidRPr="00F55A48">
              <w:rPr>
                <w:rFonts w:ascii="Trebuchet MS" w:hAnsi="Trebuchet MS" w:cstheme="minorHAnsi"/>
                <w:sz w:val="18"/>
                <w:szCs w:val="18"/>
              </w:rPr>
              <w:t xml:space="preserve">worden de uitvoeringsvoorwaarden nader toegelicht. </w:t>
            </w:r>
            <w:bookmarkEnd w:id="0"/>
          </w:p>
          <w:p w:rsidR="006710AE" w:rsidRPr="00F55A48" w:rsidRDefault="006710AE" w:rsidP="006710AE">
            <w:pPr>
              <w:pStyle w:val="Default"/>
              <w:numPr>
                <w:ilvl w:val="0"/>
                <w:numId w:val="1"/>
              </w:numPr>
              <w:ind w:left="714" w:hanging="357"/>
              <w:rPr>
                <w:rFonts w:ascii="Trebuchet MS" w:hAnsi="Trebuchet MS" w:cstheme="minorHAnsi"/>
                <w:sz w:val="18"/>
                <w:szCs w:val="18"/>
              </w:rPr>
            </w:pPr>
            <w:r w:rsidRPr="00F55A48">
              <w:rPr>
                <w:rStyle w:val="fontstyle01"/>
                <w:rFonts w:ascii="Trebuchet MS" w:hAnsi="Trebuchet MS"/>
                <w:sz w:val="18"/>
                <w:szCs w:val="18"/>
              </w:rPr>
              <w:t>Opdrachtgever wil graag weten hoe de Opdrachtnemer voornemens is de SROI verplichting</w:t>
            </w:r>
            <w:r>
              <w:rPr>
                <w:rStyle w:val="fontstyle01"/>
                <w:rFonts w:ascii="Trebuchet MS" w:hAnsi="Trebuchet MS"/>
                <w:sz w:val="18"/>
                <w:szCs w:val="18"/>
              </w:rPr>
              <w:t xml:space="preserve"> </w:t>
            </w:r>
            <w:r w:rsidRPr="00F55A48">
              <w:rPr>
                <w:rStyle w:val="fontstyle01"/>
                <w:rFonts w:ascii="Trebuchet MS" w:hAnsi="Trebuchet MS"/>
                <w:sz w:val="18"/>
                <w:szCs w:val="18"/>
              </w:rPr>
              <w:t>te gaan vullen. De partij waaraan de opdracht wordt gegund moet na</w:t>
            </w:r>
            <w:r>
              <w:rPr>
                <w:rStyle w:val="fontstyle01"/>
                <w:rFonts w:ascii="Trebuchet MS" w:hAnsi="Trebuchet MS"/>
                <w:sz w:val="18"/>
                <w:szCs w:val="18"/>
              </w:rPr>
              <w:t xml:space="preserve"> </w:t>
            </w:r>
            <w:r w:rsidRPr="00F55A48">
              <w:rPr>
                <w:rStyle w:val="fontstyle01"/>
                <w:rFonts w:ascii="Trebuchet MS" w:hAnsi="Trebuchet MS"/>
                <w:sz w:val="18"/>
                <w:szCs w:val="18"/>
              </w:rPr>
              <w:t>definitieve gunning maximaal één A-4 opstellen en aanleveren met de voorgenomen</w:t>
            </w:r>
            <w:r>
              <w:rPr>
                <w:rStyle w:val="fontstyle01"/>
                <w:rFonts w:ascii="Trebuchet MS" w:hAnsi="Trebuchet MS"/>
                <w:sz w:val="18"/>
                <w:szCs w:val="18"/>
              </w:rPr>
              <w:t xml:space="preserve"> </w:t>
            </w:r>
            <w:r w:rsidRPr="00F55A48">
              <w:rPr>
                <w:rStyle w:val="fontstyle01"/>
                <w:rFonts w:ascii="Trebuchet MS" w:hAnsi="Trebuchet MS"/>
                <w:sz w:val="18"/>
                <w:szCs w:val="18"/>
              </w:rPr>
              <w:t>invulling van de Social Return</w:t>
            </w:r>
            <w:r>
              <w:rPr>
                <w:rStyle w:val="fontstyle01"/>
                <w:rFonts w:ascii="Trebuchet MS" w:hAnsi="Trebuchet MS"/>
                <w:sz w:val="18"/>
                <w:szCs w:val="18"/>
              </w:rPr>
              <w:t>.</w:t>
            </w:r>
          </w:p>
          <w:p w:rsidR="006710AE" w:rsidRPr="00E95C58" w:rsidRDefault="006710AE" w:rsidP="006710AE">
            <w:pPr>
              <w:widowControl w:val="0"/>
              <w:spacing w:line="276" w:lineRule="auto"/>
              <w:rPr>
                <w:rFonts w:ascii="Trebuchet MS" w:eastAsia="Arial" w:hAnsi="Trebuchet MS" w:cs="Arial"/>
                <w:sz w:val="18"/>
                <w:szCs w:val="18"/>
              </w:rPr>
            </w:pPr>
            <w:r w:rsidRPr="00E95C58">
              <w:rPr>
                <w:rFonts w:ascii="Trebuchet MS" w:eastAsia="Arial" w:hAnsi="Trebuchet MS" w:cs="Arial"/>
                <w:sz w:val="18"/>
                <w:szCs w:val="18"/>
              </w:rPr>
              <w:t xml:space="preserve">U gaat akkoord </w:t>
            </w:r>
            <w:r>
              <w:rPr>
                <w:rFonts w:ascii="Trebuchet MS" w:eastAsia="Arial" w:hAnsi="Trebuchet MS" w:cs="Arial"/>
                <w:sz w:val="18"/>
                <w:szCs w:val="18"/>
              </w:rPr>
              <w:t>met deze verplichtingen en de uitvoeringsvoorwaarden in Bijlage 1</w:t>
            </w:r>
            <w:r>
              <w:rPr>
                <w:rFonts w:ascii="Trebuchet MS" w:eastAsia="Arial" w:hAnsi="Trebuchet MS" w:cs="Arial"/>
                <w:sz w:val="18"/>
                <w:szCs w:val="18"/>
              </w:rPr>
              <w:t>3</w:t>
            </w:r>
            <w:bookmarkStart w:id="1" w:name="_GoBack"/>
            <w:bookmarkEnd w:id="1"/>
            <w:r>
              <w:rPr>
                <w:rFonts w:ascii="Trebuchet MS" w:eastAsia="Arial" w:hAnsi="Trebuchet MS" w:cs="Arial"/>
                <w:sz w:val="18"/>
                <w:szCs w:val="18"/>
              </w:rPr>
              <w:t xml:space="preserve"> van de offerteaanvraag.</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p>
        </w:tc>
      </w:tr>
      <w:tr w:rsidR="006710AE" w:rsidTr="006710AE">
        <w:trPr>
          <w:trHeight w:val="345"/>
        </w:trPr>
        <w:tc>
          <w:tcPr>
            <w:tcW w:w="746" w:type="dxa"/>
            <w:tcBorders>
              <w:top w:val="single" w:sz="6" w:space="0" w:color="CCCCCC"/>
              <w:left w:val="single" w:sz="18" w:space="0" w:color="FFFFFF"/>
              <w:bottom w:val="single" w:sz="18" w:space="0" w:color="FFFFFF"/>
              <w:right w:val="single" w:sz="18" w:space="0" w:color="FFFFFF"/>
            </w:tcBorders>
            <w:shd w:val="clear" w:color="auto" w:fill="44AADA"/>
            <w:tcMar>
              <w:top w:w="40" w:type="dxa"/>
              <w:left w:w="40" w:type="dxa"/>
              <w:bottom w:w="40" w:type="dxa"/>
              <w:right w:w="40" w:type="dxa"/>
            </w:tcMar>
            <w:vAlign w:val="center"/>
          </w:tcPr>
          <w:p w:rsidR="006710AE" w:rsidRDefault="006710AE" w:rsidP="006710AE">
            <w:pPr>
              <w:widowControl w:val="0"/>
              <w:spacing w:line="276" w:lineRule="auto"/>
              <w:rPr>
                <w:rFonts w:ascii="Arial" w:eastAsia="Arial" w:hAnsi="Arial" w:cs="Arial"/>
                <w:sz w:val="20"/>
                <w:szCs w:val="20"/>
              </w:rPr>
            </w:pPr>
          </w:p>
        </w:tc>
        <w:tc>
          <w:tcPr>
            <w:tcW w:w="7505"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b/>
                <w:color w:val="FFFFFF"/>
                <w:sz w:val="20"/>
                <w:szCs w:val="20"/>
              </w:rPr>
              <w:t>Technisch</w:t>
            </w:r>
          </w:p>
        </w:tc>
        <w:tc>
          <w:tcPr>
            <w:tcW w:w="1386" w:type="dxa"/>
            <w:tcBorders>
              <w:top w:val="single" w:sz="6" w:space="0" w:color="CCCCCC"/>
              <w:left w:val="single" w:sz="6" w:space="0" w:color="CCCCCC"/>
              <w:bottom w:val="single" w:sz="18" w:space="0" w:color="FFFFFF"/>
              <w:right w:val="single" w:sz="18" w:space="0" w:color="FFFFFF"/>
            </w:tcBorders>
            <w:shd w:val="clear" w:color="auto" w:fill="44AADA"/>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p>
        </w:tc>
      </w:tr>
      <w:tr w:rsidR="006710AE"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TE01</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wordt niet op het lichtnet aangesloten, maar wordt door een batterij voorzien van stroom.</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p>
        </w:tc>
      </w:tr>
      <w:tr w:rsidR="006710AE"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TE02</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is volledig compatible met de behuizing en techniek van onze huidige verzamelcontainers (zie offerteaanvraag).</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p>
        </w:tc>
      </w:tr>
      <w:tr w:rsidR="006710AE" w:rsidTr="006710AE">
        <w:trPr>
          <w:trHeight w:val="525"/>
        </w:trPr>
        <w:tc>
          <w:tcPr>
            <w:tcW w:w="746" w:type="dxa"/>
            <w:tcBorders>
              <w:top w:val="single" w:sz="6" w:space="0" w:color="CCCCCC"/>
              <w:left w:val="single" w:sz="18" w:space="0" w:color="FFFFFF"/>
              <w:bottom w:val="single" w:sz="18" w:space="0" w:color="FFFFFF"/>
              <w:right w:val="single" w:sz="18" w:space="0" w:color="FFFFFF"/>
            </w:tcBorders>
            <w:shd w:val="clear" w:color="auto" w:fill="FFFFFF"/>
            <w:tcMar>
              <w:top w:w="40" w:type="dxa"/>
              <w:left w:w="40" w:type="dxa"/>
              <w:bottom w:w="40" w:type="dxa"/>
              <w:right w:w="40" w:type="dxa"/>
            </w:tcMar>
            <w:vAlign w:val="center"/>
          </w:tcPr>
          <w:p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TE03</w:t>
            </w:r>
          </w:p>
        </w:tc>
        <w:tc>
          <w:tcPr>
            <w:tcW w:w="7505"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Uw oplossing en koppelingen met het BSA voldoen continu aan de laatste versie van de STOSAG, maar blijft ook oudere versies wanneer nodig ondersteunen.</w:t>
            </w:r>
          </w:p>
        </w:tc>
        <w:tc>
          <w:tcPr>
            <w:tcW w:w="1386" w:type="dxa"/>
            <w:tcBorders>
              <w:top w:val="single" w:sz="6" w:space="0" w:color="CCCCCC"/>
              <w:left w:val="single" w:sz="6" w:space="0" w:color="CCCCCC"/>
              <w:bottom w:val="single" w:sz="18" w:space="0" w:color="FFFFFF"/>
              <w:right w:val="single" w:sz="18" w:space="0" w:color="FFFFFF"/>
            </w:tcBorders>
            <w:shd w:val="clear" w:color="auto" w:fill="FFFFFF"/>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p>
        </w:tc>
      </w:tr>
      <w:tr w:rsidR="006710AE" w:rsidTr="006710AE">
        <w:trPr>
          <w:trHeight w:val="315"/>
        </w:trPr>
        <w:tc>
          <w:tcPr>
            <w:tcW w:w="746" w:type="dxa"/>
            <w:tcBorders>
              <w:top w:val="single" w:sz="6" w:space="0" w:color="CCCCCC"/>
              <w:left w:val="single" w:sz="18" w:space="0" w:color="FFFFFF"/>
              <w:bottom w:val="single" w:sz="18" w:space="0" w:color="FFFFFF"/>
              <w:right w:val="single" w:sz="18" w:space="0" w:color="FFFFFF"/>
            </w:tcBorders>
            <w:shd w:val="clear" w:color="auto" w:fill="F3F3F3"/>
            <w:tcMar>
              <w:top w:w="40" w:type="dxa"/>
              <w:left w:w="40" w:type="dxa"/>
              <w:bottom w:w="40" w:type="dxa"/>
              <w:right w:w="40" w:type="dxa"/>
            </w:tcMar>
            <w:vAlign w:val="center"/>
          </w:tcPr>
          <w:p w:rsidR="006710AE" w:rsidRDefault="006710AE" w:rsidP="006710AE">
            <w:pPr>
              <w:widowControl w:val="0"/>
              <w:spacing w:line="276" w:lineRule="auto"/>
              <w:jc w:val="center"/>
              <w:rPr>
                <w:rFonts w:ascii="Arial" w:eastAsia="Arial" w:hAnsi="Arial" w:cs="Arial"/>
                <w:sz w:val="20"/>
                <w:szCs w:val="20"/>
              </w:rPr>
            </w:pPr>
            <w:r>
              <w:rPr>
                <w:rFonts w:ascii="Trebuchet MS" w:eastAsia="Trebuchet MS" w:hAnsi="Trebuchet MS" w:cs="Trebuchet MS"/>
                <w:sz w:val="18"/>
                <w:szCs w:val="18"/>
              </w:rPr>
              <w:t>TE04</w:t>
            </w:r>
          </w:p>
        </w:tc>
        <w:tc>
          <w:tcPr>
            <w:tcW w:w="7505"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r>
              <w:rPr>
                <w:rFonts w:ascii="Trebuchet MS" w:eastAsia="Trebuchet MS" w:hAnsi="Trebuchet MS" w:cs="Trebuchet MS"/>
                <w:sz w:val="18"/>
                <w:szCs w:val="18"/>
              </w:rPr>
              <w:t>U verzorgt de benodigde dataverbindingen.</w:t>
            </w:r>
          </w:p>
        </w:tc>
        <w:tc>
          <w:tcPr>
            <w:tcW w:w="1386" w:type="dxa"/>
            <w:tcBorders>
              <w:top w:val="single" w:sz="6" w:space="0" w:color="CCCCCC"/>
              <w:left w:val="single" w:sz="6" w:space="0" w:color="CCCCCC"/>
              <w:bottom w:val="single" w:sz="18" w:space="0" w:color="FFFFFF"/>
              <w:right w:val="single" w:sz="18" w:space="0" w:color="FFFFFF"/>
            </w:tcBorders>
            <w:shd w:val="clear" w:color="auto" w:fill="F3F3F3"/>
            <w:tcMar>
              <w:top w:w="40" w:type="dxa"/>
              <w:left w:w="40" w:type="dxa"/>
              <w:bottom w:w="40" w:type="dxa"/>
              <w:right w:w="40" w:type="dxa"/>
            </w:tcMar>
          </w:tcPr>
          <w:p w:rsidR="006710AE" w:rsidRDefault="006710AE" w:rsidP="006710AE">
            <w:pPr>
              <w:widowControl w:val="0"/>
              <w:spacing w:line="276" w:lineRule="auto"/>
              <w:rPr>
                <w:rFonts w:ascii="Arial" w:eastAsia="Arial" w:hAnsi="Arial" w:cs="Arial"/>
                <w:sz w:val="20"/>
                <w:szCs w:val="20"/>
              </w:rPr>
            </w:pPr>
          </w:p>
        </w:tc>
      </w:tr>
    </w:tbl>
    <w:p w:rsidR="00742DF2" w:rsidRDefault="00742DF2">
      <w:pPr>
        <w:spacing w:line="276" w:lineRule="auto"/>
        <w:rPr>
          <w:rFonts w:ascii="Trebuchet MS" w:eastAsia="Trebuchet MS" w:hAnsi="Trebuchet MS" w:cs="Trebuchet MS"/>
        </w:rPr>
      </w:pPr>
    </w:p>
    <w:p w:rsidR="00742DF2" w:rsidRDefault="00742DF2">
      <w:pPr>
        <w:spacing w:line="276" w:lineRule="auto"/>
        <w:rPr>
          <w:rFonts w:ascii="Trebuchet MS" w:eastAsia="Trebuchet MS" w:hAnsi="Trebuchet MS" w:cs="Trebuchet MS"/>
        </w:rPr>
      </w:pPr>
    </w:p>
    <w:p w:rsidR="00742DF2" w:rsidRDefault="00742DF2">
      <w:pPr>
        <w:spacing w:line="276" w:lineRule="auto"/>
        <w:rPr>
          <w:rFonts w:ascii="Trebuchet MS" w:eastAsia="Trebuchet MS" w:hAnsi="Trebuchet MS" w:cs="Trebuchet MS"/>
        </w:rPr>
      </w:pPr>
    </w:p>
    <w:tbl>
      <w:tblPr>
        <w:tblStyle w:val="a0"/>
        <w:tblW w:w="96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7669"/>
      </w:tblGrid>
      <w:tr w:rsidR="00742DF2">
        <w:trPr>
          <w:trHeight w:val="330"/>
        </w:trPr>
        <w:tc>
          <w:tcPr>
            <w:tcW w:w="9649" w:type="dxa"/>
            <w:gridSpan w:val="2"/>
            <w:tcBorders>
              <w:top w:val="single" w:sz="24" w:space="0" w:color="FFFFFF"/>
              <w:left w:val="single" w:sz="24" w:space="0" w:color="FFFFFF"/>
              <w:bottom w:val="single" w:sz="24" w:space="0" w:color="FFFFFF"/>
              <w:right w:val="single" w:sz="24" w:space="0" w:color="FFFFFF"/>
            </w:tcBorders>
            <w:shd w:val="clear" w:color="auto" w:fill="44AADA"/>
            <w:tcMar>
              <w:top w:w="40" w:type="dxa"/>
              <w:left w:w="40" w:type="dxa"/>
              <w:bottom w:w="40" w:type="dxa"/>
              <w:right w:w="40" w:type="dxa"/>
            </w:tcMar>
          </w:tcPr>
          <w:p w:rsidR="00742DF2" w:rsidRDefault="006710AE">
            <w:pPr>
              <w:widowControl w:val="0"/>
              <w:spacing w:line="276" w:lineRule="auto"/>
              <w:rPr>
                <w:rFonts w:ascii="Trebuchet MS" w:eastAsia="Trebuchet MS" w:hAnsi="Trebuchet MS" w:cs="Trebuchet MS"/>
                <w:sz w:val="20"/>
                <w:szCs w:val="20"/>
              </w:rPr>
            </w:pPr>
            <w:r>
              <w:rPr>
                <w:rFonts w:ascii="Trebuchet MS" w:eastAsia="Trebuchet MS" w:hAnsi="Trebuchet MS" w:cs="Trebuchet MS"/>
                <w:b/>
                <w:color w:val="FFFFFF"/>
                <w:sz w:val="20"/>
                <w:szCs w:val="20"/>
              </w:rPr>
              <w:t>rechtsgeldig geparafeerd en ondertekend</w:t>
            </w:r>
          </w:p>
        </w:tc>
      </w:tr>
      <w:tr w:rsidR="00742DF2">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right"/>
              <w:rPr>
                <w:rFonts w:ascii="Trebuchet MS" w:eastAsia="Trebuchet MS" w:hAnsi="Trebuchet MS" w:cs="Trebuchet MS"/>
                <w:sz w:val="20"/>
                <w:szCs w:val="20"/>
              </w:rPr>
            </w:pPr>
            <w:r>
              <w:rPr>
                <w:rFonts w:ascii="Trebuchet MS" w:eastAsia="Trebuchet MS" w:hAnsi="Trebuchet MS" w:cs="Trebuchet MS"/>
                <w:sz w:val="18"/>
                <w:szCs w:val="18"/>
              </w:rPr>
              <w:t>naam</w:t>
            </w:r>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Trebuchet MS" w:eastAsia="Trebuchet MS" w:hAnsi="Trebuchet MS" w:cs="Trebuchet MS"/>
                <w:sz w:val="20"/>
                <w:szCs w:val="20"/>
              </w:rPr>
            </w:pPr>
          </w:p>
        </w:tc>
      </w:tr>
      <w:tr w:rsidR="00742DF2">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right"/>
              <w:rPr>
                <w:rFonts w:ascii="Trebuchet MS" w:eastAsia="Trebuchet MS" w:hAnsi="Trebuchet MS" w:cs="Trebuchet MS"/>
                <w:sz w:val="18"/>
                <w:szCs w:val="18"/>
              </w:rPr>
            </w:pPr>
            <w:r>
              <w:rPr>
                <w:rFonts w:ascii="Trebuchet MS" w:eastAsia="Trebuchet MS" w:hAnsi="Trebuchet MS" w:cs="Trebuchet MS"/>
                <w:sz w:val="18"/>
                <w:szCs w:val="18"/>
              </w:rPr>
              <w:t>functie</w:t>
            </w:r>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Trebuchet MS" w:eastAsia="Trebuchet MS" w:hAnsi="Trebuchet MS" w:cs="Trebuchet MS"/>
                <w:sz w:val="20"/>
                <w:szCs w:val="20"/>
              </w:rPr>
            </w:pPr>
          </w:p>
        </w:tc>
      </w:tr>
      <w:tr w:rsidR="00742DF2">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vAlign w:val="center"/>
          </w:tcPr>
          <w:p w:rsidR="00742DF2" w:rsidRDefault="006710AE">
            <w:pPr>
              <w:widowControl w:val="0"/>
              <w:spacing w:line="276" w:lineRule="auto"/>
              <w:jc w:val="right"/>
              <w:rPr>
                <w:rFonts w:ascii="Trebuchet MS" w:eastAsia="Trebuchet MS" w:hAnsi="Trebuchet MS" w:cs="Trebuchet MS"/>
                <w:sz w:val="18"/>
                <w:szCs w:val="18"/>
              </w:rPr>
            </w:pPr>
            <w:r>
              <w:rPr>
                <w:rFonts w:ascii="Trebuchet MS" w:eastAsia="Trebuchet MS" w:hAnsi="Trebuchet MS" w:cs="Trebuchet MS"/>
                <w:sz w:val="18"/>
                <w:szCs w:val="18"/>
              </w:rPr>
              <w:t>datum</w:t>
            </w:r>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Trebuchet MS" w:eastAsia="Trebuchet MS" w:hAnsi="Trebuchet MS" w:cs="Trebuchet MS"/>
                <w:sz w:val="20"/>
                <w:szCs w:val="20"/>
              </w:rPr>
            </w:pPr>
          </w:p>
        </w:tc>
      </w:tr>
      <w:tr w:rsidR="00742DF2">
        <w:trPr>
          <w:trHeight w:val="75"/>
        </w:trPr>
        <w:tc>
          <w:tcPr>
            <w:tcW w:w="1980" w:type="dxa"/>
            <w:tcBorders>
              <w:top w:val="single" w:sz="24" w:space="0" w:color="FFFFFF"/>
              <w:left w:val="single" w:sz="24" w:space="0" w:color="FFFFFF"/>
              <w:bottom w:val="single" w:sz="24" w:space="0" w:color="FFFFFF"/>
              <w:right w:val="single" w:sz="24" w:space="0" w:color="FFFFFF"/>
            </w:tcBorders>
            <w:shd w:val="clear" w:color="auto" w:fill="F3F3F3"/>
            <w:tcMar>
              <w:top w:w="40" w:type="dxa"/>
              <w:left w:w="40" w:type="dxa"/>
              <w:bottom w:w="40" w:type="dxa"/>
              <w:right w:w="40" w:type="dxa"/>
            </w:tcMar>
          </w:tcPr>
          <w:p w:rsidR="00742DF2" w:rsidRDefault="006710AE">
            <w:pPr>
              <w:widowControl w:val="0"/>
              <w:spacing w:line="276" w:lineRule="auto"/>
              <w:jc w:val="right"/>
              <w:rPr>
                <w:rFonts w:ascii="Trebuchet MS" w:eastAsia="Trebuchet MS" w:hAnsi="Trebuchet MS" w:cs="Trebuchet MS"/>
                <w:sz w:val="18"/>
                <w:szCs w:val="18"/>
              </w:rPr>
            </w:pPr>
            <w:r>
              <w:rPr>
                <w:rFonts w:ascii="Trebuchet MS" w:eastAsia="Trebuchet MS" w:hAnsi="Trebuchet MS" w:cs="Trebuchet MS"/>
                <w:sz w:val="18"/>
                <w:szCs w:val="18"/>
              </w:rPr>
              <w:lastRenderedPageBreak/>
              <w:t>handtekening</w:t>
            </w:r>
          </w:p>
        </w:tc>
        <w:tc>
          <w:tcPr>
            <w:tcW w:w="7669" w:type="dxa"/>
            <w:tcBorders>
              <w:top w:val="single" w:sz="24" w:space="0" w:color="FFFFFF"/>
              <w:left w:val="single" w:sz="24" w:space="0" w:color="FFFFFF"/>
              <w:bottom w:val="single" w:sz="24" w:space="0" w:color="FFFFFF"/>
              <w:right w:val="single" w:sz="24" w:space="0" w:color="FFFFFF"/>
            </w:tcBorders>
            <w:shd w:val="clear" w:color="auto" w:fill="FFFFFF"/>
            <w:tcMar>
              <w:top w:w="40" w:type="dxa"/>
              <w:left w:w="40" w:type="dxa"/>
              <w:bottom w:w="40" w:type="dxa"/>
              <w:right w:w="40" w:type="dxa"/>
            </w:tcMar>
          </w:tcPr>
          <w:p w:rsidR="00742DF2" w:rsidRDefault="00742DF2">
            <w:pPr>
              <w:widowControl w:val="0"/>
              <w:spacing w:line="276" w:lineRule="auto"/>
              <w:rPr>
                <w:rFonts w:ascii="Trebuchet MS" w:eastAsia="Trebuchet MS" w:hAnsi="Trebuchet MS" w:cs="Trebuchet MS"/>
                <w:sz w:val="20"/>
                <w:szCs w:val="20"/>
              </w:rPr>
            </w:pPr>
          </w:p>
          <w:p w:rsidR="00742DF2" w:rsidRDefault="00742DF2">
            <w:pPr>
              <w:widowControl w:val="0"/>
              <w:spacing w:line="276" w:lineRule="auto"/>
              <w:rPr>
                <w:rFonts w:ascii="Trebuchet MS" w:eastAsia="Trebuchet MS" w:hAnsi="Trebuchet MS" w:cs="Trebuchet MS"/>
                <w:sz w:val="20"/>
                <w:szCs w:val="20"/>
              </w:rPr>
            </w:pPr>
          </w:p>
          <w:p w:rsidR="00742DF2" w:rsidRDefault="00742DF2">
            <w:pPr>
              <w:widowControl w:val="0"/>
              <w:spacing w:line="276" w:lineRule="auto"/>
              <w:rPr>
                <w:rFonts w:ascii="Trebuchet MS" w:eastAsia="Trebuchet MS" w:hAnsi="Trebuchet MS" w:cs="Trebuchet MS"/>
                <w:sz w:val="20"/>
                <w:szCs w:val="20"/>
              </w:rPr>
            </w:pPr>
          </w:p>
        </w:tc>
      </w:tr>
    </w:tbl>
    <w:p w:rsidR="00742DF2" w:rsidRDefault="00742DF2">
      <w:pPr>
        <w:spacing w:line="276" w:lineRule="auto"/>
        <w:rPr>
          <w:rFonts w:ascii="Trebuchet MS" w:eastAsia="Trebuchet MS" w:hAnsi="Trebuchet MS" w:cs="Trebuchet MS"/>
          <w:sz w:val="20"/>
          <w:szCs w:val="20"/>
        </w:rPr>
      </w:pPr>
    </w:p>
    <w:sectPr w:rsidR="00742DF2">
      <w:headerReference w:type="default" r:id="rId8"/>
      <w:footerReference w:type="default" r:id="rId9"/>
      <w:headerReference w:type="first" r:id="rId10"/>
      <w:pgSz w:w="11906" w:h="16838"/>
      <w:pgMar w:top="1133" w:right="1133" w:bottom="1133" w:left="113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710AE">
      <w:pPr>
        <w:spacing w:line="240" w:lineRule="auto"/>
      </w:pPr>
      <w:r>
        <w:separator/>
      </w:r>
    </w:p>
  </w:endnote>
  <w:endnote w:type="continuationSeparator" w:id="0">
    <w:p w:rsidR="00000000" w:rsidRDefault="00671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DF2" w:rsidRDefault="00742DF2">
    <w:pPr>
      <w:pBdr>
        <w:top w:val="nil"/>
        <w:left w:val="nil"/>
        <w:bottom w:val="nil"/>
        <w:right w:val="nil"/>
        <w:between w:val="nil"/>
      </w:pBdr>
      <w:tabs>
        <w:tab w:val="center" w:pos="4536"/>
        <w:tab w:val="right" w:pos="9072"/>
      </w:tabs>
      <w:spacing w:line="240" w:lineRule="auto"/>
      <w:jc w:val="center"/>
      <w:rPr>
        <w:rFonts w:ascii="Trebuchet MS" w:eastAsia="Trebuchet MS" w:hAnsi="Trebuchet MS" w:cs="Trebuchet MS"/>
        <w:sz w:val="18"/>
        <w:szCs w:val="18"/>
      </w:rPr>
    </w:pPr>
  </w:p>
  <w:p w:rsidR="00742DF2" w:rsidRDefault="006710AE">
    <w:pPr>
      <w:pBdr>
        <w:top w:val="nil"/>
        <w:left w:val="nil"/>
        <w:bottom w:val="nil"/>
        <w:right w:val="nil"/>
        <w:between w:val="nil"/>
      </w:pBdr>
      <w:tabs>
        <w:tab w:val="center" w:pos="4536"/>
        <w:tab w:val="right" w:pos="9072"/>
      </w:tabs>
      <w:spacing w:line="240" w:lineRule="auto"/>
      <w:jc w:val="right"/>
      <w:rPr>
        <w:rFonts w:ascii="Trebuchet MS" w:eastAsia="Trebuchet MS" w:hAnsi="Trebuchet MS" w:cs="Trebuchet MS"/>
        <w:sz w:val="18"/>
        <w:szCs w:val="18"/>
      </w:rPr>
    </w:pPr>
    <w:r>
      <w:rPr>
        <w:rFonts w:ascii="Trebuchet MS" w:eastAsia="Trebuchet MS" w:hAnsi="Trebuchet MS" w:cs="Trebuchet MS"/>
        <w:sz w:val="18"/>
        <w:szCs w:val="18"/>
      </w:rPr>
      <w:t>paraaf</w:t>
    </w:r>
  </w:p>
  <w:p w:rsidR="00742DF2" w:rsidRDefault="006710AE">
    <w:pPr>
      <w:pBdr>
        <w:top w:val="nil"/>
        <w:left w:val="nil"/>
        <w:bottom w:val="nil"/>
        <w:right w:val="nil"/>
        <w:between w:val="nil"/>
      </w:pBdr>
      <w:tabs>
        <w:tab w:val="center" w:pos="4536"/>
        <w:tab w:val="right" w:pos="9072"/>
      </w:tabs>
      <w:spacing w:line="240" w:lineRule="auto"/>
      <w:jc w:val="center"/>
      <w:rPr>
        <w:rFonts w:ascii="Trebuchet MS" w:eastAsia="Trebuchet MS" w:hAnsi="Trebuchet MS" w:cs="Trebuchet MS"/>
        <w:sz w:val="18"/>
        <w:szCs w:val="18"/>
      </w:rPr>
    </w:pPr>
    <w:r>
      <w:rPr>
        <w:rFonts w:ascii="Trebuchet MS" w:eastAsia="Trebuchet MS" w:hAnsi="Trebuchet MS" w:cs="Trebuchet MS"/>
        <w:sz w:val="18"/>
        <w:szCs w:val="18"/>
      </w:rPr>
      <w:t>Bijlage 7 - Programma van Eisen</w:t>
    </w:r>
  </w:p>
  <w:p w:rsidR="00742DF2" w:rsidRDefault="006710AE">
    <w:pPr>
      <w:spacing w:line="276" w:lineRule="auto"/>
      <w:jc w:val="center"/>
      <w:rPr>
        <w:rFonts w:ascii="Trebuchet MS" w:eastAsia="Trebuchet MS" w:hAnsi="Trebuchet MS" w:cs="Trebuchet MS"/>
        <w:sz w:val="18"/>
        <w:szCs w:val="18"/>
      </w:rPr>
    </w:pPr>
    <w:r>
      <w:rPr>
        <w:rFonts w:ascii="Trebuchet MS" w:eastAsia="Trebuchet MS" w:hAnsi="Trebuchet MS" w:cs="Trebuchet MS"/>
        <w:sz w:val="18"/>
        <w:szCs w:val="18"/>
      </w:rPr>
      <w:t>Beschikbaar stellen, implementeren en onderhouden Communicatie Management Systeem verzamelcontainers en Toegangscontrolesystemen</w:t>
    </w:r>
  </w:p>
  <w:p w:rsidR="00742DF2" w:rsidRDefault="006710AE">
    <w:pPr>
      <w:pBdr>
        <w:top w:val="nil"/>
        <w:left w:val="nil"/>
        <w:bottom w:val="nil"/>
        <w:right w:val="nil"/>
        <w:between w:val="nil"/>
      </w:pBdr>
      <w:tabs>
        <w:tab w:val="center" w:pos="4536"/>
        <w:tab w:val="right" w:pos="9072"/>
      </w:tabs>
      <w:spacing w:line="240" w:lineRule="auto"/>
      <w:jc w:val="center"/>
      <w:rPr>
        <w:color w:val="000000"/>
        <w:sz w:val="16"/>
        <w:szCs w:val="16"/>
      </w:rPr>
    </w:pPr>
    <w:r>
      <w:rPr>
        <w:rFonts w:ascii="Trebuchet MS" w:eastAsia="Trebuchet MS" w:hAnsi="Trebuchet MS" w:cs="Trebuchet MS"/>
        <w:color w:val="000000"/>
        <w:sz w:val="16"/>
        <w:szCs w:val="16"/>
      </w:rPr>
      <w:t xml:space="preserve">Pagina </w:t>
    </w:r>
    <w:r>
      <w:rPr>
        <w:rFonts w:ascii="Trebuchet MS" w:eastAsia="Trebuchet MS" w:hAnsi="Trebuchet MS" w:cs="Trebuchet MS"/>
        <w:b/>
        <w:color w:val="000000"/>
        <w:sz w:val="16"/>
        <w:szCs w:val="16"/>
      </w:rPr>
      <w:fldChar w:fldCharType="begin"/>
    </w:r>
    <w:r>
      <w:rPr>
        <w:rFonts w:ascii="Trebuchet MS" w:eastAsia="Trebuchet MS" w:hAnsi="Trebuchet MS" w:cs="Trebuchet MS"/>
        <w:b/>
        <w:color w:val="000000"/>
        <w:sz w:val="16"/>
        <w:szCs w:val="16"/>
      </w:rPr>
      <w:instrText>PAGE</w:instrText>
    </w:r>
    <w:r>
      <w:rPr>
        <w:rFonts w:ascii="Trebuchet MS" w:eastAsia="Trebuchet MS" w:hAnsi="Trebuchet MS" w:cs="Trebuchet MS"/>
        <w:b/>
        <w:color w:val="000000"/>
        <w:sz w:val="16"/>
        <w:szCs w:val="16"/>
      </w:rPr>
      <w:fldChar w:fldCharType="separate"/>
    </w:r>
    <w:r>
      <w:rPr>
        <w:rFonts w:ascii="Trebuchet MS" w:eastAsia="Trebuchet MS" w:hAnsi="Trebuchet MS" w:cs="Trebuchet MS"/>
        <w:b/>
        <w:noProof/>
        <w:color w:val="000000"/>
        <w:sz w:val="16"/>
        <w:szCs w:val="16"/>
      </w:rPr>
      <w:t>1</w:t>
    </w:r>
    <w:r>
      <w:rPr>
        <w:rFonts w:ascii="Trebuchet MS" w:eastAsia="Trebuchet MS" w:hAnsi="Trebuchet MS" w:cs="Trebuchet MS"/>
        <w:b/>
        <w:color w:val="000000"/>
        <w:sz w:val="16"/>
        <w:szCs w:val="16"/>
      </w:rPr>
      <w:fldChar w:fldCharType="end"/>
    </w:r>
    <w:r>
      <w:rPr>
        <w:rFonts w:ascii="Trebuchet MS" w:eastAsia="Trebuchet MS" w:hAnsi="Trebuchet MS" w:cs="Trebuchet MS"/>
        <w:color w:val="000000"/>
        <w:sz w:val="16"/>
        <w:szCs w:val="16"/>
      </w:rPr>
      <w:t xml:space="preserve"> van </w:t>
    </w:r>
    <w:r>
      <w:rPr>
        <w:rFonts w:ascii="Trebuchet MS" w:eastAsia="Trebuchet MS" w:hAnsi="Trebuchet MS" w:cs="Trebuchet MS"/>
        <w:b/>
        <w:color w:val="000000"/>
        <w:sz w:val="16"/>
        <w:szCs w:val="16"/>
      </w:rPr>
      <w:fldChar w:fldCharType="begin"/>
    </w:r>
    <w:r>
      <w:rPr>
        <w:rFonts w:ascii="Trebuchet MS" w:eastAsia="Trebuchet MS" w:hAnsi="Trebuchet MS" w:cs="Trebuchet MS"/>
        <w:b/>
        <w:color w:val="000000"/>
        <w:sz w:val="16"/>
        <w:szCs w:val="16"/>
      </w:rPr>
      <w:instrText>NUMPAGES</w:instrText>
    </w:r>
    <w:r>
      <w:rPr>
        <w:rFonts w:ascii="Trebuchet MS" w:eastAsia="Trebuchet MS" w:hAnsi="Trebuchet MS" w:cs="Trebuchet MS"/>
        <w:b/>
        <w:color w:val="000000"/>
        <w:sz w:val="16"/>
        <w:szCs w:val="16"/>
      </w:rPr>
      <w:fldChar w:fldCharType="separate"/>
    </w:r>
    <w:r>
      <w:rPr>
        <w:rFonts w:ascii="Trebuchet MS" w:eastAsia="Trebuchet MS" w:hAnsi="Trebuchet MS" w:cs="Trebuchet MS"/>
        <w:b/>
        <w:noProof/>
        <w:color w:val="000000"/>
        <w:sz w:val="16"/>
        <w:szCs w:val="16"/>
      </w:rPr>
      <w:t>1</w:t>
    </w:r>
    <w:r>
      <w:rPr>
        <w:rFonts w:ascii="Trebuchet MS" w:eastAsia="Trebuchet MS" w:hAnsi="Trebuchet MS" w:cs="Trebuchet MS"/>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710AE">
      <w:pPr>
        <w:spacing w:line="240" w:lineRule="auto"/>
      </w:pPr>
      <w:r>
        <w:separator/>
      </w:r>
    </w:p>
  </w:footnote>
  <w:footnote w:type="continuationSeparator" w:id="0">
    <w:p w:rsidR="00000000" w:rsidRDefault="006710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DF2" w:rsidRDefault="006710AE">
    <w:pPr>
      <w:rPr>
        <w:rFonts w:ascii="Trebuchet MS" w:eastAsia="Trebuchet MS" w:hAnsi="Trebuchet MS" w:cs="Trebuchet MS"/>
        <w:sz w:val="36"/>
        <w:szCs w:val="36"/>
      </w:rPr>
    </w:pPr>
    <w:r>
      <w:rPr>
        <w:rFonts w:ascii="Trebuchet MS" w:eastAsia="Trebuchet MS" w:hAnsi="Trebuchet MS" w:cs="Trebuchet MS"/>
        <w:sz w:val="36"/>
        <w:szCs w:val="36"/>
      </w:rPr>
      <w:t>Bijlage 7 - Programma van Eisen</w:t>
    </w:r>
  </w:p>
  <w:p w:rsidR="00742DF2" w:rsidRDefault="006710AE">
    <w:pPr>
      <w:rPr>
        <w:rFonts w:ascii="Trebuchet MS" w:eastAsia="Trebuchet MS" w:hAnsi="Trebuchet MS" w:cs="Trebuchet MS"/>
        <w:sz w:val="24"/>
        <w:szCs w:val="24"/>
      </w:rPr>
    </w:pPr>
    <w:r>
      <w:rPr>
        <w:rFonts w:ascii="Trebuchet MS" w:eastAsia="Trebuchet MS" w:hAnsi="Trebuchet MS" w:cs="Trebuchet MS"/>
        <w:sz w:val="24"/>
        <w:szCs w:val="24"/>
      </w:rPr>
      <w:t>versie 20201207</w:t>
    </w:r>
  </w:p>
  <w:p w:rsidR="00742DF2" w:rsidRDefault="00742DF2">
    <w:pPr>
      <w:rPr>
        <w:rFonts w:ascii="Trebuchet MS" w:eastAsia="Trebuchet MS" w:hAnsi="Trebuchet MS" w:cs="Trebuchet MS"/>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DF2" w:rsidRDefault="006710AE">
    <w:pPr>
      <w:rPr>
        <w:rFonts w:ascii="Trebuchet MS" w:eastAsia="Trebuchet MS" w:hAnsi="Trebuchet MS" w:cs="Trebuchet MS"/>
        <w:sz w:val="36"/>
        <w:szCs w:val="36"/>
      </w:rPr>
    </w:pPr>
    <w:r>
      <w:rPr>
        <w:rFonts w:ascii="Trebuchet MS" w:eastAsia="Trebuchet MS" w:hAnsi="Trebuchet MS" w:cs="Trebuchet MS"/>
        <w:sz w:val="36"/>
        <w:szCs w:val="36"/>
      </w:rPr>
      <w:t>Bijlage 2 - Programma van Eisen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D6996"/>
    <w:multiLevelType w:val="hybridMultilevel"/>
    <w:tmpl w:val="BA7E24D8"/>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DF2"/>
    <w:rsid w:val="006710AE"/>
    <w:rsid w:val="00742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D3ACA"/>
  <w15:docId w15:val="{828555A5-A0AD-48E4-AEA2-66E0ACFF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spacing w:after="840" w:line="276" w:lineRule="auto"/>
      <w:ind w:right="-46"/>
      <w:outlineLvl w:val="0"/>
    </w:pPr>
    <w:rPr>
      <w:rFonts w:ascii="Trebuchet MS" w:eastAsia="Trebuchet MS" w:hAnsi="Trebuchet MS" w:cs="Trebuchet MS"/>
      <w:b/>
      <w:color w:val="44AADA"/>
      <w:sz w:val="36"/>
      <w:szCs w:val="36"/>
    </w:rPr>
  </w:style>
  <w:style w:type="paragraph" w:styleId="Kop2">
    <w:name w:val="heading 2"/>
    <w:basedOn w:val="Standaard"/>
    <w:next w:val="Standaard"/>
    <w:uiPriority w:val="9"/>
    <w:semiHidden/>
    <w:unhideWhenUsed/>
    <w:qFormat/>
    <w:pPr>
      <w:keepNext/>
      <w:spacing w:before="240" w:line="276" w:lineRule="auto"/>
      <w:outlineLvl w:val="1"/>
    </w:pPr>
    <w:rPr>
      <w:rFonts w:ascii="Trebuchet MS" w:eastAsia="Trebuchet MS" w:hAnsi="Trebuchet MS" w:cs="Trebuchet MS"/>
      <w:b/>
    </w:rPr>
  </w:style>
  <w:style w:type="paragraph" w:styleId="Kop3">
    <w:name w:val="heading 3"/>
    <w:basedOn w:val="Standaard"/>
    <w:next w:val="Standaard"/>
    <w:uiPriority w:val="9"/>
    <w:semiHidden/>
    <w:unhideWhenUsed/>
    <w:qFormat/>
    <w:pPr>
      <w:keepNext/>
      <w:spacing w:line="276" w:lineRule="auto"/>
      <w:outlineLvl w:val="2"/>
    </w:pPr>
    <w:rPr>
      <w:rFonts w:ascii="Trebuchet MS" w:eastAsia="Trebuchet MS" w:hAnsi="Trebuchet MS" w:cs="Trebuchet MS"/>
      <w:b/>
      <w:color w:val="44AADA"/>
      <w:sz w:val="20"/>
      <w:szCs w:val="20"/>
    </w:rPr>
  </w:style>
  <w:style w:type="paragraph" w:styleId="Kop4">
    <w:name w:val="heading 4"/>
    <w:basedOn w:val="Standaard"/>
    <w:next w:val="Standaard"/>
    <w:uiPriority w:val="9"/>
    <w:semiHidden/>
    <w:unhideWhenUsed/>
    <w:qFormat/>
    <w:pPr>
      <w:keepNext/>
      <w:spacing w:before="240"/>
      <w:ind w:left="1419" w:hanging="851"/>
      <w:outlineLvl w:val="3"/>
    </w:pPr>
    <w:rPr>
      <w:b/>
      <w:color w:val="EC008B"/>
      <w:sz w:val="24"/>
      <w:szCs w:val="24"/>
    </w:rPr>
  </w:style>
  <w:style w:type="paragraph" w:styleId="Kop5">
    <w:name w:val="heading 5"/>
    <w:basedOn w:val="Standaard"/>
    <w:next w:val="Standaard"/>
    <w:uiPriority w:val="9"/>
    <w:semiHidden/>
    <w:unhideWhenUsed/>
    <w:qFormat/>
    <w:pPr>
      <w:keepNext/>
      <w:keepLines/>
      <w:spacing w:before="40"/>
      <w:outlineLvl w:val="4"/>
    </w:pPr>
    <w:rPr>
      <w:color w:val="2E75B5"/>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Standaardalinea-lettertype"/>
    <w:uiPriority w:val="99"/>
    <w:semiHidden/>
    <w:unhideWhenUsed/>
    <w:rsid w:val="006710AE"/>
    <w:rPr>
      <w:color w:val="0000FF" w:themeColor="hyperlink"/>
      <w:u w:val="single"/>
    </w:rPr>
  </w:style>
  <w:style w:type="paragraph" w:customStyle="1" w:styleId="Default">
    <w:name w:val="Default"/>
    <w:rsid w:val="006710AE"/>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character" w:customStyle="1" w:styleId="fontstyle01">
    <w:name w:val="fontstyle01"/>
    <w:basedOn w:val="Standaardalinea-lettertype"/>
    <w:rsid w:val="006710AE"/>
    <w:rPr>
      <w:rFonts w:ascii="TrebuchetMS" w:hAnsi="TrebuchetMS"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ocialreturnmonito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1261</Words>
  <Characters>6938</Characters>
  <Application>Microsoft Office Word</Application>
  <DocSecurity>0</DocSecurity>
  <Lines>57</Lines>
  <Paragraphs>16</Paragraphs>
  <ScaleCrop>false</ScaleCrop>
  <Company>Gemeente Midden Groningen</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Sonja van Roeden</cp:lastModifiedBy>
  <cp:revision>2</cp:revision>
  <dcterms:created xsi:type="dcterms:W3CDTF">2020-12-07T17:09:00Z</dcterms:created>
  <dcterms:modified xsi:type="dcterms:W3CDTF">2020-12-07T17:11:00Z</dcterms:modified>
</cp:coreProperties>
</file>