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601" w:tblpY="7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E91C21" w:rsidRPr="0083547C" w:rsidTr="00B82902">
        <w:tc>
          <w:tcPr>
            <w:tcW w:w="9464" w:type="dxa"/>
            <w:gridSpan w:val="2"/>
            <w:shd w:val="clear" w:color="auto" w:fill="000000" w:themeFill="text1"/>
          </w:tcPr>
          <w:p w:rsidR="00E91C21" w:rsidRPr="0083547C" w:rsidRDefault="0083547C" w:rsidP="00E91C21">
            <w:pPr>
              <w:rPr>
                <w:rFonts w:asciiTheme="minorHAnsi" w:hAnsiTheme="minorHAnsi" w:cstheme="minorHAnsi"/>
                <w:b/>
                <w:sz w:val="28"/>
                <w:szCs w:val="28"/>
              </w:rPr>
            </w:pPr>
            <w:r w:rsidRPr="0083547C">
              <w:rPr>
                <w:rFonts w:asciiTheme="minorHAnsi" w:hAnsiTheme="minorHAnsi" w:cstheme="minorHAnsi"/>
                <w:b/>
                <w:sz w:val="28"/>
                <w:szCs w:val="28"/>
              </w:rPr>
              <w:t>Selectiecriterium 1: Casus Samenwerken (maximaal 30 punten)</w:t>
            </w:r>
          </w:p>
        </w:tc>
      </w:tr>
      <w:tr w:rsidR="007D2047" w:rsidRPr="0083547C" w:rsidTr="00557634">
        <w:tc>
          <w:tcPr>
            <w:tcW w:w="9464" w:type="dxa"/>
            <w:gridSpan w:val="2"/>
            <w:shd w:val="clear" w:color="auto" w:fill="auto"/>
          </w:tcPr>
          <w:p w:rsidR="007D2047" w:rsidRPr="0083547C" w:rsidRDefault="0083547C" w:rsidP="0083547C">
            <w:pPr>
              <w:jc w:val="both"/>
              <w:rPr>
                <w:rFonts w:asciiTheme="minorHAnsi" w:hAnsiTheme="minorHAnsi" w:cstheme="minorHAnsi"/>
                <w:sz w:val="20"/>
              </w:rPr>
            </w:pPr>
            <w:r w:rsidRPr="0083547C">
              <w:rPr>
                <w:rFonts w:asciiTheme="minorHAnsi" w:hAnsiTheme="minorHAnsi" w:cstheme="minorHAnsi"/>
                <w:sz w:val="20"/>
              </w:rPr>
              <w:t>Opdrachtgever denkt bij samenwerken onder andere aan een opdrachtnemer die proactief de doelstellingen van de opdracht nastreeft en verantwoordelijkheid neemt, met oog voor de belangen van de verschillende samenwerkende partijen en bijdraagt aan gezamenlijk leren, ontwikkelen en verbeteren. Te denken valt daarbij aan, niet limitatief, de opdrachtgever, opdrachtnemer, maar ook de organisaties waar gemeenten nauw mee samenwerkt.</w:t>
            </w:r>
          </w:p>
        </w:tc>
      </w:tr>
      <w:tr w:rsidR="007D2047" w:rsidRPr="0083547C" w:rsidTr="00F202BE">
        <w:tc>
          <w:tcPr>
            <w:tcW w:w="4503" w:type="dxa"/>
            <w:shd w:val="clear" w:color="auto" w:fill="000000" w:themeFill="text1"/>
          </w:tcPr>
          <w:p w:rsidR="007D2047" w:rsidRPr="0083547C" w:rsidRDefault="0083547C" w:rsidP="0083547C">
            <w:pPr>
              <w:jc w:val="both"/>
              <w:rPr>
                <w:rFonts w:asciiTheme="minorHAnsi" w:hAnsiTheme="minorHAnsi" w:cstheme="minorHAnsi"/>
                <w:b/>
                <w:sz w:val="20"/>
              </w:rPr>
            </w:pPr>
            <w:r w:rsidRPr="0083547C">
              <w:rPr>
                <w:rFonts w:asciiTheme="minorHAnsi" w:hAnsiTheme="minorHAnsi" w:cstheme="minorHAnsi"/>
                <w:b/>
                <w:sz w:val="20"/>
              </w:rPr>
              <w:t>Casus</w:t>
            </w:r>
          </w:p>
        </w:tc>
        <w:tc>
          <w:tcPr>
            <w:tcW w:w="4961" w:type="dxa"/>
            <w:shd w:val="clear" w:color="auto" w:fill="000000" w:themeFill="text1"/>
          </w:tcPr>
          <w:p w:rsidR="007D2047" w:rsidRPr="0083547C" w:rsidRDefault="007D2047" w:rsidP="0083547C">
            <w:pPr>
              <w:jc w:val="both"/>
              <w:rPr>
                <w:rFonts w:asciiTheme="minorHAnsi" w:hAnsiTheme="minorHAnsi" w:cstheme="minorHAnsi"/>
                <w:sz w:val="20"/>
              </w:rPr>
            </w:pPr>
          </w:p>
        </w:tc>
      </w:tr>
      <w:tr w:rsidR="0083547C" w:rsidRPr="0083547C" w:rsidTr="0083547C">
        <w:tc>
          <w:tcPr>
            <w:tcW w:w="9464" w:type="dxa"/>
            <w:gridSpan w:val="2"/>
            <w:shd w:val="clear" w:color="auto" w:fill="auto"/>
          </w:tcPr>
          <w:p w:rsidR="0083547C" w:rsidRPr="0083547C" w:rsidRDefault="0083547C" w:rsidP="0083547C">
            <w:pPr>
              <w:jc w:val="both"/>
              <w:rPr>
                <w:rFonts w:asciiTheme="minorHAnsi" w:hAnsiTheme="minorHAnsi" w:cstheme="minorHAnsi"/>
                <w:sz w:val="20"/>
              </w:rPr>
            </w:pPr>
            <w:r w:rsidRPr="0083547C">
              <w:rPr>
                <w:rFonts w:asciiTheme="minorHAnsi" w:hAnsiTheme="minorHAnsi" w:cstheme="minorHAnsi"/>
                <w:sz w:val="20"/>
              </w:rPr>
              <w:t>Tijdens de gunningsfase wordt van opdrachtnemer verwacht, dat deze tijdens onder meer het gesprek van de gunningsfase zijn specifieke ervaring en deskundigheid op het gebied van keuzes en uitvoeringsaspecten inbrengt. Tijdens dit gesprek worden keuzes gemaakt die zeer bepalend zijn voor de uiteindelijke offerte.  Na opdrachtverstrekking blijkt tijdens de uitvoering de offerte niet uitvoerbaar en maakbaar. Grote consequenties zijn er ten aanzien van de planning en kosten. Er ontstaat discussie tussen opdrachtgever en opdrachtnemer waardoor de samenwerking onder spanning komt te staan.</w:t>
            </w:r>
          </w:p>
        </w:tc>
      </w:tr>
      <w:tr w:rsidR="0083547C" w:rsidRPr="0083547C" w:rsidTr="0083547C">
        <w:tc>
          <w:tcPr>
            <w:tcW w:w="9464" w:type="dxa"/>
            <w:gridSpan w:val="2"/>
            <w:shd w:val="clear" w:color="auto" w:fill="000000" w:themeFill="text1"/>
          </w:tcPr>
          <w:p w:rsidR="0083547C" w:rsidRPr="0083547C" w:rsidRDefault="0083547C" w:rsidP="0083547C">
            <w:pPr>
              <w:jc w:val="both"/>
              <w:rPr>
                <w:rFonts w:asciiTheme="minorHAnsi" w:hAnsiTheme="minorHAnsi" w:cstheme="minorHAnsi"/>
                <w:b/>
                <w:bCs/>
                <w:sz w:val="20"/>
              </w:rPr>
            </w:pPr>
            <w:r w:rsidRPr="0083547C">
              <w:rPr>
                <w:rFonts w:asciiTheme="minorHAnsi" w:hAnsiTheme="minorHAnsi" w:cstheme="minorHAnsi"/>
                <w:b/>
                <w:bCs/>
                <w:sz w:val="20"/>
              </w:rPr>
              <w:t>Indienen</w:t>
            </w:r>
          </w:p>
        </w:tc>
      </w:tr>
      <w:tr w:rsidR="0083547C" w:rsidRPr="0083547C" w:rsidTr="0083547C">
        <w:tc>
          <w:tcPr>
            <w:tcW w:w="9464" w:type="dxa"/>
            <w:gridSpan w:val="2"/>
            <w:shd w:val="clear" w:color="auto" w:fill="auto"/>
          </w:tcPr>
          <w:p w:rsidR="0083547C" w:rsidRPr="0083547C" w:rsidRDefault="0083547C" w:rsidP="0083547C">
            <w:pPr>
              <w:jc w:val="both"/>
              <w:rPr>
                <w:rFonts w:asciiTheme="minorHAnsi" w:hAnsiTheme="minorHAnsi" w:cstheme="minorHAnsi"/>
                <w:sz w:val="20"/>
              </w:rPr>
            </w:pPr>
            <w:r w:rsidRPr="0083547C">
              <w:rPr>
                <w:rFonts w:asciiTheme="minorHAnsi" w:hAnsiTheme="minorHAnsi" w:cstheme="minorHAnsi"/>
                <w:sz w:val="20"/>
              </w:rPr>
              <w:t xml:space="preserve">Gegadigde dient voor bovenstaande casus een document in te dienen waarin hij aangeeft hoe hij een dergelijke situatie voorkomt. Het document is </w:t>
            </w:r>
            <w:r w:rsidRPr="0083547C">
              <w:rPr>
                <w:rFonts w:asciiTheme="minorHAnsi" w:hAnsiTheme="minorHAnsi" w:cstheme="minorHAnsi"/>
                <w:b/>
                <w:bCs/>
                <w:sz w:val="20"/>
              </w:rPr>
              <w:t xml:space="preserve">maximaal 3 A4 pagina’s, enkelzijdig, inclusief afbeeldingen, lettertype </w:t>
            </w:r>
            <w:proofErr w:type="spellStart"/>
            <w:r w:rsidRPr="0083547C">
              <w:rPr>
                <w:rFonts w:asciiTheme="minorHAnsi" w:hAnsiTheme="minorHAnsi" w:cstheme="minorHAnsi"/>
                <w:b/>
                <w:bCs/>
                <w:sz w:val="20"/>
              </w:rPr>
              <w:t>Arial</w:t>
            </w:r>
            <w:proofErr w:type="spellEnd"/>
            <w:r w:rsidRPr="0083547C">
              <w:rPr>
                <w:rFonts w:asciiTheme="minorHAnsi" w:hAnsiTheme="minorHAnsi" w:cstheme="minorHAnsi"/>
                <w:b/>
                <w:bCs/>
                <w:sz w:val="20"/>
              </w:rPr>
              <w:t>, 10pt.</w:t>
            </w:r>
          </w:p>
        </w:tc>
      </w:tr>
      <w:tr w:rsidR="0083547C" w:rsidRPr="0083547C" w:rsidTr="0083547C">
        <w:tc>
          <w:tcPr>
            <w:tcW w:w="9464" w:type="dxa"/>
            <w:gridSpan w:val="2"/>
            <w:shd w:val="clear" w:color="auto" w:fill="000000" w:themeFill="text1"/>
          </w:tcPr>
          <w:p w:rsidR="0083547C" w:rsidRPr="0083547C" w:rsidRDefault="0083547C" w:rsidP="0083547C">
            <w:pPr>
              <w:jc w:val="both"/>
              <w:rPr>
                <w:rFonts w:asciiTheme="minorHAnsi" w:hAnsiTheme="minorHAnsi" w:cstheme="minorHAnsi"/>
                <w:b/>
                <w:bCs/>
                <w:sz w:val="20"/>
              </w:rPr>
            </w:pPr>
            <w:r w:rsidRPr="0083547C">
              <w:rPr>
                <w:rFonts w:asciiTheme="minorHAnsi" w:hAnsiTheme="minorHAnsi" w:cstheme="minorHAnsi"/>
                <w:b/>
                <w:bCs/>
                <w:sz w:val="20"/>
              </w:rPr>
              <w:t>Beoordelingsaspecten</w:t>
            </w:r>
          </w:p>
        </w:tc>
      </w:tr>
      <w:tr w:rsidR="0083547C" w:rsidRPr="0083547C" w:rsidTr="0083547C">
        <w:tc>
          <w:tcPr>
            <w:tcW w:w="9464" w:type="dxa"/>
            <w:gridSpan w:val="2"/>
            <w:shd w:val="clear" w:color="auto" w:fill="auto"/>
          </w:tcPr>
          <w:p w:rsidR="0083547C" w:rsidRPr="0083547C" w:rsidRDefault="0083547C" w:rsidP="0083547C">
            <w:pPr>
              <w:numPr>
                <w:ilvl w:val="0"/>
                <w:numId w:val="27"/>
              </w:numPr>
              <w:jc w:val="both"/>
              <w:rPr>
                <w:rFonts w:asciiTheme="minorHAnsi" w:hAnsiTheme="minorHAnsi" w:cstheme="minorHAnsi"/>
                <w:sz w:val="20"/>
              </w:rPr>
            </w:pPr>
            <w:r w:rsidRPr="0083547C">
              <w:rPr>
                <w:rFonts w:asciiTheme="minorHAnsi" w:hAnsiTheme="minorHAnsi" w:cstheme="minorHAnsi"/>
                <w:sz w:val="20"/>
              </w:rPr>
              <w:t>Het herkennen en het nastreven van gezamenlijke doelen, waarbij eigen wensen van opdrachtnemer ondergeschikt kunnen zijn, om als geheel een stap verder te kunnen komen.</w:t>
            </w:r>
          </w:p>
          <w:p w:rsidR="0083547C" w:rsidRPr="0083547C" w:rsidRDefault="0083547C" w:rsidP="0083547C">
            <w:pPr>
              <w:numPr>
                <w:ilvl w:val="0"/>
                <w:numId w:val="27"/>
              </w:numPr>
              <w:jc w:val="both"/>
              <w:rPr>
                <w:rFonts w:asciiTheme="minorHAnsi" w:hAnsiTheme="minorHAnsi" w:cstheme="minorHAnsi"/>
                <w:sz w:val="20"/>
              </w:rPr>
            </w:pPr>
            <w:r w:rsidRPr="0083547C">
              <w:rPr>
                <w:rFonts w:asciiTheme="minorHAnsi" w:hAnsiTheme="minorHAnsi" w:cstheme="minorHAnsi"/>
                <w:sz w:val="20"/>
              </w:rPr>
              <w:t>Het actief betrekken van organisaties waar gemeenten nauw mee samenwerkt, bij de aanbesteding en de uitvoering, onder meer wat betreft hun kennis en expertise.</w:t>
            </w:r>
          </w:p>
          <w:p w:rsidR="0083547C" w:rsidRPr="0083547C" w:rsidRDefault="0083547C" w:rsidP="0083547C">
            <w:pPr>
              <w:numPr>
                <w:ilvl w:val="0"/>
                <w:numId w:val="27"/>
              </w:numPr>
              <w:jc w:val="both"/>
              <w:rPr>
                <w:rFonts w:asciiTheme="minorHAnsi" w:hAnsiTheme="minorHAnsi" w:cstheme="minorHAnsi"/>
                <w:sz w:val="20"/>
              </w:rPr>
            </w:pPr>
            <w:r w:rsidRPr="0083547C">
              <w:rPr>
                <w:rFonts w:asciiTheme="minorHAnsi" w:hAnsiTheme="minorHAnsi" w:cstheme="minorHAnsi"/>
                <w:sz w:val="20"/>
              </w:rPr>
              <w:t>Het stimuleren van opdrachtgever en andere bij de dienstverlening betrokken organisaties om de dienstverlening actief en realistisch te verbeteren.</w:t>
            </w:r>
          </w:p>
          <w:p w:rsidR="0083547C" w:rsidRPr="0083547C" w:rsidRDefault="0083547C" w:rsidP="0083547C">
            <w:pPr>
              <w:numPr>
                <w:ilvl w:val="0"/>
                <w:numId w:val="27"/>
              </w:numPr>
              <w:jc w:val="both"/>
              <w:rPr>
                <w:rFonts w:asciiTheme="minorHAnsi" w:hAnsiTheme="minorHAnsi" w:cstheme="minorHAnsi"/>
                <w:sz w:val="20"/>
              </w:rPr>
            </w:pPr>
            <w:r w:rsidRPr="0083547C">
              <w:rPr>
                <w:rFonts w:asciiTheme="minorHAnsi" w:hAnsiTheme="minorHAnsi" w:cstheme="minorHAnsi"/>
                <w:sz w:val="20"/>
              </w:rPr>
              <w:t>Laat een realistisch toekomstbeeld zien qua dienstverlening en als gezamenlijk verantwoordelijke partner.</w:t>
            </w:r>
          </w:p>
          <w:p w:rsidR="0083547C" w:rsidRPr="0083547C" w:rsidRDefault="0083547C" w:rsidP="0083547C">
            <w:pPr>
              <w:numPr>
                <w:ilvl w:val="0"/>
                <w:numId w:val="27"/>
              </w:numPr>
              <w:jc w:val="both"/>
              <w:rPr>
                <w:rFonts w:asciiTheme="minorHAnsi" w:hAnsiTheme="minorHAnsi" w:cstheme="minorHAnsi"/>
                <w:sz w:val="20"/>
              </w:rPr>
            </w:pPr>
            <w:r w:rsidRPr="0083547C">
              <w:rPr>
                <w:rFonts w:asciiTheme="minorHAnsi" w:hAnsiTheme="minorHAnsi" w:cstheme="minorHAnsi"/>
                <w:sz w:val="20"/>
              </w:rPr>
              <w:t>Speelt soepel en effectief in op veranderingen</w:t>
            </w:r>
          </w:p>
        </w:tc>
      </w:tr>
      <w:tr w:rsidR="0083547C" w:rsidRPr="0083547C" w:rsidTr="0083547C">
        <w:tc>
          <w:tcPr>
            <w:tcW w:w="9464" w:type="dxa"/>
            <w:gridSpan w:val="2"/>
            <w:shd w:val="clear" w:color="auto" w:fill="000000" w:themeFill="text1"/>
          </w:tcPr>
          <w:p w:rsidR="0083547C" w:rsidRPr="0083547C" w:rsidRDefault="0083547C" w:rsidP="00557634">
            <w:pPr>
              <w:rPr>
                <w:rFonts w:asciiTheme="minorHAnsi" w:hAnsiTheme="minorHAnsi" w:cstheme="minorHAnsi"/>
                <w:b/>
                <w:bCs/>
                <w:sz w:val="20"/>
              </w:rPr>
            </w:pPr>
            <w:r w:rsidRPr="0083547C">
              <w:rPr>
                <w:rFonts w:asciiTheme="minorHAnsi" w:hAnsiTheme="minorHAnsi" w:cstheme="minorHAnsi"/>
                <w:b/>
                <w:bCs/>
                <w:sz w:val="20"/>
              </w:rPr>
              <w:t>Uw reactie</w:t>
            </w:r>
          </w:p>
        </w:tc>
      </w:tr>
      <w:tr w:rsidR="0083547C" w:rsidRPr="0083547C" w:rsidTr="0083547C">
        <w:trPr>
          <w:trHeight w:val="6392"/>
        </w:trPr>
        <w:tc>
          <w:tcPr>
            <w:tcW w:w="9464" w:type="dxa"/>
            <w:gridSpan w:val="2"/>
            <w:shd w:val="clear" w:color="auto" w:fill="auto"/>
          </w:tcPr>
          <w:p w:rsidR="0083547C" w:rsidRPr="0083547C" w:rsidRDefault="0083547C" w:rsidP="00557634">
            <w:pPr>
              <w:rPr>
                <w:rFonts w:asciiTheme="minorHAnsi" w:hAnsiTheme="minorHAnsi" w:cstheme="minorHAnsi"/>
                <w:sz w:val="20"/>
              </w:rPr>
            </w:pPr>
          </w:p>
        </w:tc>
      </w:tr>
    </w:tbl>
    <w:p w:rsidR="00AB6972" w:rsidRPr="0083547C" w:rsidRDefault="00AB6972">
      <w:pPr>
        <w:rPr>
          <w:rFonts w:asciiTheme="minorHAnsi" w:hAnsiTheme="minorHAnsi" w:cstheme="minorHAnsi"/>
          <w:b/>
          <w:sz w:val="28"/>
          <w:szCs w:val="28"/>
        </w:rPr>
      </w:pPr>
      <w:bookmarkStart w:id="0" w:name="_GoBack"/>
      <w:bookmarkEnd w:id="0"/>
    </w:p>
    <w:sectPr w:rsidR="00AB6972" w:rsidRPr="0083547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9BA" w:rsidRDefault="008869BA">
      <w:r>
        <w:separator/>
      </w:r>
    </w:p>
  </w:endnote>
  <w:endnote w:type="continuationSeparator" w:id="0">
    <w:p w:rsidR="008869BA" w:rsidRDefault="0088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2BE" w:rsidRPr="0083547C" w:rsidRDefault="00F202BE" w:rsidP="00F202BE">
    <w:pPr>
      <w:pStyle w:val="Voettekst"/>
      <w:jc w:val="center"/>
      <w:rPr>
        <w:rFonts w:asciiTheme="minorHAnsi" w:hAnsiTheme="minorHAnsi" w:cstheme="minorHAnsi"/>
        <w:sz w:val="16"/>
        <w:szCs w:val="16"/>
      </w:rPr>
    </w:pPr>
    <w:r w:rsidRPr="0083547C">
      <w:rPr>
        <w:rFonts w:asciiTheme="minorHAnsi" w:hAnsiTheme="minorHAnsi" w:cstheme="minorHAnsi"/>
        <w:sz w:val="16"/>
        <w:szCs w:val="16"/>
      </w:rPr>
      <w:t xml:space="preserve">Pagina </w:t>
    </w:r>
    <w:r w:rsidRPr="0083547C">
      <w:rPr>
        <w:rFonts w:asciiTheme="minorHAnsi" w:hAnsiTheme="minorHAnsi" w:cstheme="minorHAnsi"/>
        <w:b/>
        <w:bCs/>
        <w:sz w:val="16"/>
        <w:szCs w:val="16"/>
      </w:rPr>
      <w:fldChar w:fldCharType="begin"/>
    </w:r>
    <w:r w:rsidRPr="0083547C">
      <w:rPr>
        <w:rFonts w:asciiTheme="minorHAnsi" w:hAnsiTheme="minorHAnsi" w:cstheme="minorHAnsi"/>
        <w:b/>
        <w:bCs/>
        <w:sz w:val="16"/>
        <w:szCs w:val="16"/>
      </w:rPr>
      <w:instrText>PAGE</w:instrText>
    </w:r>
    <w:r w:rsidRPr="0083547C">
      <w:rPr>
        <w:rFonts w:asciiTheme="minorHAnsi" w:hAnsiTheme="minorHAnsi" w:cstheme="minorHAnsi"/>
        <w:b/>
        <w:bCs/>
        <w:sz w:val="16"/>
        <w:szCs w:val="16"/>
      </w:rPr>
      <w:fldChar w:fldCharType="separate"/>
    </w:r>
    <w:r w:rsidR="002446FC" w:rsidRPr="0083547C">
      <w:rPr>
        <w:rFonts w:asciiTheme="minorHAnsi" w:hAnsiTheme="minorHAnsi" w:cstheme="minorHAnsi"/>
        <w:b/>
        <w:bCs/>
        <w:noProof/>
        <w:sz w:val="16"/>
        <w:szCs w:val="16"/>
      </w:rPr>
      <w:t>1</w:t>
    </w:r>
    <w:r w:rsidRPr="0083547C">
      <w:rPr>
        <w:rFonts w:asciiTheme="minorHAnsi" w:hAnsiTheme="minorHAnsi" w:cstheme="minorHAnsi"/>
        <w:b/>
        <w:bCs/>
        <w:sz w:val="16"/>
        <w:szCs w:val="16"/>
      </w:rPr>
      <w:fldChar w:fldCharType="end"/>
    </w:r>
    <w:r w:rsidRPr="0083547C">
      <w:rPr>
        <w:rFonts w:asciiTheme="minorHAnsi" w:hAnsiTheme="minorHAnsi" w:cstheme="minorHAnsi"/>
        <w:sz w:val="16"/>
        <w:szCs w:val="16"/>
      </w:rPr>
      <w:t xml:space="preserve"> van </w:t>
    </w:r>
    <w:r w:rsidRPr="0083547C">
      <w:rPr>
        <w:rFonts w:asciiTheme="minorHAnsi" w:hAnsiTheme="minorHAnsi" w:cstheme="minorHAnsi"/>
        <w:b/>
        <w:bCs/>
        <w:sz w:val="16"/>
        <w:szCs w:val="16"/>
      </w:rPr>
      <w:fldChar w:fldCharType="begin"/>
    </w:r>
    <w:r w:rsidRPr="0083547C">
      <w:rPr>
        <w:rFonts w:asciiTheme="minorHAnsi" w:hAnsiTheme="minorHAnsi" w:cstheme="minorHAnsi"/>
        <w:b/>
        <w:bCs/>
        <w:sz w:val="16"/>
        <w:szCs w:val="16"/>
      </w:rPr>
      <w:instrText>NUMPAGES</w:instrText>
    </w:r>
    <w:r w:rsidRPr="0083547C">
      <w:rPr>
        <w:rFonts w:asciiTheme="minorHAnsi" w:hAnsiTheme="minorHAnsi" w:cstheme="minorHAnsi"/>
        <w:b/>
        <w:bCs/>
        <w:sz w:val="16"/>
        <w:szCs w:val="16"/>
      </w:rPr>
      <w:fldChar w:fldCharType="separate"/>
    </w:r>
    <w:r w:rsidR="002446FC" w:rsidRPr="0083547C">
      <w:rPr>
        <w:rFonts w:asciiTheme="minorHAnsi" w:hAnsiTheme="minorHAnsi" w:cstheme="minorHAnsi"/>
        <w:b/>
        <w:bCs/>
        <w:noProof/>
        <w:sz w:val="16"/>
        <w:szCs w:val="16"/>
      </w:rPr>
      <w:t>1</w:t>
    </w:r>
    <w:r w:rsidRPr="0083547C">
      <w:rPr>
        <w:rFonts w:asciiTheme="minorHAnsi" w:hAnsiTheme="minorHAnsi"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9BA" w:rsidRDefault="008869BA">
      <w:r>
        <w:separator/>
      </w:r>
    </w:p>
  </w:footnote>
  <w:footnote w:type="continuationSeparator" w:id="0">
    <w:p w:rsidR="008869BA" w:rsidRDefault="0088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057" w:rsidRPr="0083547C" w:rsidRDefault="002446FC" w:rsidP="004F236A">
    <w:pPr>
      <w:pStyle w:val="Koptekst"/>
      <w:tabs>
        <w:tab w:val="left" w:pos="4455"/>
      </w:tabs>
      <w:ind w:left="-567"/>
      <w:rPr>
        <w:rFonts w:asciiTheme="minorHAnsi" w:hAnsiTheme="minorHAnsi" w:cstheme="minorHAnsi"/>
        <w:i/>
        <w:sz w:val="16"/>
        <w:szCs w:val="16"/>
      </w:rPr>
    </w:pPr>
    <w:r w:rsidRPr="0083547C">
      <w:rPr>
        <w:rFonts w:asciiTheme="minorHAnsi" w:hAnsiTheme="minorHAnsi" w:cstheme="minorHAnsi"/>
        <w:i/>
        <w:sz w:val="16"/>
        <w:szCs w:val="16"/>
      </w:rPr>
      <w:t xml:space="preserve">Europese openbare aanbesteding </w:t>
    </w:r>
    <w:r w:rsidR="0083547C" w:rsidRPr="0083547C">
      <w:rPr>
        <w:rFonts w:asciiTheme="minorHAnsi" w:hAnsiTheme="minorHAnsi" w:cstheme="minorHAnsi"/>
        <w:i/>
        <w:sz w:val="16"/>
        <w:szCs w:val="16"/>
      </w:rPr>
      <w:t>Inburgering, Bijlage Casus 1</w:t>
    </w:r>
    <w:r w:rsidR="005B0063">
      <w:rPr>
        <w:rFonts w:asciiTheme="minorHAnsi" w:hAnsiTheme="minorHAnsi" w:cstheme="minorHAnsi"/>
        <w:i/>
        <w:sz w:val="16"/>
        <w:szCs w:val="16"/>
      </w:rPr>
      <w:t xml:space="preserve"> Samenwerken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E55CB"/>
    <w:multiLevelType w:val="multilevel"/>
    <w:tmpl w:val="04130023"/>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8776F04"/>
    <w:multiLevelType w:val="hybridMultilevel"/>
    <w:tmpl w:val="88E8D77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2D41344"/>
    <w:multiLevelType w:val="hybridMultilevel"/>
    <w:tmpl w:val="115EAD7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6"/>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0"/>
  </w:num>
  <w:num w:numId="17">
    <w:abstractNumId w:val="2"/>
  </w:num>
  <w:num w:numId="18">
    <w:abstractNumId w:val="2"/>
  </w:num>
  <w:num w:numId="19">
    <w:abstractNumId w:val="2"/>
  </w:num>
  <w:num w:numId="20">
    <w:abstractNumId w:val="3"/>
  </w:num>
  <w:num w:numId="21">
    <w:abstractNumId w:val="2"/>
  </w:num>
  <w:num w:numId="22">
    <w:abstractNumId w:val="2"/>
  </w:num>
  <w:num w:numId="23">
    <w:abstractNumId w:val="2"/>
  </w:num>
  <w:num w:numId="24">
    <w:abstractNumId w:val="3"/>
  </w:num>
  <w:num w:numId="25">
    <w:abstractNumId w:val="0"/>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72"/>
    <w:rsid w:val="001939A8"/>
    <w:rsid w:val="001A3CAC"/>
    <w:rsid w:val="001A591F"/>
    <w:rsid w:val="002203F6"/>
    <w:rsid w:val="002378ED"/>
    <w:rsid w:val="002446FC"/>
    <w:rsid w:val="002A2776"/>
    <w:rsid w:val="002B6B63"/>
    <w:rsid w:val="002D641C"/>
    <w:rsid w:val="003268EF"/>
    <w:rsid w:val="003F59FF"/>
    <w:rsid w:val="003F78ED"/>
    <w:rsid w:val="004135E8"/>
    <w:rsid w:val="004C65B7"/>
    <w:rsid w:val="004C7DC9"/>
    <w:rsid w:val="004F236A"/>
    <w:rsid w:val="00537618"/>
    <w:rsid w:val="00557634"/>
    <w:rsid w:val="005B0063"/>
    <w:rsid w:val="005F5F6E"/>
    <w:rsid w:val="00781003"/>
    <w:rsid w:val="007A2D75"/>
    <w:rsid w:val="007D2047"/>
    <w:rsid w:val="0083547C"/>
    <w:rsid w:val="0084189D"/>
    <w:rsid w:val="008869BA"/>
    <w:rsid w:val="008B51BF"/>
    <w:rsid w:val="008E1E5F"/>
    <w:rsid w:val="00991057"/>
    <w:rsid w:val="00A34A9C"/>
    <w:rsid w:val="00A46FE5"/>
    <w:rsid w:val="00AB0DDC"/>
    <w:rsid w:val="00AB6972"/>
    <w:rsid w:val="00B551DA"/>
    <w:rsid w:val="00B63DB4"/>
    <w:rsid w:val="00C833FC"/>
    <w:rsid w:val="00D91B5D"/>
    <w:rsid w:val="00DE08B9"/>
    <w:rsid w:val="00E10AB9"/>
    <w:rsid w:val="00E91C21"/>
    <w:rsid w:val="00F03E83"/>
    <w:rsid w:val="00F20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A83B4E"/>
  <w15:docId w15:val="{3BB499F6-55AA-4D94-8282-D11919FB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cs="Arial"/>
      <w:sz w:val="22"/>
    </w:rPr>
  </w:style>
  <w:style w:type="paragraph" w:styleId="Kop1">
    <w:name w:val="heading 1"/>
    <w:aliases w:val="Hoofstukkop"/>
    <w:basedOn w:val="Standaard"/>
    <w:next w:val="Standaard"/>
    <w:qFormat/>
    <w:rsid w:val="001A591F"/>
    <w:pPr>
      <w:keepNext/>
      <w:numPr>
        <w:numId w:val="23"/>
      </w:numPr>
      <w:tabs>
        <w:tab w:val="left" w:pos="720"/>
      </w:tabs>
      <w:spacing w:after="360"/>
      <w:outlineLvl w:val="0"/>
    </w:pPr>
    <w:rPr>
      <w:b/>
      <w:bCs/>
      <w:kern w:val="32"/>
      <w:sz w:val="36"/>
      <w:szCs w:val="32"/>
    </w:rPr>
  </w:style>
  <w:style w:type="paragraph" w:styleId="Kop2">
    <w:name w:val="heading 2"/>
    <w:aliases w:val="Sub-hoofdstukkop"/>
    <w:basedOn w:val="Standaard"/>
    <w:next w:val="Standaard"/>
    <w:qFormat/>
    <w:rsid w:val="001A591F"/>
    <w:pPr>
      <w:keepNext/>
      <w:numPr>
        <w:ilvl w:val="1"/>
        <w:numId w:val="23"/>
      </w:numPr>
      <w:tabs>
        <w:tab w:val="left" w:pos="720"/>
      </w:tabs>
      <w:spacing w:after="300"/>
      <w:outlineLvl w:val="1"/>
    </w:pPr>
    <w:rPr>
      <w:b/>
      <w:bCs/>
      <w:iCs/>
      <w:sz w:val="30"/>
      <w:szCs w:val="28"/>
    </w:rPr>
  </w:style>
  <w:style w:type="paragraph" w:styleId="Kop3">
    <w:name w:val="heading 3"/>
    <w:aliases w:val="Paragraaftitel"/>
    <w:basedOn w:val="Standaard"/>
    <w:next w:val="Standaard"/>
    <w:qFormat/>
    <w:rsid w:val="001A591F"/>
    <w:pPr>
      <w:keepNext/>
      <w:numPr>
        <w:ilvl w:val="2"/>
        <w:numId w:val="23"/>
      </w:numPr>
      <w:spacing w:after="240"/>
      <w:outlineLvl w:val="2"/>
    </w:pPr>
    <w:rPr>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24"/>
      </w:numPr>
      <w:tabs>
        <w:tab w:val="left" w:pos="397"/>
        <w:tab w:val="left" w:pos="488"/>
      </w:tabs>
      <w:outlineLvl w:val="5"/>
    </w:pPr>
    <w:rPr>
      <w:bCs/>
      <w:szCs w:val="22"/>
    </w:rPr>
  </w:style>
  <w:style w:type="paragraph" w:styleId="Kop7">
    <w:name w:val="heading 7"/>
    <w:aliases w:val="Opsommen strp"/>
    <w:basedOn w:val="Standaard"/>
    <w:qFormat/>
    <w:rsid w:val="001A591F"/>
    <w:pPr>
      <w:numPr>
        <w:numId w:val="25"/>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2"/>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Koptekst">
    <w:name w:val="header"/>
    <w:basedOn w:val="Standaard"/>
    <w:rsid w:val="00991057"/>
    <w:pPr>
      <w:tabs>
        <w:tab w:val="center" w:pos="4153"/>
        <w:tab w:val="right" w:pos="8306"/>
      </w:tabs>
    </w:pPr>
  </w:style>
  <w:style w:type="paragraph" w:styleId="Voettekst">
    <w:name w:val="footer"/>
    <w:basedOn w:val="Standaard"/>
    <w:link w:val="VoettekstChar"/>
    <w:uiPriority w:val="99"/>
    <w:rsid w:val="00991057"/>
    <w:pPr>
      <w:tabs>
        <w:tab w:val="center" w:pos="4153"/>
        <w:tab w:val="right" w:pos="8306"/>
      </w:tabs>
    </w:pPr>
  </w:style>
  <w:style w:type="character" w:customStyle="1" w:styleId="VoettekstChar">
    <w:name w:val="Voettekst Char"/>
    <w:link w:val="Voettekst"/>
    <w:uiPriority w:val="99"/>
    <w:rsid w:val="00F202B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1726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Bijlage C, Risicodossier</vt:lpstr>
    </vt:vector>
  </TitlesOfParts>
  <Company>Gemeente Zaanstad</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Risicodossier</dc:title>
  <dc:creator>bos1r</dc:creator>
  <cp:lastModifiedBy>Rob Bosma</cp:lastModifiedBy>
  <cp:revision>4</cp:revision>
  <dcterms:created xsi:type="dcterms:W3CDTF">2021-02-17T15:20:00Z</dcterms:created>
  <dcterms:modified xsi:type="dcterms:W3CDTF">2021-02-17T15:34:00Z</dcterms:modified>
</cp:coreProperties>
</file>