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6B83C" w14:textId="77777777" w:rsidR="00C44B41" w:rsidRPr="00C44B41" w:rsidRDefault="00C44B41" w:rsidP="00C44B41">
      <w:pPr>
        <w:keepNext/>
        <w:widowControl w:val="0"/>
        <w:overflowPunct w:val="0"/>
        <w:autoSpaceDE w:val="0"/>
        <w:autoSpaceDN w:val="0"/>
        <w:adjustRightInd w:val="0"/>
        <w:spacing w:after="0" w:line="360" w:lineRule="auto"/>
        <w:textAlignment w:val="baseline"/>
        <w:outlineLvl w:val="1"/>
        <w:rPr>
          <w:rFonts w:ascii="Arial" w:hAnsi="Arial" w:cs="Arial"/>
          <w:sz w:val="20"/>
          <w:szCs w:val="20"/>
          <w:lang w:eastAsia="nl-NL"/>
        </w:rPr>
      </w:pPr>
      <w:bookmarkStart w:id="0" w:name="_Toc29411385"/>
      <w:r>
        <w:rPr>
          <w:rStyle w:val="Kop1Char0"/>
          <w:color w:val="1F497D"/>
          <w:sz w:val="20"/>
          <w:szCs w:val="20"/>
        </w:rPr>
        <w:t xml:space="preserve">Bijlage </w:t>
      </w:r>
      <w:r>
        <w:rPr>
          <w:rStyle w:val="Kop1Char0"/>
          <w:color w:val="1F497D"/>
          <w:sz w:val="20"/>
          <w:szCs w:val="20"/>
          <w:lang w:val="nl-NL"/>
        </w:rPr>
        <w:t>17</w:t>
      </w:r>
      <w:r>
        <w:rPr>
          <w:rStyle w:val="Kop1Char0"/>
          <w:color w:val="1F497D"/>
          <w:sz w:val="20"/>
          <w:szCs w:val="20"/>
        </w:rPr>
        <w:t xml:space="preserve"> </w:t>
      </w:r>
      <w:bookmarkEnd w:id="0"/>
      <w:r>
        <w:rPr>
          <w:rStyle w:val="Kop1Char0"/>
          <w:color w:val="1F497D"/>
          <w:sz w:val="20"/>
          <w:szCs w:val="20"/>
          <w:lang w:val="nl-NL"/>
        </w:rPr>
        <w:t>Begrippenlijst</w:t>
      </w:r>
    </w:p>
    <w:p w14:paraId="25C6B568" w14:textId="77777777" w:rsidR="00AE3DB5" w:rsidRDefault="00AE3DB5" w:rsidP="00AE3DB5">
      <w:pPr>
        <w:tabs>
          <w:tab w:val="left" w:pos="0"/>
        </w:tabs>
        <w:spacing w:after="0" w:line="240" w:lineRule="auto"/>
        <w:rPr>
          <w:rFonts w:ascii="Arial" w:hAnsi="Arial" w:cs="Arial"/>
          <w:sz w:val="20"/>
          <w:szCs w:val="20"/>
          <w:lang w:eastAsia="nl-NL"/>
        </w:rPr>
      </w:pPr>
      <w:r>
        <w:rPr>
          <w:rFonts w:ascii="Arial" w:hAnsi="Arial" w:cs="Arial"/>
          <w:sz w:val="20"/>
          <w:szCs w:val="20"/>
          <w:lang w:eastAsia="nl-NL"/>
        </w:rPr>
        <w:t>In de Aanbestedingsstukken wordt gebruik gemaakt van de navolgende begrippen. Begrippen worden met een hoofdletter geschreven. Als de definitie in enkelvoud is gegeven, wordt ook het meervoud daaronder begrepen. Als de definitie in meervoud is gegeven, wordt ook het enkelvoud daaronder begrepen.</w:t>
      </w:r>
    </w:p>
    <w:p w14:paraId="532A27EE" w14:textId="77777777" w:rsidR="00AE3DB5" w:rsidRDefault="00AE3DB5" w:rsidP="00AE3DB5">
      <w:pPr>
        <w:tabs>
          <w:tab w:val="left" w:pos="-567"/>
        </w:tabs>
        <w:spacing w:after="0" w:line="240" w:lineRule="auto"/>
        <w:rPr>
          <w:rFonts w:ascii="Arial" w:hAnsi="Arial" w:cs="Arial"/>
          <w:bCs/>
          <w:spacing w:val="-2"/>
          <w:sz w:val="20"/>
          <w:szCs w:val="20"/>
          <w:lang w:eastAsia="nl-NL"/>
        </w:rPr>
      </w:pPr>
    </w:p>
    <w:p w14:paraId="134AA470" w14:textId="77777777" w:rsidR="00AE3DB5" w:rsidRDefault="00AE3DB5" w:rsidP="00AE3DB5">
      <w:pPr>
        <w:tabs>
          <w:tab w:val="left" w:pos="-567"/>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 xml:space="preserve">Aanbestedende dienst </w:t>
      </w:r>
    </w:p>
    <w:p w14:paraId="31932166" w14:textId="77777777" w:rsidR="00AE3DB5" w:rsidRDefault="00AE3DB5" w:rsidP="00AE3DB5">
      <w:pPr>
        <w:tabs>
          <w:tab w:val="left" w:pos="-567"/>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De Gemeente Delft (“de Gemeente”).</w:t>
      </w:r>
    </w:p>
    <w:p w14:paraId="74750F2F" w14:textId="77777777" w:rsidR="00AE3DB5" w:rsidRDefault="00AE3DB5" w:rsidP="00AE3DB5">
      <w:pPr>
        <w:tabs>
          <w:tab w:val="left" w:pos="-567"/>
        </w:tabs>
        <w:spacing w:after="0"/>
        <w:rPr>
          <w:rFonts w:ascii="Arial" w:hAnsi="Arial" w:cs="Arial"/>
          <w:b/>
          <w:bCs/>
          <w:spacing w:val="-2"/>
          <w:sz w:val="20"/>
          <w:szCs w:val="20"/>
          <w:u w:val="single"/>
          <w:lang w:eastAsia="nl-NL"/>
        </w:rPr>
      </w:pPr>
    </w:p>
    <w:p w14:paraId="49D462B4" w14:textId="77777777" w:rsidR="00AE3DB5" w:rsidRDefault="00AE3DB5" w:rsidP="00AE3DB5">
      <w:pPr>
        <w:tabs>
          <w:tab w:val="left" w:pos="-567"/>
        </w:tabs>
        <w:spacing w:after="0"/>
        <w:rPr>
          <w:rFonts w:ascii="Arial" w:hAnsi="Arial" w:cs="Arial"/>
          <w:b/>
          <w:bCs/>
          <w:spacing w:val="-2"/>
          <w:sz w:val="20"/>
          <w:szCs w:val="20"/>
          <w:lang w:eastAsia="nl-NL"/>
        </w:rPr>
      </w:pPr>
      <w:r>
        <w:rPr>
          <w:rFonts w:ascii="Arial" w:hAnsi="Arial" w:cs="Arial"/>
          <w:b/>
          <w:bCs/>
          <w:spacing w:val="-2"/>
          <w:sz w:val="20"/>
          <w:szCs w:val="20"/>
          <w:u w:val="single"/>
          <w:lang w:eastAsia="nl-NL"/>
        </w:rPr>
        <w:t>Aanbestedingsprocedure</w:t>
      </w:r>
    </w:p>
    <w:p w14:paraId="73DB6B21" w14:textId="77777777" w:rsidR="00AE3DB5" w:rsidRDefault="00AE3DB5" w:rsidP="00AE3DB5">
      <w:pPr>
        <w:tabs>
          <w:tab w:val="left" w:pos="-567"/>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Voor de onderhavige Opdracht is de Europese openbare aanbestedingsprocedure gekozen.</w:t>
      </w:r>
    </w:p>
    <w:p w14:paraId="43A9C5BA" w14:textId="77777777" w:rsidR="00AE3DB5" w:rsidRDefault="00AE3DB5" w:rsidP="00AE3DB5">
      <w:pPr>
        <w:autoSpaceDE w:val="0"/>
        <w:autoSpaceDN w:val="0"/>
        <w:adjustRightInd w:val="0"/>
        <w:spacing w:after="0"/>
        <w:rPr>
          <w:rFonts w:ascii="Arial" w:eastAsia="Calibri" w:hAnsi="Arial" w:cs="Arial"/>
          <w:b/>
          <w:bCs/>
          <w:iCs/>
          <w:sz w:val="20"/>
          <w:szCs w:val="20"/>
          <w:u w:val="single"/>
        </w:rPr>
      </w:pPr>
    </w:p>
    <w:p w14:paraId="63134A68" w14:textId="77777777" w:rsidR="00AE3DB5" w:rsidRDefault="00AE3DB5" w:rsidP="00AE3DB5">
      <w:pPr>
        <w:autoSpaceDE w:val="0"/>
        <w:autoSpaceDN w:val="0"/>
        <w:adjustRightInd w:val="0"/>
        <w:spacing w:after="0"/>
        <w:rPr>
          <w:rFonts w:ascii="Arial" w:eastAsia="Calibri" w:hAnsi="Arial" w:cs="Arial"/>
          <w:b/>
          <w:bCs/>
          <w:iCs/>
          <w:sz w:val="20"/>
          <w:szCs w:val="20"/>
          <w:u w:val="single"/>
        </w:rPr>
      </w:pPr>
      <w:r>
        <w:rPr>
          <w:rFonts w:ascii="Arial" w:eastAsia="Calibri" w:hAnsi="Arial" w:cs="Arial"/>
          <w:b/>
          <w:bCs/>
          <w:iCs/>
          <w:sz w:val="20"/>
          <w:szCs w:val="20"/>
          <w:u w:val="single"/>
        </w:rPr>
        <w:t>Aanbestedingsstukken</w:t>
      </w:r>
    </w:p>
    <w:p w14:paraId="761A6FD0" w14:textId="77777777" w:rsidR="00AE3DB5" w:rsidRDefault="00AE3DB5" w:rsidP="00AE3DB5">
      <w:pPr>
        <w:autoSpaceDE w:val="0"/>
        <w:autoSpaceDN w:val="0"/>
        <w:adjustRightInd w:val="0"/>
        <w:spacing w:after="0" w:line="240" w:lineRule="auto"/>
        <w:rPr>
          <w:rFonts w:ascii="Arial" w:eastAsia="Calibri" w:hAnsi="Arial" w:cs="Arial"/>
          <w:bCs/>
          <w:sz w:val="20"/>
          <w:szCs w:val="20"/>
        </w:rPr>
      </w:pPr>
      <w:r>
        <w:rPr>
          <w:rFonts w:ascii="Arial" w:eastAsia="Calibri" w:hAnsi="Arial" w:cs="Arial"/>
          <w:bCs/>
          <w:sz w:val="20"/>
          <w:szCs w:val="20"/>
        </w:rPr>
        <w:t>Alle stukken die door de Aanbestedende dienst worden opgesteld of vermeld ter omschrijving of bepaling van onderdelen van de aanbesteding of de procedure.</w:t>
      </w:r>
    </w:p>
    <w:p w14:paraId="6F407E50" w14:textId="77777777" w:rsidR="00AE3DB5" w:rsidRDefault="00AE3DB5" w:rsidP="00AE3DB5">
      <w:pPr>
        <w:tabs>
          <w:tab w:val="left" w:pos="0"/>
        </w:tabs>
        <w:spacing w:after="0"/>
        <w:rPr>
          <w:rFonts w:ascii="Arial" w:hAnsi="Arial" w:cs="Arial"/>
          <w:b/>
          <w:bCs/>
          <w:spacing w:val="-2"/>
          <w:sz w:val="20"/>
          <w:szCs w:val="20"/>
          <w:u w:val="single"/>
          <w:lang w:eastAsia="nl-NL"/>
        </w:rPr>
      </w:pPr>
    </w:p>
    <w:p w14:paraId="183AB7BB"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 xml:space="preserve">Aanbestedingswet </w:t>
      </w:r>
    </w:p>
    <w:p w14:paraId="1FA72D5E"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w:t>
      </w:r>
      <w:proofErr w:type="spellStart"/>
      <w:r>
        <w:rPr>
          <w:rFonts w:ascii="Arial" w:hAnsi="Arial" w:cs="Arial"/>
          <w:bCs/>
          <w:spacing w:val="-2"/>
          <w:sz w:val="20"/>
          <w:szCs w:val="20"/>
          <w:lang w:eastAsia="nl-NL"/>
        </w:rPr>
        <w:t>Aw</w:t>
      </w:r>
      <w:proofErr w:type="spellEnd"/>
      <w:r>
        <w:rPr>
          <w:rFonts w:ascii="Arial" w:hAnsi="Arial" w:cs="Arial"/>
          <w:bCs/>
          <w:spacing w:val="-2"/>
          <w:sz w:val="20"/>
          <w:szCs w:val="20"/>
          <w:lang w:eastAsia="nl-NL"/>
        </w:rPr>
        <w:t>”.</w:t>
      </w:r>
    </w:p>
    <w:p w14:paraId="6B843DF8" w14:textId="77777777" w:rsidR="00AE3DB5" w:rsidRDefault="00AE3DB5" w:rsidP="00AE3DB5">
      <w:pPr>
        <w:tabs>
          <w:tab w:val="left" w:pos="0"/>
        </w:tabs>
        <w:spacing w:after="0"/>
        <w:rPr>
          <w:rFonts w:ascii="Arial" w:hAnsi="Arial" w:cs="Arial"/>
          <w:b/>
          <w:bCs/>
          <w:spacing w:val="-2"/>
          <w:sz w:val="20"/>
          <w:szCs w:val="20"/>
          <w:u w:val="single"/>
          <w:lang w:eastAsia="nl-NL"/>
        </w:rPr>
      </w:pPr>
    </w:p>
    <w:p w14:paraId="4B4A5698"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Aankondiging</w:t>
      </w:r>
    </w:p>
    <w:p w14:paraId="7DE8D6AA"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De formele Aankondiging van de Opdracht in het Supplement op het Publicatieblad van de Europese Unie (</w:t>
      </w:r>
      <w:hyperlink r:id="rId4" w:history="1">
        <w:r>
          <w:rPr>
            <w:rStyle w:val="Hyperlink"/>
            <w:rFonts w:ascii="Arial" w:hAnsi="Arial" w:cs="Arial"/>
            <w:bCs/>
            <w:color w:val="auto"/>
            <w:spacing w:val="-2"/>
            <w:sz w:val="20"/>
            <w:szCs w:val="20"/>
            <w:u w:val="none"/>
            <w:lang w:eastAsia="nl-NL"/>
          </w:rPr>
          <w:t>http://ted.europa.eu</w:t>
        </w:r>
      </w:hyperlink>
      <w:r>
        <w:rPr>
          <w:rFonts w:ascii="Arial" w:hAnsi="Arial" w:cs="Arial"/>
          <w:bCs/>
          <w:spacing w:val="-2"/>
          <w:sz w:val="20"/>
          <w:szCs w:val="20"/>
          <w:lang w:eastAsia="nl-NL"/>
        </w:rPr>
        <w:t xml:space="preserve">) en op </w:t>
      </w:r>
      <w:proofErr w:type="spellStart"/>
      <w:r>
        <w:rPr>
          <w:rFonts w:ascii="Arial" w:hAnsi="Arial" w:cs="Arial"/>
          <w:bCs/>
          <w:spacing w:val="-2"/>
          <w:sz w:val="20"/>
          <w:szCs w:val="20"/>
          <w:lang w:eastAsia="nl-NL"/>
        </w:rPr>
        <w:t>TenderNed</w:t>
      </w:r>
      <w:proofErr w:type="spellEnd"/>
      <w:r>
        <w:rPr>
          <w:rFonts w:ascii="Arial" w:hAnsi="Arial" w:cs="Arial"/>
          <w:bCs/>
          <w:spacing w:val="-2"/>
          <w:sz w:val="20"/>
          <w:szCs w:val="20"/>
          <w:lang w:eastAsia="nl-NL"/>
        </w:rPr>
        <w:t xml:space="preserve"> (</w:t>
      </w:r>
      <w:hyperlink r:id="rId5" w:history="1">
        <w:r>
          <w:rPr>
            <w:rStyle w:val="Hyperlink"/>
            <w:rFonts w:ascii="Arial" w:hAnsi="Arial" w:cs="Arial"/>
            <w:bCs/>
            <w:spacing w:val="-2"/>
            <w:sz w:val="20"/>
            <w:szCs w:val="20"/>
            <w:lang w:eastAsia="nl-NL"/>
          </w:rPr>
          <w:t>www.tenderned.nl</w:t>
        </w:r>
      </w:hyperlink>
      <w:r>
        <w:rPr>
          <w:rFonts w:ascii="Arial" w:hAnsi="Arial" w:cs="Arial"/>
          <w:bCs/>
          <w:spacing w:val="-2"/>
          <w:sz w:val="20"/>
          <w:szCs w:val="20"/>
          <w:lang w:eastAsia="nl-NL"/>
        </w:rPr>
        <w:t xml:space="preserve">). </w:t>
      </w:r>
    </w:p>
    <w:p w14:paraId="6880229A" w14:textId="77777777" w:rsidR="00AE3DB5" w:rsidRDefault="00AE3DB5" w:rsidP="00AE3DB5">
      <w:pPr>
        <w:tabs>
          <w:tab w:val="left" w:pos="0"/>
        </w:tabs>
        <w:spacing w:after="0"/>
        <w:rPr>
          <w:rFonts w:ascii="Arial" w:hAnsi="Arial" w:cs="Arial"/>
          <w:b/>
          <w:sz w:val="20"/>
          <w:szCs w:val="20"/>
          <w:u w:val="single"/>
          <w:lang w:eastAsia="nl-NL"/>
        </w:rPr>
      </w:pPr>
    </w:p>
    <w:p w14:paraId="16BC6F0D" w14:textId="77777777" w:rsidR="001D1450" w:rsidRPr="004358D5" w:rsidRDefault="001D1450" w:rsidP="001D1450">
      <w:pPr>
        <w:tabs>
          <w:tab w:val="left" w:pos="0"/>
        </w:tabs>
        <w:spacing w:after="0"/>
        <w:rPr>
          <w:rFonts w:ascii="Arial" w:hAnsi="Arial" w:cs="Arial"/>
          <w:b/>
          <w:sz w:val="20"/>
          <w:szCs w:val="20"/>
          <w:u w:val="single"/>
          <w:lang w:eastAsia="nl-NL"/>
        </w:rPr>
      </w:pPr>
      <w:r>
        <w:rPr>
          <w:rFonts w:ascii="Arial" w:hAnsi="Arial" w:cs="Arial"/>
          <w:b/>
          <w:sz w:val="20"/>
          <w:szCs w:val="20"/>
          <w:u w:val="single"/>
          <w:lang w:eastAsia="nl-NL"/>
        </w:rPr>
        <w:t>Aanbestedingsleidraad</w:t>
      </w:r>
    </w:p>
    <w:p w14:paraId="55FCF7EC" w14:textId="77777777" w:rsidR="001D1450" w:rsidRPr="004358D5" w:rsidRDefault="001D1450" w:rsidP="001D1450">
      <w:pPr>
        <w:tabs>
          <w:tab w:val="left" w:pos="0"/>
        </w:tabs>
        <w:spacing w:after="0" w:line="240" w:lineRule="auto"/>
        <w:rPr>
          <w:rFonts w:ascii="Arial" w:hAnsi="Arial" w:cs="Arial"/>
          <w:bCs/>
          <w:spacing w:val="-2"/>
          <w:sz w:val="20"/>
          <w:szCs w:val="20"/>
          <w:lang w:eastAsia="nl-NL"/>
        </w:rPr>
      </w:pPr>
      <w:r w:rsidRPr="004358D5">
        <w:rPr>
          <w:rFonts w:ascii="Arial" w:hAnsi="Arial" w:cs="Arial"/>
          <w:sz w:val="20"/>
          <w:szCs w:val="20"/>
          <w:lang w:eastAsia="nl-NL"/>
        </w:rPr>
        <w:t xml:space="preserve">Document waarin de Gemeente onder andere de Opdracht, </w:t>
      </w:r>
      <w:r>
        <w:rPr>
          <w:rFonts w:ascii="Arial" w:hAnsi="Arial" w:cs="Arial"/>
          <w:sz w:val="20"/>
          <w:szCs w:val="20"/>
          <w:lang w:eastAsia="nl-NL"/>
        </w:rPr>
        <w:t xml:space="preserve">de te volgen aanbestedingsprocedure, de Geschiktheidseisen </w:t>
      </w:r>
      <w:r w:rsidRPr="004358D5">
        <w:rPr>
          <w:rFonts w:ascii="Arial" w:hAnsi="Arial" w:cs="Arial"/>
          <w:sz w:val="20"/>
          <w:szCs w:val="20"/>
          <w:lang w:eastAsia="nl-NL"/>
        </w:rPr>
        <w:t xml:space="preserve">en </w:t>
      </w:r>
      <w:r>
        <w:rPr>
          <w:rFonts w:ascii="Arial" w:hAnsi="Arial" w:cs="Arial"/>
          <w:sz w:val="20"/>
          <w:szCs w:val="20"/>
          <w:lang w:eastAsia="nl-NL"/>
        </w:rPr>
        <w:t>het Gunningscriterium</w:t>
      </w:r>
      <w:r w:rsidRPr="004358D5">
        <w:rPr>
          <w:rFonts w:ascii="Arial" w:hAnsi="Arial" w:cs="Arial"/>
          <w:sz w:val="20"/>
          <w:szCs w:val="20"/>
          <w:lang w:eastAsia="nl-NL"/>
        </w:rPr>
        <w:t xml:space="preserve"> heeft beschreven en toegelicht.</w:t>
      </w:r>
    </w:p>
    <w:p w14:paraId="64C00D65" w14:textId="77777777" w:rsidR="001D1450" w:rsidRDefault="001D1450" w:rsidP="00AE3DB5">
      <w:pPr>
        <w:tabs>
          <w:tab w:val="left" w:pos="0"/>
        </w:tabs>
        <w:spacing w:after="0"/>
        <w:rPr>
          <w:rFonts w:ascii="Arial" w:hAnsi="Arial" w:cs="Arial"/>
          <w:b/>
          <w:bCs/>
          <w:spacing w:val="-2"/>
          <w:sz w:val="20"/>
          <w:szCs w:val="20"/>
          <w:u w:val="single"/>
          <w:lang w:eastAsia="nl-NL"/>
        </w:rPr>
      </w:pPr>
    </w:p>
    <w:p w14:paraId="36CED4C7"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Bijlage</w:t>
      </w:r>
    </w:p>
    <w:p w14:paraId="37C59E26"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 xml:space="preserve">Aanhangsel bij </w:t>
      </w:r>
      <w:r w:rsidR="001D1450">
        <w:rPr>
          <w:rFonts w:ascii="Arial" w:hAnsi="Arial" w:cs="Arial"/>
          <w:bCs/>
          <w:spacing w:val="-2"/>
          <w:sz w:val="20"/>
          <w:szCs w:val="20"/>
          <w:lang w:eastAsia="nl-NL"/>
        </w:rPr>
        <w:t>de Aanbestedingsleidraad</w:t>
      </w:r>
      <w:r>
        <w:rPr>
          <w:rFonts w:ascii="Arial" w:hAnsi="Arial" w:cs="Arial"/>
          <w:bCs/>
          <w:spacing w:val="-2"/>
          <w:sz w:val="20"/>
          <w:szCs w:val="20"/>
          <w:lang w:eastAsia="nl-NL"/>
        </w:rPr>
        <w:t xml:space="preserve"> dat volledig deel uitmaakt van de Aanbestedingsstukken.</w:t>
      </w:r>
    </w:p>
    <w:p w14:paraId="3350F910" w14:textId="77777777" w:rsidR="00AE3DB5" w:rsidRDefault="00AE3DB5" w:rsidP="00AE3DB5">
      <w:pPr>
        <w:tabs>
          <w:tab w:val="left" w:pos="-567"/>
        </w:tabs>
        <w:spacing w:after="0"/>
        <w:rPr>
          <w:rFonts w:ascii="Arial" w:hAnsi="Arial" w:cs="Arial"/>
          <w:b/>
          <w:sz w:val="20"/>
          <w:szCs w:val="20"/>
          <w:u w:val="single"/>
          <w:lang w:eastAsia="nl-NL"/>
        </w:rPr>
      </w:pPr>
    </w:p>
    <w:p w14:paraId="446FABCF"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Contractant</w:t>
      </w:r>
    </w:p>
    <w:p w14:paraId="0B1F0B9B" w14:textId="1CE5BD6C"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De Contractant van de Overeenkomst, zijnde de Inschrijver aan wie de Opdracht is gegund.</w:t>
      </w:r>
    </w:p>
    <w:p w14:paraId="410CDFE6" w14:textId="77777777" w:rsidR="00AE3DB5" w:rsidRDefault="00AE3DB5" w:rsidP="00AE3DB5">
      <w:pPr>
        <w:tabs>
          <w:tab w:val="left" w:pos="-567"/>
        </w:tabs>
        <w:spacing w:after="0"/>
        <w:rPr>
          <w:rFonts w:ascii="Arial" w:hAnsi="Arial" w:cs="Arial"/>
          <w:b/>
          <w:sz w:val="20"/>
          <w:szCs w:val="20"/>
          <w:u w:val="single"/>
          <w:lang w:eastAsia="nl-NL"/>
        </w:rPr>
      </w:pPr>
    </w:p>
    <w:p w14:paraId="25F642F0" w14:textId="77777777" w:rsidR="00AE3DB5" w:rsidRDefault="00AE3DB5" w:rsidP="00AE3DB5">
      <w:pPr>
        <w:tabs>
          <w:tab w:val="left" w:pos="-567"/>
        </w:tabs>
        <w:spacing w:after="0"/>
        <w:rPr>
          <w:rFonts w:ascii="Arial" w:hAnsi="Arial" w:cs="Arial"/>
          <w:b/>
          <w:sz w:val="20"/>
          <w:szCs w:val="20"/>
          <w:u w:val="single"/>
          <w:lang w:eastAsia="nl-NL"/>
        </w:rPr>
      </w:pPr>
      <w:r>
        <w:rPr>
          <w:rFonts w:ascii="Arial" w:hAnsi="Arial" w:cs="Arial"/>
          <w:b/>
          <w:sz w:val="20"/>
          <w:szCs w:val="20"/>
          <w:u w:val="single"/>
          <w:lang w:eastAsia="nl-NL"/>
        </w:rPr>
        <w:t>Derde</w:t>
      </w:r>
    </w:p>
    <w:p w14:paraId="7372B67E" w14:textId="77777777" w:rsidR="00AE3DB5" w:rsidRDefault="00AE3DB5" w:rsidP="00AE3DB5">
      <w:pPr>
        <w:tabs>
          <w:tab w:val="left" w:pos="0"/>
        </w:tabs>
        <w:spacing w:after="0" w:line="240" w:lineRule="auto"/>
        <w:rPr>
          <w:rFonts w:ascii="Arial" w:hAnsi="Arial" w:cs="Arial"/>
          <w:bCs/>
          <w:spacing w:val="-2"/>
          <w:sz w:val="20"/>
          <w:szCs w:val="20"/>
          <w:u w:val="single"/>
          <w:lang w:eastAsia="nl-NL"/>
        </w:rPr>
      </w:pPr>
      <w:r>
        <w:rPr>
          <w:rFonts w:ascii="Arial" w:hAnsi="Arial" w:cs="Arial"/>
          <w:sz w:val="20"/>
          <w:szCs w:val="20"/>
          <w:lang w:eastAsia="nl-NL"/>
        </w:rPr>
        <w:t>Elke natuurlijke of rechtspersoon die geen partij is bij de Overeenkomst.</w:t>
      </w:r>
    </w:p>
    <w:p w14:paraId="12D000A7" w14:textId="77777777" w:rsidR="00AE3DB5" w:rsidRDefault="00AE3DB5" w:rsidP="00AE3DB5">
      <w:pPr>
        <w:tabs>
          <w:tab w:val="left" w:pos="0"/>
        </w:tabs>
        <w:spacing w:after="0"/>
        <w:rPr>
          <w:rFonts w:ascii="Arial" w:hAnsi="Arial" w:cs="Arial"/>
          <w:b/>
          <w:sz w:val="20"/>
          <w:szCs w:val="20"/>
          <w:u w:val="single"/>
        </w:rPr>
      </w:pPr>
    </w:p>
    <w:p w14:paraId="50B5CA54"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sz w:val="20"/>
          <w:szCs w:val="20"/>
          <w:u w:val="single"/>
        </w:rPr>
        <w:t>EMVI-criterium</w:t>
      </w:r>
    </w:p>
    <w:p w14:paraId="691FD32D" w14:textId="77777777" w:rsidR="00AE3DB5" w:rsidRDefault="00AE3DB5" w:rsidP="00AE3DB5">
      <w:pPr>
        <w:tabs>
          <w:tab w:val="left" w:pos="0"/>
        </w:tabs>
        <w:spacing w:after="0" w:line="240" w:lineRule="auto"/>
        <w:rPr>
          <w:rFonts w:ascii="Arial" w:hAnsi="Arial" w:cs="Arial"/>
          <w:sz w:val="20"/>
          <w:szCs w:val="20"/>
          <w:lang w:eastAsia="nl-NL"/>
        </w:rPr>
      </w:pPr>
      <w:r>
        <w:rPr>
          <w:rFonts w:ascii="Arial" w:hAnsi="Arial" w:cs="Arial"/>
          <w:bCs/>
          <w:spacing w:val="-2"/>
          <w:sz w:val="20"/>
          <w:szCs w:val="20"/>
          <w:lang w:eastAsia="nl-NL"/>
        </w:rPr>
        <w:t>Het gunningscriterium dat de Gemeente hanteert bij de beoordeling en rangschikking van de Inschrijvingen voor de gunning van de Opdracht.</w:t>
      </w:r>
      <w:r>
        <w:rPr>
          <w:rFonts w:ascii="Arial" w:eastAsia="Calibri" w:hAnsi="Arial" w:cs="Arial"/>
          <w:sz w:val="20"/>
          <w:szCs w:val="20"/>
        </w:rPr>
        <w:t xml:space="preserve"> Gunning van deze Opdracht vindt plaats op basis van de Economisch Meest Voordelige Inschrijving, Beste Prijs-Kwaliteit verhouding.</w:t>
      </w:r>
    </w:p>
    <w:p w14:paraId="04F55D50" w14:textId="77777777" w:rsidR="00AE3DB5" w:rsidRDefault="00AE3DB5" w:rsidP="00AE3DB5">
      <w:pPr>
        <w:tabs>
          <w:tab w:val="left" w:pos="0"/>
        </w:tabs>
        <w:spacing w:after="0"/>
        <w:rPr>
          <w:rFonts w:ascii="Arial" w:hAnsi="Arial" w:cs="Arial"/>
          <w:b/>
          <w:bCs/>
          <w:spacing w:val="-2"/>
          <w:sz w:val="20"/>
          <w:szCs w:val="20"/>
          <w:u w:val="single"/>
          <w:lang w:eastAsia="nl-NL"/>
        </w:rPr>
      </w:pPr>
    </w:p>
    <w:p w14:paraId="5409721F"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Gemeente</w:t>
      </w:r>
    </w:p>
    <w:p w14:paraId="096BE19D"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De Gemeente Delft.</w:t>
      </w:r>
    </w:p>
    <w:p w14:paraId="0ABAE90E" w14:textId="77777777" w:rsidR="00AE3DB5" w:rsidRDefault="00AE3DB5" w:rsidP="00AE3DB5">
      <w:pPr>
        <w:tabs>
          <w:tab w:val="left" w:pos="0"/>
        </w:tabs>
        <w:spacing w:after="0" w:line="240" w:lineRule="auto"/>
        <w:rPr>
          <w:rFonts w:ascii="Arial" w:hAnsi="Arial" w:cs="Arial"/>
          <w:bCs/>
          <w:spacing w:val="-2"/>
          <w:sz w:val="20"/>
          <w:szCs w:val="20"/>
          <w:lang w:eastAsia="nl-NL"/>
        </w:rPr>
      </w:pPr>
    </w:p>
    <w:p w14:paraId="3F8B6739" w14:textId="77777777" w:rsidR="00AE3DB5" w:rsidRDefault="00AE3DB5" w:rsidP="00AE3DB5">
      <w:pPr>
        <w:tabs>
          <w:tab w:val="left" w:pos="0"/>
        </w:tabs>
        <w:spacing w:after="0"/>
        <w:rPr>
          <w:rFonts w:ascii="Arial" w:hAnsi="Arial" w:cs="Arial"/>
          <w:b/>
          <w:bCs/>
          <w:strike/>
          <w:spacing w:val="-2"/>
          <w:sz w:val="20"/>
          <w:szCs w:val="20"/>
          <w:u w:val="single"/>
          <w:lang w:eastAsia="nl-NL"/>
        </w:rPr>
      </w:pPr>
      <w:r>
        <w:rPr>
          <w:rFonts w:ascii="Arial" w:hAnsi="Arial" w:cs="Arial"/>
          <w:b/>
          <w:sz w:val="20"/>
          <w:szCs w:val="20"/>
          <w:u w:val="single"/>
          <w:lang w:eastAsia="nl-NL"/>
        </w:rPr>
        <w:t>Geschiktheidseisen</w:t>
      </w:r>
    </w:p>
    <w:p w14:paraId="6203C4D4" w14:textId="77777777" w:rsidR="00AE3DB5" w:rsidRDefault="00AE3DB5" w:rsidP="00AE3DB5">
      <w:pPr>
        <w:tabs>
          <w:tab w:val="left" w:pos="0"/>
        </w:tabs>
        <w:spacing w:after="0" w:line="240" w:lineRule="auto"/>
        <w:rPr>
          <w:rFonts w:ascii="Arial" w:hAnsi="Arial" w:cs="Arial"/>
          <w:sz w:val="20"/>
          <w:szCs w:val="20"/>
          <w:lang w:eastAsia="nl-NL"/>
        </w:rPr>
      </w:pPr>
      <w:r>
        <w:rPr>
          <w:rFonts w:ascii="Arial" w:hAnsi="Arial" w:cs="Arial"/>
          <w:bCs/>
          <w:spacing w:val="-2"/>
          <w:sz w:val="20"/>
          <w:szCs w:val="20"/>
          <w:lang w:eastAsia="nl-NL"/>
        </w:rPr>
        <w:t>Minimumeisen die betrekking hebben op de hoedanigheid van de Inschrijver en waaraan de Inschrijver moet voldoen om in aanmerking te komen voor gunning van de Opdracht.</w:t>
      </w:r>
    </w:p>
    <w:p w14:paraId="45A2F206" w14:textId="77777777" w:rsidR="00AE3DB5" w:rsidRDefault="00AE3DB5" w:rsidP="00AE3DB5">
      <w:pPr>
        <w:tabs>
          <w:tab w:val="left" w:pos="0"/>
        </w:tabs>
        <w:spacing w:after="0"/>
        <w:rPr>
          <w:rFonts w:ascii="Arial" w:hAnsi="Arial" w:cs="Arial"/>
          <w:b/>
          <w:bCs/>
          <w:spacing w:val="-2"/>
          <w:sz w:val="20"/>
          <w:szCs w:val="20"/>
          <w:u w:val="single"/>
          <w:lang w:eastAsia="nl-NL"/>
        </w:rPr>
      </w:pPr>
    </w:p>
    <w:p w14:paraId="172BB76F"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Gunningscriteria</w:t>
      </w:r>
    </w:p>
    <w:p w14:paraId="0328DC58"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De inhoudelijke criteria voor de keuze van de winnende Inschrijving.</w:t>
      </w:r>
    </w:p>
    <w:p w14:paraId="5199C63A" w14:textId="77777777" w:rsidR="00D12B26" w:rsidRDefault="00D12B26" w:rsidP="00AE3DB5">
      <w:pPr>
        <w:tabs>
          <w:tab w:val="left" w:pos="0"/>
        </w:tabs>
        <w:spacing w:after="0" w:line="240" w:lineRule="auto"/>
        <w:rPr>
          <w:rFonts w:ascii="Arial" w:hAnsi="Arial" w:cs="Arial"/>
          <w:bCs/>
          <w:spacing w:val="-2"/>
          <w:sz w:val="20"/>
          <w:szCs w:val="20"/>
          <w:lang w:eastAsia="nl-NL"/>
        </w:rPr>
      </w:pPr>
    </w:p>
    <w:p w14:paraId="13568A00"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Inschrijver</w:t>
      </w:r>
    </w:p>
    <w:p w14:paraId="79F8CDD4"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 xml:space="preserve">Een ondernemer die een Inschrijving heeft ingediend. </w:t>
      </w:r>
    </w:p>
    <w:p w14:paraId="58FD482F" w14:textId="77777777" w:rsidR="00AE3DB5" w:rsidRDefault="00AE3DB5" w:rsidP="00AE3DB5">
      <w:pPr>
        <w:tabs>
          <w:tab w:val="left" w:pos="0"/>
        </w:tabs>
        <w:spacing w:after="0"/>
        <w:rPr>
          <w:rFonts w:ascii="Arial" w:hAnsi="Arial" w:cs="Arial"/>
          <w:b/>
          <w:bCs/>
          <w:spacing w:val="-2"/>
          <w:sz w:val="20"/>
          <w:szCs w:val="20"/>
          <w:u w:val="single"/>
          <w:lang w:eastAsia="nl-NL"/>
        </w:rPr>
      </w:pPr>
    </w:p>
    <w:p w14:paraId="07C70AD2"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Inschrijving</w:t>
      </w:r>
    </w:p>
    <w:p w14:paraId="79F6C24C"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De aanbieding c.q. offerte van de Inschrijver die is gebaseerd op de Aanbestedingsstukken.</w:t>
      </w:r>
    </w:p>
    <w:p w14:paraId="0A88DDAA" w14:textId="77777777" w:rsidR="00AE3DB5" w:rsidRDefault="00AE3DB5" w:rsidP="00AE3DB5">
      <w:pPr>
        <w:tabs>
          <w:tab w:val="left" w:pos="0"/>
        </w:tabs>
        <w:spacing w:after="0" w:line="240" w:lineRule="auto"/>
        <w:rPr>
          <w:rFonts w:ascii="Arial" w:hAnsi="Arial" w:cs="Arial"/>
          <w:bCs/>
          <w:spacing w:val="-2"/>
          <w:sz w:val="20"/>
          <w:szCs w:val="20"/>
          <w:lang w:eastAsia="nl-NL"/>
        </w:rPr>
      </w:pPr>
    </w:p>
    <w:p w14:paraId="3FAC8691" w14:textId="77777777" w:rsidR="00AE3DB5" w:rsidRPr="00A56B5C" w:rsidRDefault="00AE3DB5" w:rsidP="00AE3DB5">
      <w:pPr>
        <w:tabs>
          <w:tab w:val="left" w:pos="0"/>
        </w:tabs>
        <w:spacing w:after="0" w:line="240" w:lineRule="auto"/>
        <w:rPr>
          <w:rFonts w:ascii="Arial" w:hAnsi="Arial" w:cs="Arial"/>
          <w:b/>
          <w:bCs/>
          <w:spacing w:val="-2"/>
          <w:sz w:val="20"/>
          <w:szCs w:val="20"/>
          <w:u w:val="single"/>
          <w:lang w:eastAsia="nl-NL"/>
        </w:rPr>
      </w:pPr>
      <w:r w:rsidRPr="00A56B5C">
        <w:rPr>
          <w:rFonts w:ascii="Arial" w:hAnsi="Arial" w:cs="Arial"/>
          <w:b/>
          <w:bCs/>
          <w:spacing w:val="-2"/>
          <w:sz w:val="20"/>
          <w:szCs w:val="20"/>
          <w:u w:val="single"/>
          <w:lang w:eastAsia="nl-NL"/>
        </w:rPr>
        <w:t>Manipulatieve Inschrijving</w:t>
      </w:r>
    </w:p>
    <w:p w14:paraId="58B35146" w14:textId="77777777" w:rsidR="00AE3DB5" w:rsidRDefault="00AE3DB5" w:rsidP="00AE3DB5">
      <w:pPr>
        <w:tabs>
          <w:tab w:val="left" w:pos="0"/>
        </w:tabs>
        <w:spacing w:after="0" w:line="240" w:lineRule="auto"/>
        <w:rPr>
          <w:rFonts w:ascii="Arial" w:hAnsi="Arial" w:cs="Arial"/>
          <w:bCs/>
          <w:spacing w:val="-2"/>
          <w:sz w:val="20"/>
          <w:szCs w:val="20"/>
          <w:lang w:eastAsia="nl-NL"/>
        </w:rPr>
      </w:pPr>
      <w:r w:rsidRPr="00A56B5C">
        <w:rPr>
          <w:rFonts w:ascii="Arial" w:hAnsi="Arial" w:cs="Arial"/>
          <w:bCs/>
          <w:spacing w:val="-2"/>
          <w:sz w:val="20"/>
          <w:szCs w:val="20"/>
          <w:lang w:eastAsia="nl-NL"/>
        </w:rPr>
        <w:t>Een inschrijving waarmee een inschrijver de gunnings- of beoordelingssystematiek bewust en in strijd met de bedoeling om realistische en marktconforme prijzen te krijgen, op slinkse wijze beïnvloedt en waarbij de grenzen van een geoorloofde strategische inschrijving worden overschreden.</w:t>
      </w:r>
    </w:p>
    <w:p w14:paraId="7241DA25" w14:textId="77777777" w:rsidR="00AE3DB5" w:rsidRDefault="00AE3DB5" w:rsidP="00AE3DB5">
      <w:pPr>
        <w:tabs>
          <w:tab w:val="left" w:pos="0"/>
        </w:tabs>
        <w:spacing w:after="0"/>
        <w:rPr>
          <w:rFonts w:ascii="Arial" w:hAnsi="Arial" w:cs="Arial"/>
          <w:b/>
          <w:bCs/>
          <w:spacing w:val="-2"/>
          <w:sz w:val="20"/>
          <w:szCs w:val="20"/>
          <w:highlight w:val="yellow"/>
          <w:u w:val="single"/>
          <w:lang w:eastAsia="nl-NL"/>
        </w:rPr>
      </w:pPr>
    </w:p>
    <w:p w14:paraId="635AB6F9"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Minimumeisen</w:t>
      </w:r>
    </w:p>
    <w:p w14:paraId="2A2A6046"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Eisen die de Opdrachtgever stelt aan de wijze waarop de Contractant de Opdracht moet uitvoeren.</w:t>
      </w:r>
    </w:p>
    <w:p w14:paraId="287D1ED3" w14:textId="77777777" w:rsidR="00AE3DB5" w:rsidRDefault="00AE3DB5" w:rsidP="00AE3DB5">
      <w:pPr>
        <w:tabs>
          <w:tab w:val="left" w:pos="0"/>
        </w:tabs>
        <w:spacing w:after="0"/>
        <w:rPr>
          <w:rFonts w:ascii="Arial" w:hAnsi="Arial" w:cs="Arial"/>
          <w:b/>
          <w:bCs/>
          <w:spacing w:val="-2"/>
          <w:sz w:val="20"/>
          <w:szCs w:val="20"/>
          <w:u w:val="single"/>
          <w:lang w:eastAsia="nl-NL"/>
        </w:rPr>
      </w:pPr>
    </w:p>
    <w:p w14:paraId="63145580"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Nota van Inlichtingen</w:t>
      </w:r>
    </w:p>
    <w:p w14:paraId="1E20E8F7"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Het document dat nadere informatie bevat over de Aanbestedingsprocedure en/of de Aanbestedingsstukken en waarin de vragen die zijn gesteld door de Inschrijvers geanonimiseerd zijn opgenomen, tezamen met de antwoorden van de Gemeente.</w:t>
      </w:r>
    </w:p>
    <w:p w14:paraId="6F9620EC" w14:textId="77777777" w:rsidR="00AE3DB5" w:rsidRDefault="00AE3DB5" w:rsidP="00AE3DB5">
      <w:pPr>
        <w:tabs>
          <w:tab w:val="left" w:pos="0"/>
        </w:tabs>
        <w:spacing w:after="0"/>
        <w:rPr>
          <w:rFonts w:ascii="Arial" w:hAnsi="Arial" w:cs="Arial"/>
          <w:b/>
          <w:bCs/>
          <w:spacing w:val="-2"/>
          <w:sz w:val="20"/>
          <w:szCs w:val="20"/>
          <w:u w:val="single"/>
          <w:lang w:eastAsia="nl-NL"/>
        </w:rPr>
      </w:pPr>
    </w:p>
    <w:p w14:paraId="6D79EBBA"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Onderaannemer</w:t>
      </w:r>
    </w:p>
    <w:p w14:paraId="79553148"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 xml:space="preserve">Een ondernemer die Inschrijver inschakelt voor uitvoering van (een deel van) de Opdracht en waarop Inschrijver eventueel een beroep doet bij het voldoen aan de Minimumeisen. </w:t>
      </w:r>
    </w:p>
    <w:p w14:paraId="54509AF4" w14:textId="77777777" w:rsidR="00AE3DB5" w:rsidRDefault="00AE3DB5" w:rsidP="00AE3DB5">
      <w:pPr>
        <w:tabs>
          <w:tab w:val="left" w:pos="0"/>
        </w:tabs>
        <w:spacing w:after="0"/>
        <w:rPr>
          <w:rFonts w:ascii="Arial" w:hAnsi="Arial" w:cs="Arial"/>
          <w:b/>
          <w:bCs/>
          <w:spacing w:val="-2"/>
          <w:sz w:val="20"/>
          <w:szCs w:val="20"/>
          <w:u w:val="single"/>
          <w:lang w:eastAsia="nl-NL"/>
        </w:rPr>
      </w:pPr>
    </w:p>
    <w:p w14:paraId="33556FF6"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Opdracht</w:t>
      </w:r>
    </w:p>
    <w:p w14:paraId="6FB50ABA" w14:textId="5D5BF003"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De Opdracht die onderwerp is van de Overeenkomst.</w:t>
      </w:r>
    </w:p>
    <w:p w14:paraId="0F698406" w14:textId="77777777" w:rsidR="00AE3DB5" w:rsidRDefault="00AE3DB5" w:rsidP="00AE3DB5">
      <w:pPr>
        <w:tabs>
          <w:tab w:val="left" w:pos="0"/>
        </w:tabs>
        <w:spacing w:after="0"/>
        <w:rPr>
          <w:rFonts w:ascii="Arial" w:hAnsi="Arial" w:cs="Arial"/>
          <w:b/>
          <w:bCs/>
          <w:spacing w:val="-2"/>
          <w:sz w:val="20"/>
          <w:szCs w:val="20"/>
          <w:u w:val="single"/>
          <w:lang w:eastAsia="nl-NL"/>
        </w:rPr>
      </w:pPr>
    </w:p>
    <w:p w14:paraId="5DFA96CC"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Opdrachtgever</w:t>
      </w:r>
    </w:p>
    <w:p w14:paraId="7177E7EC" w14:textId="36FF36F0"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De Opdrachtgever van de Overeenkomst, zijnde de Gemeente.</w:t>
      </w:r>
    </w:p>
    <w:p w14:paraId="20094471" w14:textId="77777777" w:rsidR="00AE3DB5" w:rsidRDefault="00AE3DB5" w:rsidP="00AE3DB5">
      <w:pPr>
        <w:tabs>
          <w:tab w:val="left" w:pos="0"/>
        </w:tabs>
        <w:spacing w:after="0"/>
        <w:rPr>
          <w:rFonts w:ascii="Arial" w:hAnsi="Arial" w:cs="Arial"/>
          <w:b/>
          <w:bCs/>
          <w:spacing w:val="-2"/>
          <w:sz w:val="20"/>
          <w:szCs w:val="20"/>
          <w:u w:val="single"/>
          <w:lang w:eastAsia="nl-NL"/>
        </w:rPr>
      </w:pPr>
    </w:p>
    <w:p w14:paraId="1E9378B2" w14:textId="77777777" w:rsidR="00AE3DB5" w:rsidRPr="00A56B5C" w:rsidRDefault="00AE3DB5" w:rsidP="00AE3DB5">
      <w:pPr>
        <w:tabs>
          <w:tab w:val="left" w:pos="0"/>
        </w:tabs>
        <w:spacing w:after="0"/>
        <w:rPr>
          <w:rFonts w:ascii="Arial" w:hAnsi="Arial" w:cs="Arial"/>
          <w:b/>
          <w:bCs/>
          <w:spacing w:val="-2"/>
          <w:sz w:val="20"/>
          <w:szCs w:val="20"/>
          <w:u w:val="single"/>
          <w:lang w:eastAsia="nl-NL"/>
        </w:rPr>
      </w:pPr>
      <w:r w:rsidRPr="00A56B5C">
        <w:rPr>
          <w:rFonts w:ascii="Arial" w:hAnsi="Arial" w:cs="Arial"/>
          <w:b/>
          <w:bCs/>
          <w:spacing w:val="-2"/>
          <w:sz w:val="20"/>
          <w:szCs w:val="20"/>
          <w:u w:val="single"/>
          <w:lang w:eastAsia="nl-NL"/>
        </w:rPr>
        <w:t>Overeenkomst</w:t>
      </w:r>
    </w:p>
    <w:p w14:paraId="1A8A0FBF" w14:textId="77777777" w:rsidR="00AE3DB5" w:rsidRDefault="00AE3DB5" w:rsidP="00AE3DB5">
      <w:pPr>
        <w:tabs>
          <w:tab w:val="left" w:pos="0"/>
        </w:tabs>
        <w:spacing w:after="0" w:line="240" w:lineRule="auto"/>
        <w:rPr>
          <w:rFonts w:ascii="Arial" w:hAnsi="Arial" w:cs="Arial"/>
          <w:bCs/>
          <w:spacing w:val="-2"/>
          <w:sz w:val="20"/>
          <w:szCs w:val="20"/>
          <w:lang w:eastAsia="nl-NL"/>
        </w:rPr>
      </w:pPr>
      <w:r w:rsidRPr="00A56B5C">
        <w:rPr>
          <w:rFonts w:ascii="Arial" w:hAnsi="Arial" w:cs="Arial"/>
          <w:bCs/>
          <w:spacing w:val="-2"/>
          <w:sz w:val="20"/>
          <w:szCs w:val="20"/>
          <w:lang w:eastAsia="nl-NL"/>
        </w:rPr>
        <w:t>De Overeenkomst die op grond van de uitkomst van de Aanbestedingsprocedure wordt gesloten met Contractant.</w:t>
      </w:r>
    </w:p>
    <w:p w14:paraId="3D8AC603" w14:textId="77777777" w:rsidR="00AE3DB5" w:rsidRDefault="00AE3DB5" w:rsidP="00AE3DB5">
      <w:pPr>
        <w:tabs>
          <w:tab w:val="left" w:pos="0"/>
        </w:tabs>
        <w:spacing w:after="0"/>
        <w:rPr>
          <w:rFonts w:ascii="Arial" w:hAnsi="Arial" w:cs="Arial"/>
          <w:b/>
          <w:bCs/>
          <w:spacing w:val="-2"/>
          <w:sz w:val="20"/>
          <w:szCs w:val="20"/>
          <w:highlight w:val="yellow"/>
          <w:u w:val="single"/>
          <w:lang w:eastAsia="nl-NL"/>
        </w:rPr>
      </w:pPr>
    </w:p>
    <w:p w14:paraId="0FDB40B4"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Perceel</w:t>
      </w:r>
    </w:p>
    <w:p w14:paraId="694DE42C" w14:textId="77777777" w:rsidR="00AE3DB5" w:rsidRDefault="00AE3DB5" w:rsidP="00AE3DB5">
      <w:pPr>
        <w:tabs>
          <w:tab w:val="left" w:pos="0"/>
        </w:tabs>
        <w:spacing w:after="0"/>
        <w:rPr>
          <w:rFonts w:ascii="Arial" w:hAnsi="Arial" w:cs="Arial"/>
          <w:bCs/>
          <w:spacing w:val="-2"/>
          <w:sz w:val="20"/>
          <w:szCs w:val="20"/>
          <w:lang w:eastAsia="nl-NL"/>
        </w:rPr>
      </w:pPr>
      <w:r>
        <w:rPr>
          <w:rFonts w:ascii="Arial" w:hAnsi="Arial" w:cs="Arial"/>
          <w:bCs/>
          <w:spacing w:val="-2"/>
          <w:sz w:val="20"/>
          <w:szCs w:val="20"/>
          <w:lang w:eastAsia="nl-NL"/>
        </w:rPr>
        <w:t>Het onderverdelen van een Opdracht in meerdere stukken.</w:t>
      </w:r>
    </w:p>
    <w:p w14:paraId="6C376152" w14:textId="77777777" w:rsidR="00AE3DB5" w:rsidRDefault="00AE3DB5" w:rsidP="00AE3DB5">
      <w:pPr>
        <w:tabs>
          <w:tab w:val="left" w:pos="0"/>
        </w:tabs>
        <w:spacing w:after="0"/>
        <w:rPr>
          <w:rFonts w:ascii="Arial" w:hAnsi="Arial" w:cs="Arial"/>
          <w:b/>
          <w:bCs/>
          <w:spacing w:val="-2"/>
          <w:sz w:val="20"/>
          <w:szCs w:val="20"/>
          <w:u w:val="single"/>
          <w:lang w:eastAsia="nl-NL"/>
        </w:rPr>
      </w:pPr>
    </w:p>
    <w:p w14:paraId="239D71DD"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Programma van Eisen</w:t>
      </w:r>
    </w:p>
    <w:p w14:paraId="6A25F47D" w14:textId="77777777" w:rsidR="00AE3DB5" w:rsidRDefault="00AE3DB5" w:rsidP="00AE3DB5">
      <w:pPr>
        <w:tabs>
          <w:tab w:val="left" w:pos="0"/>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 xml:space="preserve">Beschrijving van de Minimumeisen. Deze Bijlage dient te worden ondertekend en maakt onderdeel uit van de Inschrijving. </w:t>
      </w:r>
    </w:p>
    <w:p w14:paraId="4D214B02" w14:textId="77777777" w:rsidR="00AE3DB5" w:rsidRPr="00A56B5C" w:rsidRDefault="00AE3DB5" w:rsidP="00AE3DB5">
      <w:pPr>
        <w:tabs>
          <w:tab w:val="left" w:pos="0"/>
        </w:tabs>
        <w:spacing w:after="0"/>
        <w:rPr>
          <w:rFonts w:ascii="Arial" w:hAnsi="Arial" w:cs="Arial"/>
          <w:b/>
          <w:bCs/>
          <w:spacing w:val="-2"/>
          <w:sz w:val="20"/>
          <w:szCs w:val="20"/>
          <w:u w:val="single"/>
          <w:lang w:eastAsia="nl-NL"/>
        </w:rPr>
      </w:pPr>
    </w:p>
    <w:p w14:paraId="11475F46" w14:textId="7F4DC17C" w:rsidR="00AE3DB5" w:rsidRPr="00A56B5C" w:rsidRDefault="00AE3DB5" w:rsidP="00AE3DB5">
      <w:pPr>
        <w:tabs>
          <w:tab w:val="left" w:pos="0"/>
        </w:tabs>
        <w:spacing w:after="0"/>
        <w:rPr>
          <w:rFonts w:ascii="Arial" w:hAnsi="Arial" w:cs="Arial"/>
          <w:b/>
          <w:bCs/>
          <w:spacing w:val="-2"/>
          <w:sz w:val="20"/>
          <w:szCs w:val="20"/>
          <w:u w:val="single"/>
          <w:lang w:eastAsia="nl-NL"/>
        </w:rPr>
      </w:pPr>
      <w:r w:rsidRPr="00A56B5C">
        <w:rPr>
          <w:rFonts w:ascii="Arial" w:hAnsi="Arial" w:cs="Arial"/>
          <w:b/>
          <w:bCs/>
          <w:spacing w:val="-2"/>
          <w:sz w:val="20"/>
          <w:szCs w:val="20"/>
          <w:u w:val="single"/>
          <w:lang w:eastAsia="nl-NL"/>
        </w:rPr>
        <w:t>Overeenkomst</w:t>
      </w:r>
    </w:p>
    <w:p w14:paraId="7A1EC835" w14:textId="77777777" w:rsidR="00AE3DB5" w:rsidRDefault="00AE3DB5" w:rsidP="00AE3DB5">
      <w:pPr>
        <w:tabs>
          <w:tab w:val="left" w:pos="0"/>
        </w:tabs>
        <w:spacing w:after="0" w:line="240" w:lineRule="auto"/>
        <w:rPr>
          <w:rFonts w:ascii="Arial" w:hAnsi="Arial" w:cs="Arial"/>
          <w:bCs/>
          <w:spacing w:val="-2"/>
          <w:sz w:val="20"/>
          <w:szCs w:val="20"/>
          <w:lang w:eastAsia="nl-NL"/>
        </w:rPr>
      </w:pPr>
      <w:r w:rsidRPr="00A56B5C">
        <w:rPr>
          <w:rFonts w:ascii="Arial" w:hAnsi="Arial" w:cs="Arial"/>
          <w:bCs/>
          <w:spacing w:val="-2"/>
          <w:sz w:val="20"/>
          <w:szCs w:val="20"/>
          <w:lang w:eastAsia="nl-NL"/>
        </w:rPr>
        <w:t>Een schriftelijke overeenkomst met het doel gedurende een bepaalde periode de voorwaarden inzake te plaatsen overheidsopdrachten vast te leggen.</w:t>
      </w:r>
      <w:r>
        <w:rPr>
          <w:rFonts w:ascii="Arial" w:hAnsi="Arial" w:cs="Arial"/>
          <w:bCs/>
          <w:spacing w:val="-2"/>
          <w:sz w:val="20"/>
          <w:szCs w:val="20"/>
          <w:lang w:eastAsia="nl-NL"/>
        </w:rPr>
        <w:t xml:space="preserve"> </w:t>
      </w:r>
    </w:p>
    <w:p w14:paraId="09F399E9" w14:textId="77777777" w:rsidR="00AE3DB5" w:rsidRDefault="00AE3DB5" w:rsidP="00AE3DB5">
      <w:pPr>
        <w:tabs>
          <w:tab w:val="left" w:pos="0"/>
        </w:tabs>
        <w:spacing w:after="0"/>
        <w:rPr>
          <w:rFonts w:ascii="Arial" w:hAnsi="Arial" w:cs="Arial"/>
          <w:b/>
          <w:bCs/>
          <w:spacing w:val="-2"/>
          <w:sz w:val="20"/>
          <w:szCs w:val="20"/>
          <w:u w:val="single"/>
          <w:lang w:eastAsia="nl-NL"/>
        </w:rPr>
      </w:pPr>
    </w:p>
    <w:p w14:paraId="61642E79" w14:textId="77777777" w:rsidR="00AE3DB5" w:rsidRDefault="00AE3DB5" w:rsidP="00AE3DB5">
      <w:pPr>
        <w:tabs>
          <w:tab w:val="left" w:pos="0"/>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Samenwerkingsverband (combinatie)</w:t>
      </w:r>
    </w:p>
    <w:p w14:paraId="5B57C5F3" w14:textId="3D6DBC29" w:rsidR="00AE3DB5" w:rsidRDefault="00AE3DB5" w:rsidP="00AE3DB5">
      <w:pPr>
        <w:tabs>
          <w:tab w:val="left" w:pos="0"/>
        </w:tabs>
        <w:spacing w:after="0" w:line="240" w:lineRule="auto"/>
        <w:rPr>
          <w:rFonts w:ascii="Arial" w:hAnsi="Arial" w:cs="Arial"/>
          <w:bCs/>
          <w:spacing w:val="-2"/>
          <w:sz w:val="20"/>
          <w:szCs w:val="20"/>
          <w:lang w:eastAsia="nl-NL"/>
        </w:rPr>
      </w:pPr>
      <w:r w:rsidRPr="00A56B5C">
        <w:rPr>
          <w:rFonts w:ascii="Arial" w:hAnsi="Arial" w:cs="Arial"/>
          <w:bCs/>
          <w:spacing w:val="-2"/>
          <w:sz w:val="20"/>
          <w:szCs w:val="20"/>
          <w:lang w:eastAsia="nl-NL"/>
        </w:rPr>
        <w:t xml:space="preserve">Twee of meer ondernemingen die een gezamenlijke Inschrijving indienen, waarbij de ondernemingen </w:t>
      </w:r>
      <w:r w:rsidR="00670859" w:rsidRPr="00A56B5C">
        <w:rPr>
          <w:rFonts w:ascii="Arial" w:hAnsi="Arial" w:cs="Arial"/>
          <w:bCs/>
          <w:spacing w:val="-2"/>
          <w:sz w:val="20"/>
          <w:szCs w:val="20"/>
          <w:lang w:eastAsia="nl-NL"/>
        </w:rPr>
        <w:t xml:space="preserve">gezamenlijk en </w:t>
      </w:r>
      <w:r w:rsidRPr="00A56B5C">
        <w:rPr>
          <w:rFonts w:ascii="Arial" w:hAnsi="Arial" w:cs="Arial"/>
          <w:bCs/>
          <w:spacing w:val="-2"/>
          <w:sz w:val="20"/>
          <w:szCs w:val="20"/>
          <w:lang w:eastAsia="nl-NL"/>
        </w:rPr>
        <w:t>ieder hoofdelijk</w:t>
      </w:r>
      <w:r>
        <w:rPr>
          <w:rFonts w:ascii="Arial" w:hAnsi="Arial" w:cs="Arial"/>
          <w:bCs/>
          <w:spacing w:val="-2"/>
          <w:sz w:val="20"/>
          <w:szCs w:val="20"/>
          <w:lang w:eastAsia="nl-NL"/>
        </w:rPr>
        <w:t xml:space="preserve"> aansprakelijk zijn voor het juist en volledig voldoen aan de verplichtingen, voortvloeiend uit de Overeenkomst. </w:t>
      </w:r>
    </w:p>
    <w:p w14:paraId="5151EDFE" w14:textId="77777777" w:rsidR="00AE3DB5" w:rsidRDefault="00AE3DB5" w:rsidP="00AE3DB5">
      <w:pPr>
        <w:tabs>
          <w:tab w:val="left" w:pos="-566"/>
        </w:tabs>
        <w:spacing w:after="0"/>
        <w:rPr>
          <w:rFonts w:ascii="Arial" w:hAnsi="Arial" w:cs="Arial"/>
          <w:b/>
          <w:bCs/>
          <w:spacing w:val="-2"/>
          <w:sz w:val="20"/>
          <w:szCs w:val="20"/>
          <w:u w:val="single"/>
          <w:lang w:eastAsia="nl-NL"/>
        </w:rPr>
      </w:pPr>
    </w:p>
    <w:p w14:paraId="4F2406A2" w14:textId="77777777" w:rsidR="00AE3DB5" w:rsidRDefault="00AE3DB5" w:rsidP="00AE3DB5">
      <w:pPr>
        <w:tabs>
          <w:tab w:val="left" w:pos="-566"/>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Uitsluitingsgrond</w:t>
      </w:r>
    </w:p>
    <w:p w14:paraId="341F5B21" w14:textId="77777777" w:rsidR="00AE3DB5" w:rsidRDefault="00AE3DB5" w:rsidP="00AE3DB5">
      <w:pPr>
        <w:tabs>
          <w:tab w:val="left" w:pos="-566"/>
        </w:tabs>
        <w:spacing w:after="0" w:line="240" w:lineRule="auto"/>
        <w:rPr>
          <w:rFonts w:ascii="Arial" w:hAnsi="Arial" w:cs="Arial"/>
          <w:bCs/>
          <w:spacing w:val="-2"/>
          <w:sz w:val="20"/>
          <w:szCs w:val="20"/>
          <w:lang w:eastAsia="nl-NL"/>
        </w:rPr>
      </w:pPr>
      <w:r>
        <w:rPr>
          <w:rFonts w:ascii="Arial" w:hAnsi="Arial" w:cs="Arial"/>
          <w:bCs/>
          <w:spacing w:val="-2"/>
          <w:sz w:val="20"/>
          <w:szCs w:val="20"/>
          <w:lang w:eastAsia="nl-NL"/>
        </w:rPr>
        <w:t>Gronden tot uitsluiting van deelname aan de Aanbestedingsprocedure, die –afhankelijk van het bepaalde in de Aanbestedingsstukken - zien op omstandigheden betreffende de (persoon van de) Inschrijver, de (persoon van de) Derde en/of de (persoon van de) Onderaannemer.</w:t>
      </w:r>
    </w:p>
    <w:p w14:paraId="31F7D881" w14:textId="77777777" w:rsidR="00AE3DB5" w:rsidRDefault="00AE3DB5" w:rsidP="00AE3DB5">
      <w:pPr>
        <w:tabs>
          <w:tab w:val="left" w:pos="-566"/>
        </w:tabs>
        <w:spacing w:after="0"/>
        <w:rPr>
          <w:rFonts w:ascii="Arial" w:hAnsi="Arial" w:cs="Arial"/>
          <w:b/>
          <w:bCs/>
          <w:spacing w:val="-2"/>
          <w:sz w:val="20"/>
          <w:szCs w:val="20"/>
          <w:u w:val="single"/>
          <w:lang w:eastAsia="nl-NL"/>
        </w:rPr>
      </w:pPr>
    </w:p>
    <w:p w14:paraId="0C39ACB3" w14:textId="77777777" w:rsidR="00AE3DB5" w:rsidRDefault="00AE3DB5" w:rsidP="00AE3DB5">
      <w:pPr>
        <w:tabs>
          <w:tab w:val="left" w:pos="-566"/>
        </w:tabs>
        <w:spacing w:after="0"/>
        <w:rPr>
          <w:rFonts w:ascii="Arial" w:hAnsi="Arial" w:cs="Arial"/>
          <w:b/>
          <w:bCs/>
          <w:spacing w:val="-2"/>
          <w:sz w:val="20"/>
          <w:szCs w:val="20"/>
          <w:u w:val="single"/>
          <w:lang w:eastAsia="nl-NL"/>
        </w:rPr>
      </w:pPr>
    </w:p>
    <w:p w14:paraId="1BA30EB8" w14:textId="77777777" w:rsidR="00AE3DB5" w:rsidRDefault="00AE3DB5" w:rsidP="00AE3DB5">
      <w:pPr>
        <w:tabs>
          <w:tab w:val="left" w:pos="-566"/>
        </w:tabs>
        <w:spacing w:after="0"/>
        <w:rPr>
          <w:rFonts w:ascii="Arial" w:hAnsi="Arial" w:cs="Arial"/>
          <w:b/>
          <w:bCs/>
          <w:spacing w:val="-2"/>
          <w:sz w:val="20"/>
          <w:szCs w:val="20"/>
          <w:u w:val="single"/>
          <w:lang w:eastAsia="nl-NL"/>
        </w:rPr>
      </w:pPr>
      <w:r>
        <w:rPr>
          <w:rFonts w:ascii="Arial" w:hAnsi="Arial" w:cs="Arial"/>
          <w:b/>
          <w:bCs/>
          <w:spacing w:val="-2"/>
          <w:sz w:val="20"/>
          <w:szCs w:val="20"/>
          <w:u w:val="single"/>
          <w:lang w:eastAsia="nl-NL"/>
        </w:rPr>
        <w:t>Uniform Europees aanbestedingsdocument (UEA)</w:t>
      </w:r>
    </w:p>
    <w:p w14:paraId="5E3A5E03" w14:textId="44552972" w:rsidR="00AE3DB5" w:rsidRPr="00A56B5C" w:rsidRDefault="00AE3DB5" w:rsidP="00A56B5C">
      <w:pPr>
        <w:tabs>
          <w:tab w:val="left" w:pos="-566"/>
        </w:tabs>
        <w:spacing w:after="0" w:line="240" w:lineRule="auto"/>
        <w:rPr>
          <w:rFonts w:ascii="Arial" w:hAnsi="Arial" w:cs="Arial"/>
          <w:bCs/>
          <w:spacing w:val="-2"/>
          <w:sz w:val="20"/>
          <w:szCs w:val="20"/>
          <w:lang w:eastAsia="nl-NL"/>
        </w:rPr>
      </w:pPr>
      <w:r>
        <w:rPr>
          <w:rStyle w:val="tgc"/>
          <w:rFonts w:ascii="Arial" w:hAnsi="Arial" w:cs="Arial"/>
          <w:color w:val="222222"/>
          <w:sz w:val="20"/>
          <w:szCs w:val="20"/>
        </w:rPr>
        <w:t>De eigen verklaring voor het toetsen van ondernemers aan Uitsluitingsgronden en Geschiktheidseisen</w:t>
      </w:r>
      <w:r w:rsidR="00A56B5C">
        <w:rPr>
          <w:rStyle w:val="tgc"/>
          <w:rFonts w:ascii="Arial" w:hAnsi="Arial" w:cs="Arial"/>
          <w:color w:val="222222"/>
          <w:sz w:val="20"/>
          <w:szCs w:val="20"/>
        </w:rPr>
        <w:t>.</w:t>
      </w:r>
    </w:p>
    <w:p w14:paraId="00356FA3" w14:textId="77777777" w:rsidR="00284C3C" w:rsidRDefault="00284C3C"/>
    <w:sectPr w:rsidR="00284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B5"/>
    <w:rsid w:val="001D1450"/>
    <w:rsid w:val="00284C3C"/>
    <w:rsid w:val="002A3293"/>
    <w:rsid w:val="00670859"/>
    <w:rsid w:val="00917FF9"/>
    <w:rsid w:val="00A56B5C"/>
    <w:rsid w:val="00AE3DB5"/>
    <w:rsid w:val="00C44B41"/>
    <w:rsid w:val="00D12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4C8D"/>
  <w15:docId w15:val="{5FC3CCA8-F79D-42F6-9BE9-D410C15B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DB5"/>
    <w:rPr>
      <w:rFonts w:ascii="Calibri" w:eastAsia="Times New Roman" w:hAnsi="Calibri" w:cs="Times New Roman"/>
    </w:rPr>
  </w:style>
  <w:style w:type="paragraph" w:styleId="Kop1">
    <w:name w:val="heading 1"/>
    <w:basedOn w:val="Standaard"/>
    <w:next w:val="Standaard"/>
    <w:link w:val="Kop1Char"/>
    <w:uiPriority w:val="9"/>
    <w:qFormat/>
    <w:rsid w:val="00C44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semiHidden/>
    <w:unhideWhenUsed/>
    <w:rsid w:val="00AE3DB5"/>
    <w:rPr>
      <w:color w:val="0000FF"/>
      <w:u w:val="single"/>
    </w:rPr>
  </w:style>
  <w:style w:type="paragraph" w:styleId="Tekstopmerking">
    <w:name w:val="annotation text"/>
    <w:basedOn w:val="Standaard"/>
    <w:link w:val="TekstopmerkingChar"/>
    <w:semiHidden/>
    <w:unhideWhenUsed/>
    <w:rsid w:val="00AE3DB5"/>
    <w:pPr>
      <w:tabs>
        <w:tab w:val="left" w:pos="-567"/>
      </w:tabs>
      <w:spacing w:after="0" w:line="268" w:lineRule="auto"/>
    </w:pPr>
    <w:rPr>
      <w:rFonts w:ascii="Arial" w:eastAsia="Calibri" w:hAnsi="Arial"/>
      <w:sz w:val="20"/>
      <w:szCs w:val="20"/>
      <w:lang w:val="x-none" w:eastAsia="nl-NL"/>
    </w:rPr>
  </w:style>
  <w:style w:type="character" w:customStyle="1" w:styleId="TekstopmerkingChar">
    <w:name w:val="Tekst opmerking Char"/>
    <w:basedOn w:val="Standaardalinea-lettertype"/>
    <w:link w:val="Tekstopmerking"/>
    <w:semiHidden/>
    <w:rsid w:val="00AE3DB5"/>
    <w:rPr>
      <w:rFonts w:ascii="Arial" w:eastAsia="Calibri" w:hAnsi="Arial" w:cs="Times New Roman"/>
      <w:sz w:val="20"/>
      <w:szCs w:val="20"/>
      <w:lang w:val="x-none" w:eastAsia="nl-NL"/>
    </w:rPr>
  </w:style>
  <w:style w:type="character" w:customStyle="1" w:styleId="tgc">
    <w:name w:val="_tgc"/>
    <w:rsid w:val="00AE3DB5"/>
  </w:style>
  <w:style w:type="character" w:customStyle="1" w:styleId="Kop1Char0">
    <w:name w:val="Kop [1] Char"/>
    <w:link w:val="Kop10"/>
    <w:locked/>
    <w:rsid w:val="00C44B41"/>
    <w:rPr>
      <w:rFonts w:ascii="Arial" w:hAnsi="Arial" w:cs="Arial"/>
      <w:b/>
      <w:kern w:val="28"/>
      <w:sz w:val="32"/>
      <w:lang w:val="x-none"/>
    </w:rPr>
  </w:style>
  <w:style w:type="paragraph" w:customStyle="1" w:styleId="Kop10">
    <w:name w:val="Kop [1]"/>
    <w:basedOn w:val="Kop1"/>
    <w:link w:val="Kop1Char0"/>
    <w:rsid w:val="00C44B41"/>
    <w:pPr>
      <w:keepLines w:val="0"/>
      <w:pageBreakBefore/>
      <w:widowControl w:val="0"/>
      <w:tabs>
        <w:tab w:val="left" w:pos="0"/>
        <w:tab w:val="left" w:pos="567"/>
      </w:tabs>
      <w:spacing w:before="360" w:after="120" w:line="240" w:lineRule="auto"/>
    </w:pPr>
    <w:rPr>
      <w:rFonts w:ascii="Arial" w:eastAsiaTheme="minorHAnsi" w:hAnsi="Arial" w:cs="Arial"/>
      <w:bCs w:val="0"/>
      <w:color w:val="auto"/>
      <w:kern w:val="28"/>
      <w:sz w:val="32"/>
      <w:szCs w:val="22"/>
      <w:lang w:val="x-none"/>
    </w:rPr>
  </w:style>
  <w:style w:type="character" w:customStyle="1" w:styleId="Kop1Char">
    <w:name w:val="Kop 1 Char"/>
    <w:basedOn w:val="Standaardalinea-lettertype"/>
    <w:link w:val="Kop1"/>
    <w:uiPriority w:val="9"/>
    <w:rsid w:val="00C44B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83099">
      <w:bodyDiv w:val="1"/>
      <w:marLeft w:val="0"/>
      <w:marRight w:val="0"/>
      <w:marTop w:val="0"/>
      <w:marBottom w:val="0"/>
      <w:divBdr>
        <w:top w:val="none" w:sz="0" w:space="0" w:color="auto"/>
        <w:left w:val="none" w:sz="0" w:space="0" w:color="auto"/>
        <w:bottom w:val="none" w:sz="0" w:space="0" w:color="auto"/>
        <w:right w:val="none" w:sz="0" w:space="0" w:color="auto"/>
      </w:divBdr>
    </w:div>
    <w:div w:id="98358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nderned.nl/" TargetMode="External"/><Relationship Id="rId4" Type="http://schemas.openxmlformats.org/officeDocument/2006/relationships/hyperlink" Target="http://ted.europa.e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730</Words>
  <Characters>4017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Gemeente Delft</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de Graaf-Reekers</dc:creator>
  <cp:lastModifiedBy>Vincent van den Berghe</cp:lastModifiedBy>
  <cp:revision>8</cp:revision>
  <dcterms:created xsi:type="dcterms:W3CDTF">2020-01-10T07:20:00Z</dcterms:created>
  <dcterms:modified xsi:type="dcterms:W3CDTF">2021-02-06T20:17:00Z</dcterms:modified>
</cp:coreProperties>
</file>