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5D75" w:rsidP="004C5D75" w:rsidRDefault="004C5D75" w14:paraId="290156DB" w14:textId="77777777">
      <w:pPr>
        <w:pStyle w:val="Kop1"/>
      </w:pPr>
      <w:bookmarkStart w:name="_Toc26885955" w:id="0"/>
      <w:r>
        <w:t>Standaard verwerkersovereenkomst gemeenten</w:t>
      </w:r>
      <w:bookmarkEnd w:id="0"/>
    </w:p>
    <w:p w:rsidR="004C5D75" w:rsidP="004C5D75" w:rsidRDefault="004C5D75" w14:paraId="336DD3F8" w14:textId="77777777">
      <w:pPr>
        <w:rPr>
          <w:b/>
          <w:sz w:val="24"/>
          <w:szCs w:val="24"/>
        </w:rPr>
      </w:pPr>
    </w:p>
    <w:p w:rsidRPr="00363301" w:rsidR="004C5D75" w:rsidP="004C5D75" w:rsidRDefault="004C5D75" w14:paraId="1769A4B7" w14:textId="03E0B184">
      <w:pPr>
        <w:pStyle w:val="Kop2"/>
      </w:pPr>
      <w:bookmarkStart w:name="_Toc26885956" w:id="1"/>
      <w:r w:rsidRPr="00363301">
        <w:t xml:space="preserve">Verwerkersovereenkomst uitvoering </w:t>
      </w:r>
      <w:bookmarkEnd w:id="1"/>
      <w:r w:rsidR="000909CB">
        <w:t xml:space="preserve">PSA/HR Applicatie t.b.v. </w:t>
      </w:r>
      <w:proofErr w:type="spellStart"/>
      <w:r w:rsidR="000909CB">
        <w:t>VRTwente</w:t>
      </w:r>
      <w:proofErr w:type="spellEnd"/>
    </w:p>
    <w:p w:rsidRPr="00363301" w:rsidR="004C5D75" w:rsidP="004C5D75" w:rsidRDefault="004C5D75" w14:paraId="4AE0CF3B" w14:textId="77777777">
      <w:pPr>
        <w:rPr>
          <w:rFonts w:asciiTheme="minorHAnsi" w:hAnsiTheme="minorHAnsi"/>
          <w:sz w:val="20"/>
          <w:szCs w:val="20"/>
        </w:rPr>
      </w:pPr>
    </w:p>
    <w:p w:rsidRPr="00363301" w:rsidR="004C5D75" w:rsidP="004C5D75" w:rsidRDefault="00B37AF7" w14:paraId="2D7AE09A" w14:textId="175D1496">
      <w:pPr>
        <w:rPr>
          <w:rFonts w:asciiTheme="minorHAnsi" w:hAnsiTheme="minorHAnsi"/>
          <w:sz w:val="20"/>
          <w:szCs w:val="20"/>
        </w:rPr>
      </w:pPr>
      <w:r w:rsidRPr="00B37AF7">
        <w:rPr>
          <w:rFonts w:asciiTheme="minorHAnsi" w:hAnsiTheme="minorHAnsi"/>
          <w:sz w:val="20"/>
          <w:szCs w:val="20"/>
        </w:rPr>
        <w:t>De publiekrechtelijke rechtspersoon Veiligheidsregio Twente</w:t>
      </w:r>
      <w:r>
        <w:rPr>
          <w:rFonts w:asciiTheme="minorHAnsi" w:hAnsiTheme="minorHAnsi"/>
          <w:sz w:val="20"/>
          <w:szCs w:val="20"/>
        </w:rPr>
        <w:t xml:space="preserve">, </w:t>
      </w:r>
      <w:r w:rsidRPr="00363301" w:rsidR="004C5D75">
        <w:rPr>
          <w:rFonts w:asciiTheme="minorHAnsi" w:hAnsiTheme="minorHAnsi"/>
          <w:sz w:val="20"/>
          <w:szCs w:val="20"/>
        </w:rPr>
        <w:t xml:space="preserve">waarvan </w:t>
      </w:r>
      <w:r>
        <w:rPr>
          <w:rFonts w:asciiTheme="minorHAnsi" w:hAnsiTheme="minorHAnsi"/>
          <w:sz w:val="20"/>
          <w:szCs w:val="20"/>
        </w:rPr>
        <w:t>het Algemeen Bestuur</w:t>
      </w:r>
      <w:r w:rsidRPr="00363301" w:rsidR="004C5D75">
        <w:rPr>
          <w:rFonts w:asciiTheme="minorHAnsi" w:hAnsiTheme="minorHAnsi"/>
          <w:sz w:val="20"/>
          <w:szCs w:val="20"/>
        </w:rPr>
        <w:t xml:space="preserve"> de verwerkingsverantwoordelijke is, verder te noemen Verwerkingsverantwoordelijke, hierbij rechtsgeldig vertegenwoordigd door de </w:t>
      </w:r>
      <w:r>
        <w:rPr>
          <w:rFonts w:asciiTheme="minorHAnsi" w:hAnsiTheme="minorHAnsi"/>
          <w:sz w:val="20"/>
          <w:szCs w:val="20"/>
        </w:rPr>
        <w:t>heer</w:t>
      </w:r>
      <w:r w:rsidRPr="00B37AF7">
        <w:rPr>
          <w:rFonts w:asciiTheme="minorHAnsi" w:hAnsiTheme="minorHAnsi"/>
          <w:sz w:val="20"/>
          <w:szCs w:val="20"/>
        </w:rPr>
        <w:t xml:space="preserve"> ing. S.J.M. Wevers </w:t>
      </w:r>
      <w:proofErr w:type="spellStart"/>
      <w:r w:rsidRPr="00B37AF7">
        <w:rPr>
          <w:rFonts w:asciiTheme="minorHAnsi" w:hAnsiTheme="minorHAnsi"/>
          <w:sz w:val="20"/>
          <w:szCs w:val="20"/>
        </w:rPr>
        <w:t>MCDm</w:t>
      </w:r>
      <w:proofErr w:type="spellEnd"/>
      <w:r w:rsidRPr="00B37AF7">
        <w:rPr>
          <w:rFonts w:asciiTheme="minorHAnsi" w:hAnsiTheme="minorHAnsi"/>
          <w:sz w:val="20"/>
          <w:szCs w:val="20"/>
        </w:rPr>
        <w:t xml:space="preserve">, Commandant Brandweer, </w:t>
      </w:r>
    </w:p>
    <w:p w:rsidRPr="00363301" w:rsidR="004C5D75" w:rsidP="004C5D75" w:rsidRDefault="004C5D75" w14:paraId="5E074970" w14:textId="77777777">
      <w:pPr>
        <w:rPr>
          <w:rFonts w:asciiTheme="minorHAnsi" w:hAnsiTheme="minorHAnsi"/>
          <w:sz w:val="20"/>
          <w:szCs w:val="20"/>
        </w:rPr>
      </w:pPr>
    </w:p>
    <w:p w:rsidRPr="00363301" w:rsidR="004C5D75" w:rsidP="004C5D75" w:rsidRDefault="004C5D75" w14:paraId="58993131" w14:textId="77777777">
      <w:pPr>
        <w:rPr>
          <w:rFonts w:asciiTheme="minorHAnsi" w:hAnsiTheme="minorHAnsi"/>
          <w:sz w:val="20"/>
          <w:szCs w:val="20"/>
        </w:rPr>
      </w:pPr>
      <w:r w:rsidRPr="00363301">
        <w:rPr>
          <w:rFonts w:asciiTheme="minorHAnsi" w:hAnsiTheme="minorHAnsi"/>
          <w:sz w:val="20"/>
          <w:szCs w:val="20"/>
        </w:rPr>
        <w:t xml:space="preserve">en </w:t>
      </w:r>
    </w:p>
    <w:p w:rsidRPr="00363301" w:rsidR="004C5D75" w:rsidP="004C5D75" w:rsidRDefault="004C5D75" w14:paraId="08010709" w14:textId="77777777">
      <w:pPr>
        <w:rPr>
          <w:rFonts w:asciiTheme="minorHAnsi" w:hAnsiTheme="minorHAnsi"/>
          <w:sz w:val="20"/>
          <w:szCs w:val="20"/>
        </w:rPr>
      </w:pPr>
    </w:p>
    <w:p w:rsidRPr="00363301" w:rsidR="004C5D75" w:rsidP="004C5D75" w:rsidRDefault="004C5D75" w14:paraId="2A779CC4" w14:textId="77777777">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Pr="00363301" w:rsidR="004C5D75" w:rsidP="004C5D75" w:rsidRDefault="004C5D75" w14:paraId="49C5E365" w14:textId="77777777">
      <w:pPr>
        <w:rPr>
          <w:rFonts w:asciiTheme="minorHAnsi" w:hAnsiTheme="minorHAnsi"/>
          <w:sz w:val="20"/>
          <w:szCs w:val="20"/>
        </w:rPr>
      </w:pPr>
    </w:p>
    <w:p w:rsidRPr="00363301" w:rsidR="004C5D75" w:rsidP="004C5D75" w:rsidRDefault="004C5D75" w14:paraId="47B16B83" w14:textId="77777777">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Pr="00363301" w:rsidR="004C5D75" w:rsidP="004C5D75" w:rsidRDefault="004C5D75" w14:paraId="7C7667EA" w14:textId="77777777">
      <w:pPr>
        <w:rPr>
          <w:rFonts w:asciiTheme="minorHAnsi" w:hAnsiTheme="minorHAnsi"/>
          <w:sz w:val="20"/>
          <w:szCs w:val="20"/>
        </w:rPr>
      </w:pPr>
      <w:bookmarkStart w:name="OpenAt" w:id="2"/>
      <w:bookmarkEnd w:id="2"/>
    </w:p>
    <w:p w:rsidRPr="00363301" w:rsidR="004C5D75" w:rsidP="004C5D75" w:rsidRDefault="004C5D75" w14:paraId="657D685A" w14:textId="77777777">
      <w:pPr>
        <w:rPr>
          <w:rFonts w:asciiTheme="minorHAnsi" w:hAnsiTheme="minorHAnsi"/>
          <w:sz w:val="20"/>
          <w:szCs w:val="20"/>
        </w:rPr>
      </w:pPr>
      <w:r w:rsidRPr="00363301">
        <w:rPr>
          <w:rFonts w:asciiTheme="minorHAnsi" w:hAnsiTheme="minorHAnsi"/>
          <w:sz w:val="20"/>
          <w:szCs w:val="20"/>
        </w:rPr>
        <w:t>Overwegen het volgende:</w:t>
      </w:r>
    </w:p>
    <w:p w:rsidRPr="00363301" w:rsidR="004C5D75" w:rsidP="004C5D75" w:rsidRDefault="004C5D75" w14:paraId="171937B7" w14:textId="7777777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Pr="00363301" w:rsidR="004C5D75" w:rsidP="004C5D75" w:rsidRDefault="004C5D75" w14:paraId="3D7B13FD" w14:textId="7777777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Pr="00363301" w:rsidR="004C5D75" w:rsidP="004C5D75" w:rsidRDefault="004C5D75" w14:paraId="35BAA6B4" w14:textId="7777777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Pr="00363301" w:rsidR="004C5D75" w:rsidP="004C5D75" w:rsidRDefault="004C5D75" w14:paraId="549A2068" w14:textId="77777777">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name="_Hlk5102123" w:id="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rsidR="004C5D75" w:rsidP="004C5D75" w:rsidRDefault="004C5D75" w14:paraId="37DA0787" w14:textId="77777777">
      <w:pPr>
        <w:rPr>
          <w:rFonts w:asciiTheme="minorHAnsi" w:hAnsiTheme="minorHAnsi"/>
          <w:sz w:val="20"/>
          <w:szCs w:val="20"/>
        </w:rPr>
      </w:pPr>
    </w:p>
    <w:p w:rsidR="004C5D75" w:rsidP="004C5D75" w:rsidRDefault="004C5D75" w14:paraId="425FA667" w14:textId="77777777">
      <w:pPr>
        <w:rPr>
          <w:rFonts w:asciiTheme="minorHAnsi" w:hAnsiTheme="minorHAnsi"/>
          <w:sz w:val="20"/>
          <w:szCs w:val="20"/>
        </w:rPr>
      </w:pPr>
      <w:bookmarkStart w:name="_Hlk37365548" w:id="4"/>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rsidRPr="00363301" w:rsidR="004C5D75" w:rsidP="004C5D75" w:rsidRDefault="004C5D75" w14:paraId="6A7F8785" w14:textId="77777777">
      <w:pPr>
        <w:rPr>
          <w:rFonts w:asciiTheme="minorHAnsi" w:hAnsiTheme="minorHAnsi"/>
          <w:sz w:val="20"/>
          <w:szCs w:val="20"/>
        </w:rPr>
      </w:pPr>
    </w:p>
    <w:p w:rsidRPr="00363301" w:rsidR="004C5D75" w:rsidP="004C5D75" w:rsidRDefault="004C5D75" w14:paraId="397EEBCF" w14:textId="77777777">
      <w:pPr>
        <w:rPr>
          <w:rFonts w:asciiTheme="minorHAnsi" w:hAnsiTheme="minorHAnsi"/>
          <w:b/>
          <w:sz w:val="20"/>
          <w:szCs w:val="20"/>
        </w:rPr>
      </w:pPr>
      <w:r w:rsidRPr="00363301">
        <w:rPr>
          <w:rFonts w:asciiTheme="minorHAnsi" w:hAnsiTheme="minorHAnsi"/>
          <w:b/>
          <w:sz w:val="20"/>
          <w:szCs w:val="20"/>
        </w:rPr>
        <w:t>Artikel 1 Definities</w:t>
      </w:r>
    </w:p>
    <w:p w:rsidRPr="00363301" w:rsidR="004C5D75" w:rsidP="004C5D75" w:rsidRDefault="004C5D75" w14:paraId="55292CA7" w14:textId="77777777">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r>
      <w:r w:rsidRPr="00363301">
        <w:rPr>
          <w:rFonts w:asciiTheme="minorHAnsi" w:hAnsiTheme="minorHAnsi"/>
          <w:sz w:val="20"/>
          <w:szCs w:val="20"/>
        </w:rPr>
        <w:t>Begrippen uit de AVG en de UAVG die in deze Verwerkersovereenkomst worden gebruikt, hebben dezelfde betekenis.</w:t>
      </w:r>
    </w:p>
    <w:p w:rsidRPr="00363301" w:rsidR="004C5D75" w:rsidP="004C5D75" w:rsidRDefault="004C5D75" w14:paraId="27A2F54F" w14:textId="77777777">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r>
      <w:r w:rsidRPr="00363301">
        <w:rPr>
          <w:rFonts w:asciiTheme="minorHAnsi" w:hAnsiTheme="minorHAnsi"/>
          <w:sz w:val="20"/>
          <w:szCs w:val="20"/>
        </w:rPr>
        <w:t>Bijlagen: aanhangsels bij deze Verwerkersovereenkomst, die onlosmakelijk deel uitmaken van deze Verwerkersovereenkomst.</w:t>
      </w:r>
    </w:p>
    <w:p w:rsidRPr="00363301" w:rsidR="004C5D75" w:rsidP="004C5D75" w:rsidRDefault="004C5D75" w14:paraId="31A9AE18" w14:textId="77777777">
      <w:pPr>
        <w:ind w:left="705" w:hanging="705"/>
        <w:rPr>
          <w:rFonts w:asciiTheme="minorHAnsi" w:hAnsiTheme="minorHAnsi"/>
          <w:sz w:val="20"/>
          <w:szCs w:val="20"/>
        </w:rPr>
      </w:pPr>
    </w:p>
    <w:p w:rsidRPr="00363301" w:rsidR="004C5D75" w:rsidP="004C5D75" w:rsidRDefault="004C5D75" w14:paraId="558892C1" w14:textId="77777777">
      <w:pPr>
        <w:rPr>
          <w:rFonts w:asciiTheme="minorHAnsi" w:hAnsiTheme="minorHAnsi"/>
          <w:sz w:val="20"/>
          <w:szCs w:val="20"/>
        </w:rPr>
      </w:pPr>
      <w:r w:rsidRPr="00363301">
        <w:rPr>
          <w:rFonts w:asciiTheme="minorHAnsi" w:hAnsiTheme="minorHAnsi"/>
          <w:b/>
          <w:sz w:val="20"/>
          <w:szCs w:val="20"/>
        </w:rPr>
        <w:t>Artikel 2 Ingangsdatum en duur</w:t>
      </w:r>
    </w:p>
    <w:p w:rsidRPr="00363301" w:rsidR="004C5D75" w:rsidP="004C5D75" w:rsidRDefault="004C5D75" w14:paraId="7372CD41" w14:textId="77777777">
      <w:pPr>
        <w:rPr>
          <w:rFonts w:asciiTheme="minorHAnsi" w:hAnsiTheme="minorHAnsi"/>
          <w:sz w:val="20"/>
          <w:szCs w:val="20"/>
        </w:rPr>
      </w:pPr>
    </w:p>
    <w:p w:rsidRPr="00363301" w:rsidR="004C5D75" w:rsidP="004C5D75" w:rsidRDefault="004C5D75" w14:paraId="163919F9" w14:textId="77777777">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r>
      <w:r w:rsidRPr="00363301">
        <w:rPr>
          <w:rFonts w:asciiTheme="minorHAnsi" w:hAnsiTheme="minorHAnsi"/>
          <w:sz w:val="20"/>
          <w:szCs w:val="20"/>
        </w:rPr>
        <w:t>Deze Verwerkersovereenkomst gaat in op het moment dat de Hoofdovereenkomst tot stand is gekomen, tenzij Partijen anders overeenkomen.</w:t>
      </w:r>
    </w:p>
    <w:p w:rsidRPr="00363301" w:rsidR="004C5D75" w:rsidP="004C5D75" w:rsidRDefault="004C5D75" w14:paraId="27A6138A" w14:textId="77777777">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r>
      <w:r w:rsidRPr="00363301">
        <w:rPr>
          <w:rFonts w:asciiTheme="minorHAnsi" w:hAnsiTheme="minorHAnsi"/>
          <w:sz w:val="20"/>
          <w:szCs w:val="20"/>
        </w:rPr>
        <w:t>Deze Verwerkersovereenkomst eindigt op het moment dat Verwerker de verwerking van Persoonsgegevens op grond van de Hoofdovereenkomst heeft beëindigd en de afspraken over het teruggeven en/of wissen van Persoonsgegevens zijn nagekomen.</w:t>
      </w:r>
    </w:p>
    <w:p w:rsidRPr="00363301" w:rsidR="004C5D75" w:rsidP="004C5D75" w:rsidRDefault="004C5D75" w14:paraId="294863CF" w14:textId="77777777">
      <w:pPr>
        <w:rPr>
          <w:rFonts w:asciiTheme="minorHAnsi" w:hAnsiTheme="minorHAnsi"/>
          <w:sz w:val="20"/>
          <w:szCs w:val="20"/>
        </w:rPr>
      </w:pPr>
    </w:p>
    <w:p w:rsidRPr="00363301" w:rsidR="004C5D75" w:rsidP="004C5D75" w:rsidRDefault="004C5D75" w14:paraId="5929CB66" w14:textId="77777777">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Pr="00363301" w:rsidR="004C5D75" w:rsidP="004C5D75" w:rsidRDefault="004C5D75" w14:paraId="336CE1AC" w14:textId="77777777">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name="_Hlk5103647" w:id="5"/>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rsidRPr="00363301" w:rsidR="004C5D75" w:rsidP="004C5D75" w:rsidRDefault="004C5D75" w14:paraId="731A4040" w14:textId="77777777">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r>
      <w:r w:rsidRPr="00363301">
        <w:rPr>
          <w:rFonts w:asciiTheme="minorHAnsi" w:hAnsiTheme="minorHAnsi"/>
          <w:sz w:val="20"/>
          <w:szCs w:val="20"/>
        </w:rPr>
        <w:t>De door Verwerker uit te voeren verwerkingen staan beschreven in tabel 1 van Bijlage 1.</w:t>
      </w:r>
    </w:p>
    <w:p w:rsidRPr="00363301" w:rsidR="004C5D75" w:rsidP="004C5D75" w:rsidRDefault="004C5D75" w14:paraId="511FBD00" w14:textId="77777777">
      <w:pPr>
        <w:ind w:left="705" w:hanging="705"/>
        <w:rPr>
          <w:rFonts w:asciiTheme="minorHAnsi" w:hAnsiTheme="minorHAnsi"/>
          <w:sz w:val="20"/>
          <w:szCs w:val="20"/>
        </w:rPr>
      </w:pPr>
    </w:p>
    <w:p w:rsidR="004C5D75" w:rsidP="004C5D75" w:rsidRDefault="004C5D75" w14:paraId="49A29C9D" w14:textId="77777777">
      <w:pPr>
        <w:rPr>
          <w:rFonts w:asciiTheme="minorHAnsi" w:hAnsiTheme="minorHAnsi"/>
          <w:b/>
          <w:sz w:val="20"/>
          <w:szCs w:val="20"/>
        </w:rPr>
      </w:pPr>
      <w:r>
        <w:rPr>
          <w:rFonts w:asciiTheme="minorHAnsi" w:hAnsiTheme="minorHAnsi"/>
          <w:b/>
          <w:sz w:val="20"/>
          <w:szCs w:val="20"/>
        </w:rPr>
        <w:br w:type="page"/>
      </w:r>
    </w:p>
    <w:p w:rsidRPr="00363301" w:rsidR="004C5D75" w:rsidP="004C5D75" w:rsidRDefault="004C5D75" w14:paraId="7E5F1749" w14:textId="77777777">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Pr="00363301" w:rsidR="004C5D75" w:rsidP="004C5D75" w:rsidRDefault="004C5D75" w14:paraId="210D4D13" w14:textId="77777777">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r>
      <w:r w:rsidRPr="00363301">
        <w:rPr>
          <w:rFonts w:asciiTheme="minorHAnsi" w:hAnsiTheme="minorHAnsi"/>
          <w:b/>
          <w:sz w:val="20"/>
          <w:szCs w:val="20"/>
        </w:rPr>
        <w:t>Beveiligingsmaatregelen</w:t>
      </w:r>
    </w:p>
    <w:p w:rsidRPr="00363301" w:rsidR="004C5D75" w:rsidP="004C5D75" w:rsidRDefault="004C5D75" w14:paraId="165287A1" w14:textId="77777777">
      <w:pPr>
        <w:ind w:left="705"/>
        <w:rPr>
          <w:rFonts w:asciiTheme="minorHAnsi" w:hAnsiTheme="minorHAnsi"/>
          <w:sz w:val="20"/>
          <w:szCs w:val="20"/>
        </w:rPr>
      </w:pPr>
      <w:bookmarkStart w:name="_Hlk5104394" w:id="6"/>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rsidRPr="00363301" w:rsidR="004C5D75" w:rsidP="004C5D75" w:rsidRDefault="004C5D75" w14:paraId="7729E807" w14:textId="77777777">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Pr="00363301" w:rsidR="004C5D75" w:rsidP="004C5D75" w:rsidRDefault="004C5D75" w14:paraId="1DB74BC2" w14:textId="77777777">
      <w:pPr>
        <w:ind w:left="705"/>
        <w:rPr>
          <w:rFonts w:asciiTheme="minorHAnsi" w:hAnsiTheme="minorHAnsi"/>
          <w:sz w:val="20"/>
          <w:szCs w:val="20"/>
        </w:rPr>
      </w:pPr>
      <w:bookmarkStart w:name="_Hlk5104585" w:id="7"/>
      <w:r w:rsidRPr="00363301">
        <w:rPr>
          <w:rFonts w:eastAsia="Verdana" w:asciiTheme="minorHAnsi"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rsidRPr="00363301" w:rsidR="004C5D75" w:rsidP="004C5D75" w:rsidRDefault="004C5D75" w14:paraId="1BE204A8" w14:textId="77777777">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Pr="00363301" w:rsidR="004C5D75" w:rsidP="004C5D75" w:rsidRDefault="004C5D75" w14:paraId="48D956D4" w14:textId="77777777">
      <w:pPr>
        <w:ind w:left="705"/>
        <w:rPr>
          <w:rFonts w:asciiTheme="minorHAnsi" w:hAnsiTheme="minorHAnsi"/>
          <w:sz w:val="20"/>
          <w:szCs w:val="20"/>
        </w:rPr>
      </w:pPr>
      <w:bookmarkStart w:name="_Hlk5104042" w:id="8"/>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rsidRPr="00363301" w:rsidR="004C5D75" w:rsidP="004C5D75" w:rsidRDefault="004C5D75" w14:paraId="54E4ECE3" w14:textId="77777777">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Pr="00363301" w:rsidR="004C5D75" w:rsidP="004C5D75" w:rsidRDefault="004C5D75" w14:paraId="6D60B38D" w14:textId="77777777">
      <w:pPr>
        <w:ind w:left="705"/>
        <w:rPr>
          <w:rFonts w:asciiTheme="minorHAnsi" w:hAnsiTheme="minorHAnsi"/>
          <w:sz w:val="20"/>
          <w:szCs w:val="20"/>
        </w:rPr>
      </w:pPr>
      <w:bookmarkStart w:name="_Hlk5104115" w:id="9"/>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rsidRPr="00363301" w:rsidR="004C5D75" w:rsidP="004C5D75" w:rsidRDefault="004C5D75" w14:paraId="31D5286D" w14:textId="77777777">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Pr="00363301" w:rsidR="004C5D75" w:rsidP="004C5D75" w:rsidRDefault="004C5D75" w14:paraId="597CAF58" w14:textId="77777777">
      <w:pPr>
        <w:ind w:left="705"/>
        <w:rPr>
          <w:rFonts w:asciiTheme="minorHAnsi" w:hAnsiTheme="minorHAnsi"/>
          <w:sz w:val="20"/>
          <w:szCs w:val="20"/>
        </w:rPr>
      </w:pPr>
      <w:bookmarkStart w:name="_Hlk5103815" w:id="10"/>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rsidRPr="00363301" w:rsidR="004C5D75" w:rsidP="004C5D75" w:rsidRDefault="004C5D75" w14:paraId="1F5FA354" w14:textId="77777777">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Pr="00363301" w:rsidR="004C5D75" w:rsidP="004C5D75" w:rsidRDefault="004C5D75" w14:paraId="3309979F" w14:textId="77777777">
      <w:pPr>
        <w:ind w:left="705"/>
        <w:rPr>
          <w:rFonts w:asciiTheme="minorHAnsi" w:hAnsiTheme="minorHAnsi"/>
          <w:sz w:val="20"/>
          <w:szCs w:val="20"/>
        </w:rPr>
      </w:pPr>
      <w:bookmarkStart w:name="_Hlk5103732" w:id="11"/>
      <w:r w:rsidRPr="00363301">
        <w:rPr>
          <w:rFonts w:asciiTheme="minorHAnsi" w:hAnsiTheme="minorHAnsi"/>
          <w:sz w:val="20"/>
          <w:szCs w:val="20"/>
        </w:rPr>
        <w:t xml:space="preserve">Als een betrokkene een beroep doet op zijn rechten zoals genoemd in artikel 12 t/m 22 AVG, helpt </w:t>
      </w:r>
      <w:r w:rsidRPr="00363301">
        <w:rPr>
          <w:rFonts w:eastAsia="Times New Roman" w:asciiTheme="minorHAnsi" w:hAnsiTheme="minorHAnsi"/>
          <w:sz w:val="20"/>
          <w:szCs w:val="20"/>
        </w:rPr>
        <w:t>Verwerker Verwerkingsverantwoordelijke om daarop binnen de wettelijke termijnen een beslissing te nemen</w:t>
      </w:r>
      <w:r w:rsidRPr="00363301">
        <w:rPr>
          <w:rFonts w:eastAsia="Verdana" w:asciiTheme="minorHAnsi" w:hAnsiTheme="minorHAnsi"/>
          <w:color w:val="000000"/>
          <w:spacing w:val="-1"/>
          <w:sz w:val="20"/>
          <w:szCs w:val="20"/>
        </w:rPr>
        <w:t>.</w:t>
      </w:r>
    </w:p>
    <w:bookmarkEnd w:id="11"/>
    <w:p w:rsidRPr="00363301" w:rsidR="004C5D75" w:rsidP="004C5D75" w:rsidRDefault="004C5D75" w14:paraId="120A7AE4" w14:textId="77777777">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name="_Hlk519604988" w:id="12"/>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Pr="00363301" w:rsidR="004C5D75" w:rsidP="004C5D75" w:rsidRDefault="004C5D75" w14:paraId="37194549" w14:textId="77777777">
      <w:pPr>
        <w:ind w:left="705"/>
        <w:rPr>
          <w:rFonts w:eastAsia="Verdana" w:asciiTheme="minorHAnsi" w:hAnsiTheme="minorHAnsi"/>
          <w:b/>
          <w:color w:val="000000"/>
          <w:spacing w:val="-1"/>
          <w:sz w:val="20"/>
          <w:szCs w:val="20"/>
        </w:rPr>
      </w:pPr>
      <w:bookmarkStart w:name="_Hlk5104151" w:id="13"/>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rsidRPr="00363301" w:rsidR="004C5D75" w:rsidP="004C5D75" w:rsidRDefault="004C5D75" w14:paraId="5F83CDCC" w14:textId="77777777">
      <w:pPr>
        <w:rPr>
          <w:rFonts w:asciiTheme="minorHAnsi" w:hAnsiTheme="minorHAnsi"/>
          <w:sz w:val="20"/>
          <w:szCs w:val="20"/>
        </w:rPr>
      </w:pPr>
    </w:p>
    <w:p w:rsidRPr="00363301" w:rsidR="004C5D75" w:rsidP="004C5D75" w:rsidRDefault="004C5D75" w14:paraId="5E7AE180" w14:textId="77777777">
      <w:pPr>
        <w:rPr>
          <w:rFonts w:asciiTheme="minorHAnsi" w:hAnsiTheme="minorHAnsi"/>
          <w:b/>
          <w:sz w:val="20"/>
          <w:szCs w:val="20"/>
        </w:rPr>
      </w:pPr>
      <w:r w:rsidRPr="00363301">
        <w:rPr>
          <w:rFonts w:asciiTheme="minorHAnsi" w:hAnsiTheme="minorHAnsi"/>
          <w:b/>
          <w:sz w:val="20"/>
          <w:szCs w:val="20"/>
        </w:rPr>
        <w:t>Artikel 5 Inbreuk in verband met Persoonsgegevens</w:t>
      </w:r>
    </w:p>
    <w:p w:rsidRPr="00363301" w:rsidR="004C5D75" w:rsidP="004C5D75" w:rsidRDefault="004C5D75" w14:paraId="2B29D5E6" w14:textId="77777777">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name="_Hlk5104932" w:id="14"/>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4C5D75" w:rsidP="004C5D75" w:rsidRDefault="004C5D75" w14:paraId="7EFFAFB1" w14:textId="77777777">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r>
      <w:r w:rsidRPr="00363301">
        <w:rPr>
          <w:rFonts w:asciiTheme="minorHAnsi" w:hAnsiTheme="minorHAnsi"/>
          <w:sz w:val="20"/>
          <w:szCs w:val="20"/>
        </w:rPr>
        <w:t>In geval van een Inbreuk neemt Verwerker zonder onredelijke vertraging alle maatregelen om de Inbreuk te herstellen, de gevolgen daarvan te beperken en verdere Inbreuken te voorkomen.</w:t>
      </w:r>
    </w:p>
    <w:p w:rsidRPr="00363301" w:rsidR="004C5D75" w:rsidP="004C5D75" w:rsidRDefault="004C5D75" w14:paraId="32042305" w14:textId="77777777">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r>
      <w:r w:rsidRPr="00363301">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Pr="00363301" w:rsidR="004C5D75" w:rsidP="004C5D75" w:rsidRDefault="004C5D75" w14:paraId="63C04B42" w14:textId="77777777">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r>
      <w:r w:rsidRPr="00363301">
        <w:rPr>
          <w:rFonts w:asciiTheme="minorHAnsi" w:hAnsiTheme="minorHAnsi"/>
          <w:sz w:val="20"/>
          <w:szCs w:val="20"/>
        </w:rPr>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rsidRPr="00363301" w:rsidR="004C5D75" w:rsidP="004C5D75" w:rsidRDefault="004C5D75" w14:paraId="63141803" w14:textId="77777777">
      <w:pPr>
        <w:rPr>
          <w:rFonts w:asciiTheme="minorHAnsi" w:hAnsiTheme="minorHAnsi"/>
          <w:sz w:val="20"/>
          <w:szCs w:val="20"/>
        </w:rPr>
      </w:pPr>
    </w:p>
    <w:p w:rsidRPr="00363301" w:rsidR="004C5D75" w:rsidP="004C5D75" w:rsidRDefault="004C5D75" w14:paraId="14EA20A8" w14:textId="77777777">
      <w:pPr>
        <w:rPr>
          <w:rFonts w:asciiTheme="minorHAnsi" w:hAnsiTheme="minorHAnsi"/>
          <w:b/>
          <w:sz w:val="20"/>
          <w:szCs w:val="20"/>
        </w:rPr>
      </w:pPr>
      <w:r w:rsidRPr="00363301">
        <w:rPr>
          <w:rFonts w:asciiTheme="minorHAnsi" w:hAnsiTheme="minorHAnsi"/>
          <w:b/>
          <w:sz w:val="20"/>
          <w:szCs w:val="20"/>
        </w:rPr>
        <w:t>Artikel 6 Aansprakelijkheid</w:t>
      </w:r>
    </w:p>
    <w:p w:rsidRPr="00363301" w:rsidR="004C5D75" w:rsidP="004C5D75" w:rsidRDefault="004C5D75" w14:paraId="74F38048" w14:textId="77777777">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r>
      <w:r w:rsidRPr="00363301">
        <w:rPr>
          <w:rFonts w:asciiTheme="minorHAnsi" w:hAnsiTheme="minorHAnsi"/>
          <w:sz w:val="20"/>
          <w:szCs w:val="20"/>
        </w:rPr>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Pr="00363301" w:rsidR="004C5D75" w:rsidP="004C5D75" w:rsidRDefault="004C5D75" w14:paraId="3C8D2D49" w14:textId="77777777">
      <w:pPr>
        <w:rPr>
          <w:rFonts w:asciiTheme="minorHAnsi" w:hAnsiTheme="minorHAnsi"/>
          <w:sz w:val="20"/>
          <w:szCs w:val="20"/>
        </w:rPr>
      </w:pPr>
    </w:p>
    <w:p w:rsidRPr="00363301" w:rsidR="004C5D75" w:rsidP="004C5D75" w:rsidRDefault="004C5D75" w14:paraId="0F0F2F5A" w14:textId="77777777">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rsidRPr="00363301" w:rsidR="004C5D75" w:rsidP="004C5D75" w:rsidRDefault="004C5D75" w14:paraId="54983D67" w14:textId="77777777">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eastAsia="Verdana" w:asciiTheme="minorHAnsi"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eastAsia="Verdana" w:asciiTheme="minorHAnsi" w:hAnsiTheme="minorHAnsi"/>
          <w:color w:val="000000"/>
          <w:spacing w:val="-1"/>
          <w:sz w:val="20"/>
          <w:szCs w:val="20"/>
        </w:rPr>
        <w:t>wissing</w:t>
      </w:r>
      <w:proofErr w:type="spellEnd"/>
      <w:r w:rsidRPr="00363301">
        <w:rPr>
          <w:rFonts w:eastAsia="Verdana" w:asciiTheme="minorHAnsi" w:hAnsiTheme="minorHAnsi"/>
          <w:color w:val="000000"/>
          <w:spacing w:val="-1"/>
          <w:sz w:val="20"/>
          <w:szCs w:val="20"/>
        </w:rPr>
        <w:t xml:space="preserve"> van Persoonsgegevens.</w:t>
      </w:r>
      <w:r w:rsidRPr="00363301">
        <w:rPr>
          <w:rFonts w:asciiTheme="minorHAnsi" w:hAnsiTheme="minorHAnsi"/>
          <w:sz w:val="20"/>
          <w:szCs w:val="20"/>
        </w:rPr>
        <w:t xml:space="preserve"> </w:t>
      </w:r>
    </w:p>
    <w:p w:rsidRPr="00363301" w:rsidR="004C5D75" w:rsidP="004C5D75" w:rsidRDefault="004C5D75" w14:paraId="6F786A9D" w14:textId="77777777">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r>
      <w:r w:rsidRPr="00363301">
        <w:rPr>
          <w:rFonts w:asciiTheme="minorHAnsi" w:hAnsiTheme="minorHAnsi"/>
          <w:sz w:val="20"/>
          <w:szCs w:val="20"/>
        </w:rPr>
        <w:t>De geheimhouding geldt ook nog na beëindiging van deze Verwerkersovereenkomst.</w:t>
      </w:r>
    </w:p>
    <w:p w:rsidRPr="00363301" w:rsidR="004C5D75" w:rsidP="004C5D75" w:rsidRDefault="004C5D75" w14:paraId="799EECD6" w14:textId="77777777">
      <w:pPr>
        <w:ind w:left="705" w:hanging="705"/>
        <w:rPr>
          <w:rFonts w:asciiTheme="minorHAnsi" w:hAnsiTheme="minorHAnsi"/>
          <w:sz w:val="20"/>
          <w:szCs w:val="20"/>
        </w:rPr>
      </w:pPr>
    </w:p>
    <w:p w:rsidRPr="00363301" w:rsidR="004C5D75" w:rsidP="004C5D75" w:rsidRDefault="004C5D75" w14:paraId="60F0CBD8" w14:textId="77777777">
      <w:pPr>
        <w:rPr>
          <w:rFonts w:asciiTheme="minorHAnsi" w:hAnsiTheme="minorHAnsi"/>
          <w:b/>
          <w:sz w:val="20"/>
          <w:szCs w:val="20"/>
        </w:rPr>
      </w:pPr>
      <w:r w:rsidRPr="00363301">
        <w:rPr>
          <w:rFonts w:asciiTheme="minorHAnsi" w:hAnsiTheme="minorHAnsi"/>
          <w:b/>
          <w:sz w:val="20"/>
          <w:szCs w:val="20"/>
        </w:rPr>
        <w:t>Artikel 8 Overige bepalingen</w:t>
      </w:r>
    </w:p>
    <w:p w:rsidRPr="00363301" w:rsidR="004C5D75" w:rsidP="004C5D75" w:rsidRDefault="004C5D75" w14:paraId="10C91249" w14:textId="77777777">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r>
      <w:r w:rsidRPr="00363301">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Pr="00363301" w:rsidR="004C5D75" w:rsidP="004C5D75" w:rsidRDefault="004C5D75" w14:paraId="0CCF34D1" w14:textId="77777777">
      <w:pPr>
        <w:ind w:left="705" w:hanging="705"/>
        <w:rPr>
          <w:rFonts w:asciiTheme="minorHAnsi" w:hAnsiTheme="minorHAnsi"/>
          <w:sz w:val="20"/>
          <w:szCs w:val="20"/>
        </w:rPr>
      </w:pPr>
    </w:p>
    <w:p w:rsidRPr="00363301" w:rsidR="004C5D75" w:rsidP="004C5D75" w:rsidRDefault="004C5D75" w14:paraId="0429F58B" w14:textId="77777777">
      <w:pPr>
        <w:ind w:left="567" w:hanging="567"/>
        <w:rPr>
          <w:rFonts w:asciiTheme="minorHAnsi" w:hAnsiTheme="minorHAnsi"/>
          <w:b/>
          <w:sz w:val="20"/>
          <w:szCs w:val="20"/>
        </w:rPr>
      </w:pPr>
      <w:r w:rsidRPr="00363301">
        <w:rPr>
          <w:rFonts w:asciiTheme="minorHAnsi" w:hAnsiTheme="minorHAnsi"/>
          <w:b/>
          <w:sz w:val="20"/>
          <w:szCs w:val="20"/>
        </w:rPr>
        <w:t>Ondertekening</w:t>
      </w:r>
    </w:p>
    <w:p w:rsidRPr="00363301" w:rsidR="004C5D75" w:rsidP="004C5D75" w:rsidRDefault="004C5D75" w14:paraId="58BD9123" w14:textId="77777777">
      <w:pPr>
        <w:rPr>
          <w:rFonts w:asciiTheme="minorHAnsi" w:hAnsiTheme="minorHAnsi"/>
          <w:sz w:val="20"/>
          <w:szCs w:val="20"/>
        </w:rPr>
      </w:pPr>
      <w:r w:rsidRPr="00363301">
        <w:rPr>
          <w:rFonts w:asciiTheme="minorHAnsi" w:hAnsiTheme="minorHAnsi"/>
          <w:sz w:val="20"/>
          <w:szCs w:val="20"/>
        </w:rPr>
        <w:t>Aldus overeengekomen en in tweevoud ondertekend,</w:t>
      </w:r>
    </w:p>
    <w:p w:rsidRPr="00363301" w:rsidR="004C5D75" w:rsidP="004C5D75" w:rsidRDefault="004C5D75" w14:paraId="7B75DC07" w14:textId="77777777">
      <w:pPr>
        <w:rPr>
          <w:rFonts w:asciiTheme="minorHAnsi" w:hAnsiTheme="minorHAnsi"/>
          <w:sz w:val="20"/>
          <w:szCs w:val="20"/>
        </w:rPr>
      </w:pPr>
    </w:p>
    <w:p w:rsidRPr="00363301" w:rsidR="004C5D75" w:rsidP="004C5D75" w:rsidRDefault="004C5D75" w14:paraId="73870375" w14:textId="77777777">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4C5D75" w:rsidP="004C5D75" w:rsidRDefault="004C5D75" w14:paraId="1D9C96B8" w14:textId="77777777">
      <w:pPr>
        <w:tabs>
          <w:tab w:val="center" w:pos="3968"/>
        </w:tabs>
        <w:rPr>
          <w:rFonts w:asciiTheme="minorHAnsi" w:hAnsiTheme="minorHAnsi"/>
          <w:b/>
          <w:sz w:val="20"/>
          <w:szCs w:val="20"/>
        </w:rPr>
      </w:pPr>
    </w:p>
    <w:p w:rsidRPr="00363301" w:rsidR="004C5D75" w:rsidP="004C5D75" w:rsidRDefault="00F401C4" w14:paraId="1B4EC406" w14:textId="6C31F674">
      <w:pPr>
        <w:tabs>
          <w:tab w:val="center" w:pos="3968"/>
        </w:tabs>
        <w:rPr>
          <w:rFonts w:asciiTheme="minorHAnsi" w:hAnsiTheme="minorHAnsi"/>
          <w:b/>
          <w:sz w:val="20"/>
          <w:szCs w:val="20"/>
        </w:rPr>
      </w:pPr>
      <w:r>
        <w:rPr>
          <w:rFonts w:asciiTheme="minorHAnsi" w:hAnsiTheme="minorHAnsi"/>
          <w:b/>
          <w:sz w:val="20"/>
          <w:szCs w:val="20"/>
        </w:rPr>
        <w:t>Veiligheidsregio Twente</w:t>
      </w:r>
      <w:r w:rsidRPr="00363301" w:rsidR="004C5D75">
        <w:rPr>
          <w:rFonts w:asciiTheme="minorHAnsi" w:hAnsiTheme="minorHAnsi"/>
          <w:sz w:val="20"/>
          <w:szCs w:val="20"/>
        </w:rPr>
        <w:tab/>
      </w:r>
      <w:r w:rsidRPr="00363301" w:rsidR="004C5D75">
        <w:rPr>
          <w:rFonts w:asciiTheme="minorHAnsi" w:hAnsiTheme="minorHAnsi"/>
          <w:sz w:val="20"/>
          <w:szCs w:val="20"/>
        </w:rPr>
        <w:tab/>
      </w:r>
      <w:r w:rsidRPr="00363301" w:rsidR="004C5D75">
        <w:rPr>
          <w:rFonts w:asciiTheme="minorHAnsi" w:hAnsiTheme="minorHAnsi"/>
          <w:sz w:val="20"/>
          <w:szCs w:val="20"/>
        </w:rPr>
        <w:tab/>
      </w:r>
      <w:r w:rsidRPr="00363301" w:rsidR="004C5D75">
        <w:rPr>
          <w:rFonts w:asciiTheme="minorHAnsi" w:hAnsiTheme="minorHAnsi"/>
          <w:b/>
          <w:sz w:val="20"/>
          <w:szCs w:val="20"/>
          <w:highlight w:val="yellow"/>
        </w:rPr>
        <w:t>&lt;Naam organisatie&gt;</w:t>
      </w:r>
    </w:p>
    <w:p w:rsidRPr="00363301" w:rsidR="004C5D75" w:rsidP="004C5D75" w:rsidRDefault="004C5D75" w14:paraId="37C2CFFB" w14:textId="461CF952">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w:t>
      </w:r>
      <w:r w:rsidR="00F401C4">
        <w:rPr>
          <w:rFonts w:asciiTheme="minorHAnsi" w:hAnsiTheme="minorHAnsi"/>
          <w:sz w:val="20"/>
          <w:szCs w:val="20"/>
        </w:rPr>
        <w:t xml:space="preserve">Voorzitter </w:t>
      </w:r>
      <w:r w:rsidRPr="00363301">
        <w:rPr>
          <w:rFonts w:asciiTheme="minorHAnsi" w:hAnsiTheme="minorHAnsi"/>
          <w:sz w:val="20"/>
          <w:szCs w:val="20"/>
        </w:rPr>
        <w:t xml:space="preserve">van </w:t>
      </w:r>
      <w:r w:rsidR="00F401C4">
        <w:rPr>
          <w:rFonts w:asciiTheme="minorHAnsi" w:hAnsiTheme="minorHAnsi"/>
          <w:sz w:val="20"/>
          <w:szCs w:val="20"/>
        </w:rPr>
        <w:t>het Algemeen Bestuur</w:t>
      </w:r>
    </w:p>
    <w:p w:rsidRPr="00363301" w:rsidR="004C5D75" w:rsidP="004C5D75" w:rsidRDefault="004C5D75" w14:paraId="47B193B2" w14:textId="77777777">
      <w:pPr>
        <w:tabs>
          <w:tab w:val="center" w:pos="3968"/>
          <w:tab w:val="left" w:pos="4820"/>
        </w:tabs>
        <w:rPr>
          <w:rFonts w:asciiTheme="minorHAnsi" w:hAnsiTheme="minorHAnsi"/>
          <w:sz w:val="20"/>
          <w:szCs w:val="20"/>
        </w:rPr>
      </w:pPr>
    </w:p>
    <w:p w:rsidRPr="00363301" w:rsidR="004C5D75" w:rsidP="004C5D75" w:rsidRDefault="004C5D75" w14:paraId="027BE065" w14:textId="1F0C2C1D">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F401C4">
        <w:rPr>
          <w:rFonts w:asciiTheme="minorHAnsi" w:hAnsiTheme="minorHAnsi"/>
          <w:sz w:val="20"/>
          <w:szCs w:val="20"/>
        </w:rPr>
        <w:t xml:space="preserve">de heer ing. S.J.M. Wevers </w:t>
      </w:r>
      <w:proofErr w:type="spellStart"/>
      <w:r w:rsidR="00F401C4">
        <w:rPr>
          <w:rFonts w:asciiTheme="minorHAnsi" w:hAnsiTheme="minorHAnsi"/>
          <w:sz w:val="20"/>
          <w:szCs w:val="20"/>
        </w:rPr>
        <w:t>MCDm</w:t>
      </w:r>
      <w:proofErr w:type="spellEnd"/>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Pr="00363301" w:rsidR="004C5D75" w:rsidP="004C5D75" w:rsidRDefault="004C5D75" w14:paraId="655C362A" w14:textId="77777777">
      <w:pPr>
        <w:tabs>
          <w:tab w:val="center" w:pos="3968"/>
          <w:tab w:val="left" w:pos="4820"/>
        </w:tabs>
        <w:rPr>
          <w:rFonts w:asciiTheme="minorHAnsi" w:hAnsiTheme="minorHAnsi"/>
          <w:sz w:val="20"/>
          <w:szCs w:val="20"/>
        </w:rPr>
      </w:pPr>
    </w:p>
    <w:p w:rsidRPr="00363301" w:rsidR="004C5D75" w:rsidP="004C5D75" w:rsidRDefault="004C5D75" w14:paraId="1D96E14C" w14:textId="4C1F6860">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F401C4">
        <w:rPr>
          <w:rFonts w:asciiTheme="minorHAnsi" w:hAnsiTheme="minorHAnsi"/>
          <w:sz w:val="20"/>
          <w:szCs w:val="20"/>
        </w:rPr>
        <w:t>Enschede</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4C5D75" w:rsidP="004C5D75" w:rsidRDefault="004C5D75" w14:paraId="404DEAA4" w14:textId="77777777">
      <w:pPr>
        <w:tabs>
          <w:tab w:val="left" w:pos="4820"/>
        </w:tabs>
        <w:rPr>
          <w:rFonts w:asciiTheme="minorHAnsi" w:hAnsiTheme="minorHAnsi"/>
          <w:sz w:val="20"/>
          <w:szCs w:val="20"/>
        </w:rPr>
      </w:pPr>
    </w:p>
    <w:p w:rsidRPr="00363301" w:rsidR="004C5D75" w:rsidP="004C5D75" w:rsidRDefault="004C5D75" w14:paraId="082F5ABE" w14:textId="77777777">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4C5D75" w:rsidP="004C5D75" w:rsidRDefault="004C5D75" w14:paraId="1BB8D13D" w14:textId="77777777">
      <w:pPr>
        <w:rPr>
          <w:rFonts w:asciiTheme="minorHAnsi" w:hAnsiTheme="minorHAnsi"/>
          <w:sz w:val="20"/>
          <w:szCs w:val="20"/>
        </w:rPr>
      </w:pPr>
    </w:p>
    <w:p w:rsidRPr="00363301" w:rsidR="004C5D75" w:rsidP="004C5D75" w:rsidRDefault="004C5D75" w14:paraId="1C3FDD11" w14:textId="77777777">
      <w:pPr>
        <w:rPr>
          <w:rFonts w:asciiTheme="minorHAnsi" w:hAnsiTheme="minorHAnsi"/>
          <w:sz w:val="20"/>
          <w:szCs w:val="20"/>
        </w:rPr>
      </w:pPr>
    </w:p>
    <w:p w:rsidRPr="00363301" w:rsidR="004C5D75" w:rsidP="004C5D75" w:rsidRDefault="004C5D75" w14:paraId="591088BA" w14:textId="77777777">
      <w:pPr>
        <w:rPr>
          <w:rFonts w:asciiTheme="minorHAnsi" w:hAnsiTheme="minorHAnsi"/>
          <w:sz w:val="20"/>
          <w:szCs w:val="20"/>
        </w:rPr>
      </w:pPr>
      <w:r w:rsidRPr="00363301">
        <w:rPr>
          <w:rFonts w:asciiTheme="minorHAnsi" w:hAnsiTheme="minorHAnsi"/>
          <w:sz w:val="20"/>
          <w:szCs w:val="20"/>
        </w:rPr>
        <w:br w:type="page"/>
      </w:r>
    </w:p>
    <w:p w:rsidRPr="00363301" w:rsidR="004C5D75" w:rsidP="004C5D75" w:rsidRDefault="004C5D75" w14:paraId="6A5A2035" w14:textId="77777777">
      <w:pPr>
        <w:pStyle w:val="Kop2"/>
      </w:pPr>
      <w:bookmarkStart w:name="_Toc26885957" w:id="15"/>
      <w:r w:rsidRPr="00363301">
        <w:lastRenderedPageBreak/>
        <w:t>Bijlage 1: Overzicht van te verwerken persoonsgegevens</w:t>
      </w:r>
      <w:bookmarkEnd w:id="15"/>
    </w:p>
    <w:p w:rsidRPr="00363301" w:rsidR="004C5D75" w:rsidP="004C5D75" w:rsidRDefault="004C5D75" w14:paraId="1E928CE3" w14:textId="77777777">
      <w:pPr>
        <w:rPr>
          <w:rFonts w:asciiTheme="minorHAnsi" w:hAnsiTheme="minorHAnsi"/>
          <w:b/>
          <w:sz w:val="20"/>
          <w:szCs w:val="20"/>
        </w:rPr>
      </w:pPr>
    </w:p>
    <w:p w:rsidRPr="00363301" w:rsidR="004C5D75" w:rsidP="004C5D75" w:rsidRDefault="004C5D75" w14:paraId="7733AF10" w14:textId="77777777">
      <w:pPr>
        <w:pStyle w:val="Lijstalinea"/>
        <w:widowControl/>
        <w:numPr>
          <w:ilvl w:val="0"/>
          <w:numId w:val="4"/>
        </w:numPr>
        <w:tabs>
          <w:tab w:val="left" w:pos="397"/>
        </w:tabs>
        <w:autoSpaceDE/>
        <w:autoSpaceDN/>
        <w:spacing w:before="0" w:after="120"/>
        <w:ind w:left="360"/>
        <w:rPr>
          <w:rFonts w:eastAsia="Verdana" w:asciiTheme="minorHAnsi" w:hAnsiTheme="minorHAnsi"/>
          <w:b/>
          <w:sz w:val="20"/>
          <w:szCs w:val="20"/>
        </w:rPr>
      </w:pPr>
      <w:r w:rsidRPr="00363301">
        <w:rPr>
          <w:rFonts w:eastAsia="Verdana" w:asciiTheme="minorHAnsi" w:hAnsiTheme="minorHAnsi"/>
          <w:b/>
          <w:color w:val="000000"/>
          <w:sz w:val="20"/>
          <w:szCs w:val="20"/>
        </w:rPr>
        <w:t>Naam verwerking, doeleinden c</w:t>
      </w:r>
      <w:r w:rsidRPr="00363301">
        <w:rPr>
          <w:rFonts w:eastAsia="Verdana" w:asciiTheme="minorHAnsi" w:hAnsiTheme="minorHAnsi"/>
          <w:b/>
          <w:sz w:val="20"/>
          <w:szCs w:val="20"/>
        </w:rPr>
        <w:t xml:space="preserve">ategorieën van betrokkenen, </w:t>
      </w:r>
      <w:r>
        <w:rPr>
          <w:rFonts w:eastAsia="Verdana" w:asciiTheme="minorHAnsi" w:hAnsiTheme="minorHAnsi"/>
          <w:b/>
          <w:sz w:val="20"/>
          <w:szCs w:val="20"/>
        </w:rPr>
        <w:t>categorieën</w:t>
      </w:r>
      <w:r w:rsidRPr="00363301">
        <w:rPr>
          <w:rFonts w:eastAsia="Verdana" w:asciiTheme="minorHAnsi" w:hAnsiTheme="minorHAnsi"/>
          <w:b/>
          <w:sz w:val="20"/>
          <w:szCs w:val="20"/>
        </w:rPr>
        <w:t xml:space="preserve"> persoonsgegevens en eventuele doorgifte naar derde landen.</w:t>
      </w:r>
      <w:bookmarkStart w:name="_Hlk5085707" w:id="16"/>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Pr="00363301" w:rsidR="004C5D75" w:rsidTr="007159E0" w14:paraId="2B9D02B2" w14:textId="77777777">
        <w:trPr>
          <w:trHeight w:val="624"/>
        </w:trPr>
        <w:tc>
          <w:tcPr>
            <w:tcW w:w="1413" w:type="dxa"/>
            <w:hideMark/>
          </w:tcPr>
          <w:p w:rsidRPr="00363301" w:rsidR="004C5D75" w:rsidP="007159E0" w:rsidRDefault="004C5D75" w14:paraId="14CFE769" w14:textId="77777777">
            <w:pPr>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 xml:space="preserve">Naam </w:t>
            </w:r>
            <w:proofErr w:type="spellStart"/>
            <w:r w:rsidRPr="00363301">
              <w:rPr>
                <w:rFonts w:eastAsia="Verdana" w:asciiTheme="minorHAnsi" w:hAnsiTheme="minorHAnsi"/>
                <w:b/>
                <w:bCs/>
                <w:color w:val="000000"/>
                <w:sz w:val="20"/>
                <w:szCs w:val="20"/>
              </w:rPr>
              <w:t>verwerking</w:t>
            </w:r>
            <w:proofErr w:type="spellEnd"/>
          </w:p>
        </w:tc>
        <w:tc>
          <w:tcPr>
            <w:tcW w:w="1559" w:type="dxa"/>
            <w:hideMark/>
          </w:tcPr>
          <w:p w:rsidRPr="00363301" w:rsidR="004C5D75" w:rsidP="007159E0" w:rsidRDefault="004C5D75" w14:paraId="06ED5E85" w14:textId="77777777">
            <w:pPr>
              <w:spacing w:after="160"/>
              <w:rPr>
                <w:rFonts w:eastAsia="Verdana" w:asciiTheme="minorHAnsi" w:hAnsiTheme="minorHAnsi"/>
                <w:b/>
                <w:bCs/>
                <w:color w:val="000000"/>
                <w:sz w:val="20"/>
                <w:szCs w:val="20"/>
              </w:rPr>
            </w:pPr>
            <w:proofErr w:type="spellStart"/>
            <w:r w:rsidRPr="00363301">
              <w:rPr>
                <w:rFonts w:eastAsia="Verdana" w:asciiTheme="minorHAnsi" w:hAnsiTheme="minorHAnsi"/>
                <w:b/>
                <w:bCs/>
                <w:color w:val="000000"/>
                <w:sz w:val="20"/>
                <w:szCs w:val="20"/>
              </w:rPr>
              <w:t>Verwerkings-doeleinden</w:t>
            </w:r>
            <w:proofErr w:type="spellEnd"/>
          </w:p>
        </w:tc>
        <w:tc>
          <w:tcPr>
            <w:tcW w:w="1843" w:type="dxa"/>
            <w:hideMark/>
          </w:tcPr>
          <w:p w:rsidRPr="00363301" w:rsidR="004C5D75" w:rsidP="007159E0" w:rsidRDefault="004C5D75" w14:paraId="5B4FD0B5" w14:textId="77777777">
            <w:pPr>
              <w:spacing w:after="160"/>
              <w:rPr>
                <w:rFonts w:eastAsia="Verdana" w:asciiTheme="minorHAnsi" w:hAnsiTheme="minorHAnsi"/>
                <w:b/>
                <w:bCs/>
                <w:color w:val="000000"/>
                <w:sz w:val="20"/>
                <w:szCs w:val="20"/>
              </w:rPr>
            </w:pPr>
            <w:proofErr w:type="spellStart"/>
            <w:r w:rsidRPr="00363301">
              <w:rPr>
                <w:rFonts w:eastAsia="Verdana" w:asciiTheme="minorHAnsi" w:hAnsiTheme="minorHAnsi"/>
                <w:b/>
                <w:bCs/>
                <w:color w:val="000000"/>
                <w:sz w:val="20"/>
                <w:szCs w:val="20"/>
              </w:rPr>
              <w:t>Categorieën</w:t>
            </w:r>
            <w:proofErr w:type="spellEnd"/>
            <w:r w:rsidRPr="00363301">
              <w:rPr>
                <w:rFonts w:eastAsia="Verdana" w:asciiTheme="minorHAnsi" w:hAnsiTheme="minorHAnsi"/>
                <w:b/>
                <w:bCs/>
                <w:color w:val="000000"/>
                <w:sz w:val="20"/>
                <w:szCs w:val="20"/>
              </w:rPr>
              <w:t xml:space="preserve"> van </w:t>
            </w:r>
            <w:proofErr w:type="spellStart"/>
            <w:r w:rsidRPr="00363301">
              <w:rPr>
                <w:rFonts w:eastAsia="Verdana" w:asciiTheme="minorHAnsi" w:hAnsiTheme="minorHAnsi"/>
                <w:b/>
                <w:bCs/>
                <w:color w:val="000000"/>
                <w:sz w:val="20"/>
                <w:szCs w:val="20"/>
              </w:rPr>
              <w:t>Betrokkenen</w:t>
            </w:r>
            <w:proofErr w:type="spellEnd"/>
          </w:p>
        </w:tc>
        <w:tc>
          <w:tcPr>
            <w:tcW w:w="2126" w:type="dxa"/>
            <w:hideMark/>
          </w:tcPr>
          <w:p w:rsidRPr="00363301" w:rsidR="004C5D75" w:rsidP="007159E0" w:rsidRDefault="004C5D75" w14:paraId="20069908" w14:textId="77777777">
            <w:pPr>
              <w:spacing w:after="160"/>
              <w:rPr>
                <w:rFonts w:eastAsia="Verdana" w:asciiTheme="minorHAnsi" w:hAnsiTheme="minorHAnsi"/>
                <w:b/>
                <w:bCs/>
                <w:color w:val="000000"/>
                <w:sz w:val="20"/>
                <w:szCs w:val="20"/>
              </w:rPr>
            </w:pPr>
            <w:proofErr w:type="spellStart"/>
            <w:r w:rsidRPr="00363301">
              <w:rPr>
                <w:rFonts w:eastAsia="Verdana" w:asciiTheme="minorHAnsi" w:hAnsiTheme="minorHAnsi"/>
                <w:b/>
                <w:bCs/>
                <w:color w:val="000000"/>
                <w:sz w:val="20"/>
                <w:szCs w:val="20"/>
              </w:rPr>
              <w:t>Categorie</w:t>
            </w:r>
            <w:r>
              <w:rPr>
                <w:rFonts w:eastAsia="Verdana" w:asciiTheme="minorHAnsi" w:hAnsiTheme="minorHAnsi"/>
                <w:b/>
                <w:bCs/>
                <w:color w:val="000000"/>
                <w:sz w:val="20"/>
                <w:szCs w:val="20"/>
              </w:rPr>
              <w:t>ën</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Persoonsgegevens</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waaronder</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bijzondere</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persoonsgegevens</w:t>
            </w:r>
            <w:proofErr w:type="spellEnd"/>
            <w:r w:rsidRPr="00363301">
              <w:rPr>
                <w:rFonts w:eastAsia="Verdana" w:asciiTheme="minorHAnsi" w:hAnsiTheme="minorHAnsi"/>
                <w:b/>
                <w:bCs/>
                <w:color w:val="000000"/>
                <w:sz w:val="20"/>
                <w:szCs w:val="20"/>
              </w:rPr>
              <w:t>)</w:t>
            </w:r>
          </w:p>
        </w:tc>
        <w:tc>
          <w:tcPr>
            <w:tcW w:w="1701" w:type="dxa"/>
          </w:tcPr>
          <w:p w:rsidRPr="00363301" w:rsidR="004C5D75" w:rsidP="007159E0" w:rsidRDefault="004C5D75" w14:paraId="38298340" w14:textId="77777777">
            <w:pPr>
              <w:rPr>
                <w:rFonts w:eastAsia="Verdana" w:asciiTheme="minorHAnsi" w:hAnsiTheme="minorHAnsi"/>
                <w:b/>
                <w:bCs/>
                <w:color w:val="000000"/>
                <w:sz w:val="20"/>
                <w:szCs w:val="20"/>
              </w:rPr>
            </w:pPr>
            <w:proofErr w:type="spellStart"/>
            <w:r w:rsidRPr="00363301">
              <w:rPr>
                <w:rFonts w:eastAsia="Verdana" w:asciiTheme="minorHAnsi" w:hAnsiTheme="minorHAnsi"/>
                <w:b/>
                <w:bCs/>
                <w:color w:val="000000"/>
                <w:sz w:val="20"/>
                <w:szCs w:val="20"/>
              </w:rPr>
              <w:t>Doorgifte</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naar</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derde</w:t>
            </w:r>
            <w:proofErr w:type="spellEnd"/>
            <w:r w:rsidRPr="00363301">
              <w:rPr>
                <w:rFonts w:eastAsia="Verdana" w:asciiTheme="minorHAnsi" w:hAnsiTheme="minorHAnsi"/>
                <w:b/>
                <w:bCs/>
                <w:color w:val="000000"/>
                <w:sz w:val="20"/>
                <w:szCs w:val="20"/>
              </w:rPr>
              <w:t xml:space="preserve"> </w:t>
            </w:r>
            <w:proofErr w:type="spellStart"/>
            <w:r w:rsidRPr="00363301">
              <w:rPr>
                <w:rFonts w:eastAsia="Verdana" w:asciiTheme="minorHAnsi" w:hAnsiTheme="minorHAnsi"/>
                <w:b/>
                <w:bCs/>
                <w:color w:val="000000"/>
                <w:sz w:val="20"/>
                <w:szCs w:val="20"/>
              </w:rPr>
              <w:t>landen</w:t>
            </w:r>
            <w:proofErr w:type="spellEnd"/>
          </w:p>
        </w:tc>
      </w:tr>
      <w:tr w:rsidRPr="00363301" w:rsidR="004C5D75" w:rsidTr="007159E0" w14:paraId="6ED8775E" w14:textId="77777777">
        <w:trPr>
          <w:trHeight w:val="936"/>
        </w:trPr>
        <w:tc>
          <w:tcPr>
            <w:tcW w:w="1413" w:type="dxa"/>
            <w:hideMark/>
          </w:tcPr>
          <w:p w:rsidRPr="00363301" w:rsidR="004C5D75" w:rsidP="007159E0" w:rsidRDefault="004C5D75" w14:paraId="417D3557"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559" w:type="dxa"/>
            <w:hideMark/>
          </w:tcPr>
          <w:p w:rsidRPr="00363301" w:rsidR="004C5D75" w:rsidP="007159E0" w:rsidRDefault="004C5D75" w14:paraId="7B7419CD"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843" w:type="dxa"/>
            <w:hideMark/>
          </w:tcPr>
          <w:p w:rsidRPr="00363301" w:rsidR="004C5D75" w:rsidP="007159E0" w:rsidRDefault="004C5D75" w14:paraId="300ECD74"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2126" w:type="dxa"/>
            <w:hideMark/>
          </w:tcPr>
          <w:p w:rsidRPr="00363301" w:rsidR="004C5D75" w:rsidP="007159E0" w:rsidRDefault="004C5D75" w14:paraId="42EC97E8"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701" w:type="dxa"/>
          </w:tcPr>
          <w:p w:rsidRPr="00363301" w:rsidR="004C5D75" w:rsidP="007159E0" w:rsidRDefault="004C5D75" w14:paraId="098C850A" w14:textId="77777777">
            <w:pPr>
              <w:rPr>
                <w:rFonts w:eastAsia="Verdana" w:asciiTheme="minorHAnsi" w:hAnsiTheme="minorHAnsi"/>
                <w:color w:val="000000"/>
                <w:sz w:val="20"/>
                <w:szCs w:val="20"/>
              </w:rPr>
            </w:pPr>
          </w:p>
        </w:tc>
      </w:tr>
      <w:tr w:rsidRPr="00363301" w:rsidR="004C5D75" w:rsidTr="007159E0" w14:paraId="404B92F0" w14:textId="77777777">
        <w:trPr>
          <w:trHeight w:val="1248"/>
        </w:trPr>
        <w:tc>
          <w:tcPr>
            <w:tcW w:w="1413" w:type="dxa"/>
            <w:hideMark/>
          </w:tcPr>
          <w:p w:rsidRPr="00363301" w:rsidR="004C5D75" w:rsidP="007159E0" w:rsidRDefault="004C5D75" w14:paraId="01684DD5"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559" w:type="dxa"/>
            <w:hideMark/>
          </w:tcPr>
          <w:p w:rsidRPr="00363301" w:rsidR="004C5D75" w:rsidP="007159E0" w:rsidRDefault="004C5D75" w14:paraId="197EA173"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843" w:type="dxa"/>
            <w:hideMark/>
          </w:tcPr>
          <w:p w:rsidRPr="00363301" w:rsidR="004C5D75" w:rsidP="007159E0" w:rsidRDefault="004C5D75" w14:paraId="2A046DAE"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2126" w:type="dxa"/>
            <w:hideMark/>
          </w:tcPr>
          <w:p w:rsidRPr="00363301" w:rsidR="004C5D75" w:rsidP="007159E0" w:rsidRDefault="004C5D75" w14:paraId="06F07455"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701" w:type="dxa"/>
          </w:tcPr>
          <w:p w:rsidRPr="00363301" w:rsidR="004C5D75" w:rsidP="007159E0" w:rsidRDefault="004C5D75" w14:paraId="51ABA0FB" w14:textId="77777777">
            <w:pPr>
              <w:rPr>
                <w:rFonts w:eastAsia="Verdana" w:asciiTheme="minorHAnsi" w:hAnsiTheme="minorHAnsi"/>
                <w:color w:val="000000"/>
                <w:sz w:val="20"/>
                <w:szCs w:val="20"/>
              </w:rPr>
            </w:pPr>
          </w:p>
        </w:tc>
      </w:tr>
      <w:bookmarkEnd w:id="16"/>
    </w:tbl>
    <w:p w:rsidRPr="00363301" w:rsidR="004C5D75" w:rsidP="004C5D75" w:rsidRDefault="004C5D75" w14:paraId="2E50E9F0" w14:textId="77777777">
      <w:pPr>
        <w:rPr>
          <w:rFonts w:eastAsia="Verdana" w:asciiTheme="minorHAnsi" w:hAnsiTheme="minorHAnsi"/>
          <w:color w:val="000000"/>
          <w:sz w:val="20"/>
          <w:szCs w:val="20"/>
        </w:rPr>
      </w:pPr>
    </w:p>
    <w:p w:rsidRPr="00363301" w:rsidR="004C5D75" w:rsidP="004C5D75" w:rsidRDefault="004C5D75" w14:paraId="712B737A" w14:textId="77777777">
      <w:pPr>
        <w:pStyle w:val="Lijstalinea"/>
        <w:widowControl/>
        <w:numPr>
          <w:ilvl w:val="0"/>
          <w:numId w:val="4"/>
        </w:numPr>
        <w:tabs>
          <w:tab w:val="left" w:pos="397"/>
          <w:tab w:val="left" w:pos="936"/>
        </w:tabs>
        <w:autoSpaceDE/>
        <w:autoSpaceDN/>
        <w:spacing w:before="0" w:after="120"/>
        <w:ind w:left="360"/>
        <w:textAlignment w:val="baseline"/>
        <w:rPr>
          <w:rFonts w:eastAsia="Verdana" w:asciiTheme="minorHAnsi" w:hAnsiTheme="minorHAnsi"/>
          <w:b/>
          <w:color w:val="000000"/>
          <w:sz w:val="20"/>
          <w:szCs w:val="20"/>
        </w:rPr>
      </w:pPr>
      <w:r w:rsidRPr="00363301">
        <w:rPr>
          <w:rFonts w:eastAsia="Verdana" w:asciiTheme="minorHAnsi"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363301" w:rsidR="004C5D75" w:rsidTr="2607FE54" w14:paraId="0C4FE0DF" w14:textId="77777777">
        <w:trPr>
          <w:trHeight w:val="664"/>
        </w:trPr>
        <w:tc>
          <w:tcPr>
            <w:tcW w:w="4106" w:type="dxa"/>
            <w:tcMar/>
            <w:hideMark/>
          </w:tcPr>
          <w:p w:rsidRPr="00363301" w:rsidR="004C5D75" w:rsidP="007159E0" w:rsidRDefault="004C5D75" w14:paraId="2AFA009D" w14:textId="77777777">
            <w:pPr>
              <w:ind w:left="-113"/>
              <w:rPr>
                <w:rFonts w:eastAsia="Verdana" w:asciiTheme="minorHAnsi" w:hAnsiTheme="minorHAnsi"/>
                <w:b/>
                <w:bCs/>
                <w:color w:val="000000"/>
                <w:sz w:val="20"/>
                <w:szCs w:val="20"/>
              </w:rPr>
            </w:pPr>
            <w:proofErr w:type="spellStart"/>
            <w:r w:rsidRPr="00363301">
              <w:rPr>
                <w:rFonts w:eastAsia="Verdana" w:asciiTheme="minorHAnsi" w:hAnsiTheme="minorHAnsi"/>
                <w:b/>
                <w:color w:val="000000"/>
                <w:sz w:val="20"/>
                <w:szCs w:val="20"/>
              </w:rPr>
              <w:t>Contactpersoon</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Verwerkingsverantwoordelijke</w:t>
            </w:r>
            <w:proofErr w:type="spellEnd"/>
            <w:r w:rsidRPr="00363301">
              <w:rPr>
                <w:rFonts w:eastAsia="Verdana" w:asciiTheme="minorHAnsi" w:hAnsiTheme="minorHAnsi"/>
                <w:b/>
                <w:color w:val="000000"/>
                <w:sz w:val="20"/>
                <w:szCs w:val="20"/>
              </w:rPr>
              <w:t xml:space="preserve"> (NB: Ook </w:t>
            </w:r>
            <w:proofErr w:type="spellStart"/>
            <w:r w:rsidRPr="00363301">
              <w:rPr>
                <w:rFonts w:eastAsia="Verdana" w:asciiTheme="minorHAnsi" w:hAnsiTheme="minorHAnsi"/>
                <w:b/>
                <w:color w:val="000000"/>
                <w:sz w:val="20"/>
                <w:szCs w:val="20"/>
              </w:rPr>
              <w:t>buiten</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kantooruren</w:t>
            </w:r>
            <w:proofErr w:type="spellEnd"/>
            <w:r w:rsidRPr="00363301">
              <w:rPr>
                <w:rFonts w:eastAsia="Verdana" w:asciiTheme="minorHAnsi" w:hAnsiTheme="minorHAnsi"/>
                <w:b/>
                <w:color w:val="000000"/>
                <w:sz w:val="20"/>
                <w:szCs w:val="20"/>
              </w:rPr>
              <w:t>)</w:t>
            </w:r>
          </w:p>
        </w:tc>
        <w:tc>
          <w:tcPr>
            <w:tcW w:w="4536" w:type="dxa"/>
            <w:tcMar/>
            <w:hideMark/>
          </w:tcPr>
          <w:p w:rsidRPr="00363301" w:rsidR="004C5D75" w:rsidP="007159E0" w:rsidRDefault="004C5D75" w14:paraId="53F65316" w14:textId="77777777">
            <w:pPr>
              <w:ind w:left="-113"/>
              <w:rPr>
                <w:rFonts w:eastAsia="Verdana" w:asciiTheme="minorHAnsi" w:hAnsiTheme="minorHAnsi"/>
                <w:color w:val="000000"/>
                <w:sz w:val="20"/>
                <w:szCs w:val="20"/>
              </w:rPr>
            </w:pPr>
            <w:r w:rsidRPr="00363301">
              <w:rPr>
                <w:rFonts w:eastAsia="Verdana" w:asciiTheme="minorHAnsi" w:hAnsiTheme="minorHAnsi"/>
                <w:color w:val="000000"/>
                <w:sz w:val="20"/>
                <w:szCs w:val="20"/>
              </w:rPr>
              <w:t>Naam:</w:t>
            </w:r>
          </w:p>
          <w:p w:rsidRPr="00363301" w:rsidR="004C5D75" w:rsidP="007159E0" w:rsidRDefault="004C5D75" w14:paraId="2BDE5AD8" w14:textId="77777777">
            <w:pPr>
              <w:ind w:left="-113"/>
              <w:rPr>
                <w:rFonts w:eastAsia="Verdana" w:asciiTheme="minorHAnsi" w:hAnsiTheme="minorHAnsi"/>
                <w:bCs/>
                <w:color w:val="000000"/>
                <w:sz w:val="20"/>
                <w:szCs w:val="20"/>
              </w:rPr>
            </w:pPr>
            <w:proofErr w:type="spellStart"/>
            <w:r w:rsidRPr="00363301">
              <w:rPr>
                <w:rFonts w:eastAsia="Verdana" w:asciiTheme="minorHAnsi" w:hAnsiTheme="minorHAnsi"/>
                <w:bCs/>
                <w:color w:val="000000"/>
                <w:sz w:val="20"/>
                <w:szCs w:val="20"/>
              </w:rPr>
              <w:t>Contactgegevens</w:t>
            </w:r>
            <w:proofErr w:type="spellEnd"/>
            <w:r w:rsidRPr="00363301">
              <w:rPr>
                <w:rFonts w:eastAsia="Verdana" w:asciiTheme="minorHAnsi" w:hAnsiTheme="minorHAnsi"/>
                <w:bCs/>
                <w:color w:val="000000"/>
                <w:sz w:val="20"/>
                <w:szCs w:val="20"/>
              </w:rPr>
              <w:t>:</w:t>
            </w:r>
          </w:p>
        </w:tc>
      </w:tr>
      <w:tr w:rsidRPr="00363301" w:rsidR="004C5D75" w:rsidTr="2607FE54" w14:paraId="6B114192" w14:textId="77777777">
        <w:trPr>
          <w:trHeight w:val="634"/>
        </w:trPr>
        <w:tc>
          <w:tcPr>
            <w:tcW w:w="4106" w:type="dxa"/>
            <w:tcMar/>
          </w:tcPr>
          <w:p w:rsidRPr="00363301" w:rsidR="004C5D75" w:rsidP="007159E0" w:rsidRDefault="004C5D75" w14:paraId="6F727AAA" w14:textId="77777777">
            <w:pPr>
              <w:ind w:left="-113"/>
              <w:rPr>
                <w:rFonts w:eastAsia="Verdana" w:asciiTheme="minorHAnsi" w:hAnsiTheme="minorHAnsi"/>
                <w:b/>
                <w:color w:val="000000"/>
                <w:sz w:val="20"/>
                <w:szCs w:val="20"/>
              </w:rPr>
            </w:pPr>
            <w:proofErr w:type="spellStart"/>
            <w:r w:rsidRPr="00363301">
              <w:rPr>
                <w:rFonts w:eastAsia="Verdana" w:asciiTheme="minorHAnsi" w:hAnsiTheme="minorHAnsi"/>
                <w:b/>
                <w:color w:val="000000"/>
                <w:sz w:val="20"/>
                <w:szCs w:val="20"/>
              </w:rPr>
              <w:t>Contactpersoon</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Verwerker</w:t>
            </w:r>
            <w:proofErr w:type="spellEnd"/>
            <w:r w:rsidRPr="00363301">
              <w:rPr>
                <w:rFonts w:eastAsia="Verdana" w:asciiTheme="minorHAnsi" w:hAnsiTheme="minorHAnsi"/>
                <w:b/>
                <w:color w:val="000000"/>
                <w:sz w:val="20"/>
                <w:szCs w:val="20"/>
              </w:rPr>
              <w:t xml:space="preserve"> (NB: Ook </w:t>
            </w:r>
            <w:proofErr w:type="spellStart"/>
            <w:r w:rsidRPr="00363301">
              <w:rPr>
                <w:rFonts w:eastAsia="Verdana" w:asciiTheme="minorHAnsi" w:hAnsiTheme="minorHAnsi"/>
                <w:b/>
                <w:color w:val="000000"/>
                <w:sz w:val="20"/>
                <w:szCs w:val="20"/>
              </w:rPr>
              <w:t>buiten</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kantooruren</w:t>
            </w:r>
            <w:proofErr w:type="spellEnd"/>
            <w:r w:rsidRPr="00363301">
              <w:rPr>
                <w:rFonts w:eastAsia="Verdana" w:asciiTheme="minorHAnsi" w:hAnsiTheme="minorHAnsi"/>
                <w:b/>
                <w:color w:val="000000"/>
                <w:sz w:val="20"/>
                <w:szCs w:val="20"/>
              </w:rPr>
              <w:t>)</w:t>
            </w:r>
          </w:p>
        </w:tc>
        <w:tc>
          <w:tcPr>
            <w:tcW w:w="4536" w:type="dxa"/>
            <w:tcMar/>
          </w:tcPr>
          <w:p w:rsidRPr="00363301" w:rsidR="004C5D75" w:rsidP="007159E0" w:rsidRDefault="004C5D75" w14:paraId="15D8B9AE" w14:textId="77777777">
            <w:pPr>
              <w:ind w:left="-113"/>
              <w:rPr>
                <w:rFonts w:eastAsia="Verdana" w:asciiTheme="minorHAnsi" w:hAnsiTheme="minorHAnsi"/>
                <w:color w:val="000000"/>
                <w:sz w:val="20"/>
                <w:szCs w:val="20"/>
              </w:rPr>
            </w:pPr>
            <w:r w:rsidRPr="00363301">
              <w:rPr>
                <w:rFonts w:eastAsia="Verdana" w:asciiTheme="minorHAnsi" w:hAnsiTheme="minorHAnsi"/>
                <w:color w:val="000000"/>
                <w:sz w:val="20"/>
                <w:szCs w:val="20"/>
              </w:rPr>
              <w:t>Naam:</w:t>
            </w:r>
          </w:p>
          <w:p w:rsidRPr="00363301" w:rsidR="004C5D75" w:rsidP="007159E0" w:rsidRDefault="004C5D75" w14:paraId="36580DAC" w14:textId="77777777">
            <w:pPr>
              <w:ind w:left="-113"/>
              <w:rPr>
                <w:rFonts w:eastAsia="Verdana" w:asciiTheme="minorHAnsi" w:hAnsiTheme="minorHAnsi"/>
                <w:color w:val="000000"/>
                <w:sz w:val="20"/>
                <w:szCs w:val="20"/>
              </w:rPr>
            </w:pPr>
            <w:proofErr w:type="spellStart"/>
            <w:r w:rsidRPr="00363301">
              <w:rPr>
                <w:rFonts w:eastAsia="Verdana" w:asciiTheme="minorHAnsi" w:hAnsiTheme="minorHAnsi"/>
                <w:bCs/>
                <w:color w:val="000000"/>
                <w:sz w:val="20"/>
                <w:szCs w:val="20"/>
              </w:rPr>
              <w:t>Contactgegevens</w:t>
            </w:r>
            <w:proofErr w:type="spellEnd"/>
            <w:r w:rsidRPr="00363301">
              <w:rPr>
                <w:rFonts w:eastAsia="Verdana" w:asciiTheme="minorHAnsi" w:hAnsiTheme="minorHAnsi"/>
                <w:bCs/>
                <w:color w:val="000000"/>
                <w:sz w:val="20"/>
                <w:szCs w:val="20"/>
              </w:rPr>
              <w:t>:</w:t>
            </w:r>
            <w:r w:rsidRPr="00363301">
              <w:rPr>
                <w:rFonts w:eastAsia="Verdana" w:asciiTheme="minorHAnsi" w:hAnsiTheme="minorHAnsi"/>
                <w:color w:val="000000"/>
                <w:sz w:val="20"/>
                <w:szCs w:val="20"/>
              </w:rPr>
              <w:t xml:space="preserve">  </w:t>
            </w:r>
          </w:p>
        </w:tc>
      </w:tr>
    </w:tbl>
    <w:p w:rsidR="2607FE54" w:rsidRDefault="2607FE54" w14:paraId="5968C04A" w14:textId="268BD28A"/>
    <w:p w:rsidRPr="00363301" w:rsidR="004C5D75" w:rsidP="004C5D75" w:rsidRDefault="004C5D75" w14:paraId="596A5A61" w14:textId="77777777">
      <w:pPr>
        <w:rPr>
          <w:rFonts w:eastAsia="Verdana" w:asciiTheme="minorHAnsi" w:hAnsiTheme="minorHAnsi"/>
          <w:color w:val="000000"/>
          <w:sz w:val="20"/>
          <w:szCs w:val="20"/>
        </w:rPr>
      </w:pPr>
    </w:p>
    <w:p w:rsidRPr="00363301" w:rsidR="004C5D75" w:rsidP="004C5D75" w:rsidRDefault="004C5D75" w14:paraId="601A11B4"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NB: Eventuele wijzigingen in bovenstaande tabellen geven partijen op korte termijn aan elkaar door.</w:t>
      </w:r>
    </w:p>
    <w:p w:rsidRPr="00363301" w:rsidR="004C5D75" w:rsidP="004C5D75" w:rsidRDefault="004C5D75" w14:paraId="632617C1" w14:textId="77777777">
      <w:pPr>
        <w:rPr>
          <w:rFonts w:eastAsia="Verdana" w:asciiTheme="minorHAnsi" w:hAnsiTheme="minorHAnsi"/>
          <w:color w:val="000000"/>
          <w:sz w:val="20"/>
          <w:szCs w:val="20"/>
        </w:rPr>
      </w:pPr>
    </w:p>
    <w:p w:rsidRPr="00363301" w:rsidR="004C5D75" w:rsidP="004C5D75" w:rsidRDefault="004C5D75" w14:paraId="476A407F" w14:textId="77777777">
      <w:pPr>
        <w:pStyle w:val="Lijstalinea"/>
        <w:widowControl/>
        <w:numPr>
          <w:ilvl w:val="0"/>
          <w:numId w:val="4"/>
        </w:numPr>
        <w:tabs>
          <w:tab w:val="left" w:pos="397"/>
        </w:tabs>
        <w:autoSpaceDE/>
        <w:autoSpaceDN/>
        <w:spacing w:before="0" w:after="120"/>
        <w:ind w:left="360"/>
        <w:rPr>
          <w:rFonts w:eastAsia="Verdana" w:asciiTheme="minorHAnsi" w:hAnsiTheme="minorHAnsi"/>
          <w:sz w:val="20"/>
          <w:szCs w:val="20"/>
        </w:rPr>
      </w:pPr>
      <w:r w:rsidRPr="00363301">
        <w:rPr>
          <w:rFonts w:eastAsia="Verdana" w:asciiTheme="minorHAnsi" w:hAnsiTheme="minorHAnsi"/>
          <w:b/>
          <w:sz w:val="20"/>
          <w:szCs w:val="20"/>
        </w:rPr>
        <w:t xml:space="preserve">Ingeschakelde </w:t>
      </w:r>
      <w:proofErr w:type="spellStart"/>
      <w:r w:rsidRPr="00363301">
        <w:rPr>
          <w:rFonts w:eastAsia="Verdana" w:asciiTheme="minorHAnsi"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Pr="00363301" w:rsidR="004C5D75" w:rsidTr="007159E0" w14:paraId="54D68E60" w14:textId="77777777">
        <w:tc>
          <w:tcPr>
            <w:tcW w:w="3019" w:type="dxa"/>
          </w:tcPr>
          <w:p w:rsidRPr="00363301" w:rsidR="004C5D75" w:rsidP="007159E0" w:rsidRDefault="004C5D75" w14:paraId="52392BDE"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 xml:space="preserve">Naam en </w:t>
            </w:r>
            <w:proofErr w:type="spellStart"/>
            <w:r w:rsidRPr="00363301">
              <w:rPr>
                <w:rFonts w:eastAsia="Verdana" w:asciiTheme="minorHAnsi" w:hAnsiTheme="minorHAnsi"/>
                <w:b/>
                <w:color w:val="000000"/>
                <w:sz w:val="20"/>
                <w:szCs w:val="20"/>
              </w:rPr>
              <w:t>contactgegevens</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subverwerker</w:t>
            </w:r>
            <w:proofErr w:type="spellEnd"/>
          </w:p>
        </w:tc>
        <w:tc>
          <w:tcPr>
            <w:tcW w:w="1644" w:type="dxa"/>
          </w:tcPr>
          <w:p w:rsidRPr="00363301" w:rsidR="004C5D75" w:rsidP="007159E0" w:rsidRDefault="004C5D75" w14:paraId="7654B46B" w14:textId="77777777">
            <w:pPr>
              <w:ind w:left="-113"/>
              <w:rPr>
                <w:rFonts w:eastAsia="Verdana" w:asciiTheme="minorHAnsi" w:hAnsiTheme="minorHAnsi"/>
                <w:b/>
                <w:color w:val="000000"/>
                <w:sz w:val="20"/>
                <w:szCs w:val="20"/>
              </w:rPr>
            </w:pPr>
            <w:proofErr w:type="spellStart"/>
            <w:r w:rsidRPr="00363301">
              <w:rPr>
                <w:rFonts w:eastAsia="Verdana" w:asciiTheme="minorHAnsi" w:hAnsiTheme="minorHAnsi"/>
                <w:b/>
                <w:color w:val="000000"/>
                <w:sz w:val="20"/>
                <w:szCs w:val="20"/>
              </w:rPr>
              <w:t>KvK-nummer</w:t>
            </w:r>
            <w:proofErr w:type="spellEnd"/>
          </w:p>
        </w:tc>
        <w:tc>
          <w:tcPr>
            <w:tcW w:w="2136" w:type="dxa"/>
          </w:tcPr>
          <w:p w:rsidRPr="00363301" w:rsidR="004C5D75" w:rsidP="007159E0" w:rsidRDefault="004C5D75" w14:paraId="2A9A65BB" w14:textId="77777777">
            <w:pPr>
              <w:ind w:left="-113"/>
              <w:rPr>
                <w:rFonts w:eastAsia="Verdana" w:asciiTheme="minorHAnsi" w:hAnsiTheme="minorHAnsi"/>
                <w:b/>
                <w:color w:val="000000"/>
                <w:sz w:val="20"/>
                <w:szCs w:val="20"/>
              </w:rPr>
            </w:pPr>
            <w:proofErr w:type="spellStart"/>
            <w:r w:rsidRPr="00363301">
              <w:rPr>
                <w:rFonts w:eastAsia="Verdana" w:asciiTheme="minorHAnsi" w:hAnsiTheme="minorHAnsi"/>
                <w:b/>
                <w:color w:val="000000"/>
                <w:sz w:val="20"/>
                <w:szCs w:val="20"/>
              </w:rPr>
              <w:t>Uitbestede</w:t>
            </w:r>
            <w:proofErr w:type="spellEnd"/>
            <w:r w:rsidRPr="00363301">
              <w:rPr>
                <w:rFonts w:eastAsia="Verdana" w:asciiTheme="minorHAnsi" w:hAnsiTheme="minorHAnsi"/>
                <w:b/>
                <w:color w:val="000000"/>
                <w:sz w:val="20"/>
                <w:szCs w:val="20"/>
              </w:rPr>
              <w:t xml:space="preserve"> </w:t>
            </w:r>
            <w:proofErr w:type="spellStart"/>
            <w:r w:rsidRPr="00363301">
              <w:rPr>
                <w:rFonts w:eastAsia="Verdana" w:asciiTheme="minorHAnsi" w:hAnsiTheme="minorHAnsi"/>
                <w:b/>
                <w:color w:val="000000"/>
                <w:sz w:val="20"/>
                <w:szCs w:val="20"/>
              </w:rPr>
              <w:t>verwerkingen</w:t>
            </w:r>
            <w:proofErr w:type="spellEnd"/>
          </w:p>
        </w:tc>
        <w:tc>
          <w:tcPr>
            <w:tcW w:w="1843" w:type="dxa"/>
          </w:tcPr>
          <w:p w:rsidRPr="00363301" w:rsidR="004C5D75" w:rsidP="007159E0" w:rsidRDefault="004C5D75" w14:paraId="003D9054" w14:textId="77777777">
            <w:pPr>
              <w:ind w:left="-113"/>
              <w:rPr>
                <w:rFonts w:eastAsia="Verdana" w:asciiTheme="minorHAnsi" w:hAnsiTheme="minorHAnsi"/>
                <w:b/>
                <w:color w:val="000000"/>
                <w:sz w:val="20"/>
                <w:szCs w:val="20"/>
              </w:rPr>
            </w:pPr>
            <w:proofErr w:type="spellStart"/>
            <w:r w:rsidRPr="00363301">
              <w:rPr>
                <w:rFonts w:eastAsia="Verdana" w:asciiTheme="minorHAnsi" w:hAnsiTheme="minorHAnsi"/>
                <w:b/>
                <w:color w:val="000000"/>
                <w:sz w:val="20"/>
                <w:szCs w:val="20"/>
              </w:rPr>
              <w:t>Toepassing</w:t>
            </w:r>
            <w:proofErr w:type="spellEnd"/>
          </w:p>
        </w:tc>
      </w:tr>
      <w:tr w:rsidRPr="00363301" w:rsidR="004C5D75" w:rsidTr="007159E0" w14:paraId="4D179188" w14:textId="77777777">
        <w:tc>
          <w:tcPr>
            <w:tcW w:w="3019" w:type="dxa"/>
          </w:tcPr>
          <w:p w:rsidRPr="00363301" w:rsidR="004C5D75" w:rsidP="007159E0" w:rsidRDefault="004C5D75" w14:paraId="4620EAFE" w14:textId="77777777">
            <w:pPr>
              <w:rPr>
                <w:rFonts w:eastAsia="Verdana" w:asciiTheme="minorHAnsi" w:hAnsiTheme="minorHAnsi"/>
                <w:color w:val="000000"/>
                <w:sz w:val="20"/>
                <w:szCs w:val="20"/>
              </w:rPr>
            </w:pPr>
          </w:p>
        </w:tc>
        <w:tc>
          <w:tcPr>
            <w:tcW w:w="1644" w:type="dxa"/>
          </w:tcPr>
          <w:p w:rsidRPr="00363301" w:rsidR="004C5D75" w:rsidP="007159E0" w:rsidRDefault="004C5D75" w14:paraId="77E3ECA2" w14:textId="77777777">
            <w:pPr>
              <w:rPr>
                <w:rFonts w:eastAsia="Verdana" w:asciiTheme="minorHAnsi" w:hAnsiTheme="minorHAnsi"/>
                <w:color w:val="000000"/>
                <w:sz w:val="20"/>
                <w:szCs w:val="20"/>
              </w:rPr>
            </w:pPr>
          </w:p>
        </w:tc>
        <w:tc>
          <w:tcPr>
            <w:tcW w:w="2136" w:type="dxa"/>
          </w:tcPr>
          <w:p w:rsidRPr="00363301" w:rsidR="004C5D75" w:rsidP="007159E0" w:rsidRDefault="004C5D75" w14:paraId="7DFA054C" w14:textId="77777777">
            <w:pPr>
              <w:rPr>
                <w:rFonts w:eastAsia="Verdana" w:asciiTheme="minorHAnsi" w:hAnsiTheme="minorHAnsi"/>
                <w:color w:val="000000"/>
                <w:sz w:val="20"/>
                <w:szCs w:val="20"/>
              </w:rPr>
            </w:pPr>
          </w:p>
        </w:tc>
        <w:tc>
          <w:tcPr>
            <w:tcW w:w="1843" w:type="dxa"/>
          </w:tcPr>
          <w:p w:rsidRPr="00363301" w:rsidR="004C5D75" w:rsidP="007159E0" w:rsidRDefault="004C5D75" w14:paraId="7BAA3DF3" w14:textId="77777777">
            <w:pPr>
              <w:rPr>
                <w:rFonts w:eastAsia="Verdana" w:asciiTheme="minorHAnsi" w:hAnsiTheme="minorHAnsi"/>
                <w:color w:val="000000"/>
                <w:sz w:val="20"/>
                <w:szCs w:val="20"/>
              </w:rPr>
            </w:pPr>
          </w:p>
        </w:tc>
      </w:tr>
      <w:tr w:rsidRPr="00363301" w:rsidR="004C5D75" w:rsidTr="007159E0" w14:paraId="3155F4AE" w14:textId="77777777">
        <w:tc>
          <w:tcPr>
            <w:tcW w:w="3019" w:type="dxa"/>
          </w:tcPr>
          <w:p w:rsidRPr="00363301" w:rsidR="004C5D75" w:rsidP="007159E0" w:rsidRDefault="004C5D75" w14:paraId="1C36EACC" w14:textId="77777777">
            <w:pPr>
              <w:rPr>
                <w:rFonts w:eastAsia="Verdana" w:asciiTheme="minorHAnsi" w:hAnsiTheme="minorHAnsi"/>
                <w:color w:val="000000"/>
                <w:sz w:val="20"/>
                <w:szCs w:val="20"/>
              </w:rPr>
            </w:pPr>
          </w:p>
        </w:tc>
        <w:tc>
          <w:tcPr>
            <w:tcW w:w="1644" w:type="dxa"/>
          </w:tcPr>
          <w:p w:rsidRPr="00363301" w:rsidR="004C5D75" w:rsidP="007159E0" w:rsidRDefault="004C5D75" w14:paraId="01DA462A" w14:textId="77777777">
            <w:pPr>
              <w:rPr>
                <w:rFonts w:eastAsia="Verdana" w:asciiTheme="minorHAnsi" w:hAnsiTheme="minorHAnsi"/>
                <w:color w:val="000000"/>
                <w:sz w:val="20"/>
                <w:szCs w:val="20"/>
              </w:rPr>
            </w:pPr>
          </w:p>
        </w:tc>
        <w:tc>
          <w:tcPr>
            <w:tcW w:w="2136" w:type="dxa"/>
          </w:tcPr>
          <w:p w:rsidRPr="00363301" w:rsidR="004C5D75" w:rsidP="007159E0" w:rsidRDefault="004C5D75" w14:paraId="2DC2799F" w14:textId="77777777">
            <w:pPr>
              <w:rPr>
                <w:rFonts w:eastAsia="Verdana" w:asciiTheme="minorHAnsi" w:hAnsiTheme="minorHAnsi"/>
                <w:color w:val="000000"/>
                <w:sz w:val="20"/>
                <w:szCs w:val="20"/>
              </w:rPr>
            </w:pPr>
          </w:p>
        </w:tc>
        <w:tc>
          <w:tcPr>
            <w:tcW w:w="1843" w:type="dxa"/>
          </w:tcPr>
          <w:p w:rsidRPr="00363301" w:rsidR="004C5D75" w:rsidP="007159E0" w:rsidRDefault="004C5D75" w14:paraId="18C0A3BB" w14:textId="77777777">
            <w:pPr>
              <w:rPr>
                <w:rFonts w:eastAsia="Verdana" w:asciiTheme="minorHAnsi" w:hAnsiTheme="minorHAnsi"/>
                <w:color w:val="000000"/>
                <w:sz w:val="20"/>
                <w:szCs w:val="20"/>
              </w:rPr>
            </w:pPr>
          </w:p>
        </w:tc>
      </w:tr>
      <w:tr w:rsidRPr="00363301" w:rsidR="004C5D75" w:rsidTr="007159E0" w14:paraId="559E67C0" w14:textId="77777777">
        <w:tc>
          <w:tcPr>
            <w:tcW w:w="3019" w:type="dxa"/>
          </w:tcPr>
          <w:p w:rsidRPr="00363301" w:rsidR="004C5D75" w:rsidP="007159E0" w:rsidRDefault="004C5D75" w14:paraId="49989672" w14:textId="77777777">
            <w:pPr>
              <w:rPr>
                <w:rFonts w:eastAsia="Verdana" w:asciiTheme="minorHAnsi" w:hAnsiTheme="minorHAnsi"/>
                <w:color w:val="000000"/>
                <w:sz w:val="20"/>
                <w:szCs w:val="20"/>
              </w:rPr>
            </w:pPr>
          </w:p>
        </w:tc>
        <w:tc>
          <w:tcPr>
            <w:tcW w:w="1644" w:type="dxa"/>
          </w:tcPr>
          <w:p w:rsidRPr="00363301" w:rsidR="004C5D75" w:rsidP="007159E0" w:rsidRDefault="004C5D75" w14:paraId="7DD06814" w14:textId="77777777">
            <w:pPr>
              <w:rPr>
                <w:rFonts w:eastAsia="Verdana" w:asciiTheme="minorHAnsi" w:hAnsiTheme="minorHAnsi"/>
                <w:color w:val="000000"/>
                <w:sz w:val="20"/>
                <w:szCs w:val="20"/>
              </w:rPr>
            </w:pPr>
          </w:p>
        </w:tc>
        <w:tc>
          <w:tcPr>
            <w:tcW w:w="2136" w:type="dxa"/>
          </w:tcPr>
          <w:p w:rsidRPr="00363301" w:rsidR="004C5D75" w:rsidP="007159E0" w:rsidRDefault="004C5D75" w14:paraId="3F35D136" w14:textId="77777777">
            <w:pPr>
              <w:rPr>
                <w:rFonts w:eastAsia="Verdana" w:asciiTheme="minorHAnsi" w:hAnsiTheme="minorHAnsi"/>
                <w:color w:val="000000"/>
                <w:sz w:val="20"/>
                <w:szCs w:val="20"/>
              </w:rPr>
            </w:pPr>
          </w:p>
        </w:tc>
        <w:tc>
          <w:tcPr>
            <w:tcW w:w="1843" w:type="dxa"/>
          </w:tcPr>
          <w:p w:rsidRPr="00363301" w:rsidR="004C5D75" w:rsidP="007159E0" w:rsidRDefault="004C5D75" w14:paraId="0EA7C788" w14:textId="77777777">
            <w:pPr>
              <w:rPr>
                <w:rFonts w:eastAsia="Verdana" w:asciiTheme="minorHAnsi" w:hAnsiTheme="minorHAnsi"/>
                <w:color w:val="000000"/>
                <w:sz w:val="20"/>
                <w:szCs w:val="20"/>
              </w:rPr>
            </w:pPr>
          </w:p>
        </w:tc>
      </w:tr>
      <w:tr w:rsidRPr="00363301" w:rsidR="004C5D75" w:rsidTr="007159E0" w14:paraId="2EF22269" w14:textId="77777777">
        <w:tc>
          <w:tcPr>
            <w:tcW w:w="3019" w:type="dxa"/>
          </w:tcPr>
          <w:p w:rsidRPr="00363301" w:rsidR="004C5D75" w:rsidP="007159E0" w:rsidRDefault="004C5D75" w14:paraId="38FF0532" w14:textId="77777777">
            <w:pPr>
              <w:rPr>
                <w:rFonts w:eastAsia="Verdana" w:asciiTheme="minorHAnsi" w:hAnsiTheme="minorHAnsi"/>
                <w:color w:val="000000"/>
                <w:sz w:val="20"/>
                <w:szCs w:val="20"/>
              </w:rPr>
            </w:pPr>
          </w:p>
        </w:tc>
        <w:tc>
          <w:tcPr>
            <w:tcW w:w="1644" w:type="dxa"/>
          </w:tcPr>
          <w:p w:rsidRPr="00363301" w:rsidR="004C5D75" w:rsidP="007159E0" w:rsidRDefault="004C5D75" w14:paraId="2A771DD7" w14:textId="77777777">
            <w:pPr>
              <w:rPr>
                <w:rFonts w:eastAsia="Verdana" w:asciiTheme="minorHAnsi" w:hAnsiTheme="minorHAnsi"/>
                <w:color w:val="000000"/>
                <w:sz w:val="20"/>
                <w:szCs w:val="20"/>
              </w:rPr>
            </w:pPr>
          </w:p>
        </w:tc>
        <w:tc>
          <w:tcPr>
            <w:tcW w:w="2136" w:type="dxa"/>
          </w:tcPr>
          <w:p w:rsidRPr="00363301" w:rsidR="004C5D75" w:rsidP="007159E0" w:rsidRDefault="004C5D75" w14:paraId="36C0904E" w14:textId="77777777">
            <w:pPr>
              <w:rPr>
                <w:rFonts w:eastAsia="Verdana" w:asciiTheme="minorHAnsi" w:hAnsiTheme="minorHAnsi"/>
                <w:color w:val="000000"/>
                <w:sz w:val="20"/>
                <w:szCs w:val="20"/>
              </w:rPr>
            </w:pPr>
          </w:p>
        </w:tc>
        <w:tc>
          <w:tcPr>
            <w:tcW w:w="1843" w:type="dxa"/>
          </w:tcPr>
          <w:p w:rsidRPr="00363301" w:rsidR="004C5D75" w:rsidP="007159E0" w:rsidRDefault="004C5D75" w14:paraId="146CD9F4" w14:textId="77777777">
            <w:pPr>
              <w:rPr>
                <w:rFonts w:eastAsia="Verdana" w:asciiTheme="minorHAnsi" w:hAnsiTheme="minorHAnsi"/>
                <w:color w:val="000000"/>
                <w:sz w:val="20"/>
                <w:szCs w:val="20"/>
              </w:rPr>
            </w:pPr>
          </w:p>
        </w:tc>
      </w:tr>
    </w:tbl>
    <w:p w:rsidRPr="00363301" w:rsidR="004C5D75" w:rsidP="004C5D75" w:rsidRDefault="004C5D75" w14:paraId="1A1ED589" w14:textId="77777777">
      <w:pPr>
        <w:rPr>
          <w:rFonts w:eastAsia="Verdana" w:asciiTheme="minorHAnsi" w:hAnsiTheme="minorHAnsi"/>
          <w:color w:val="000000"/>
          <w:sz w:val="20"/>
          <w:szCs w:val="20"/>
        </w:rPr>
      </w:pPr>
    </w:p>
    <w:p w:rsidRPr="00363301" w:rsidR="004C5D75" w:rsidP="004C5D75" w:rsidRDefault="004C5D75" w14:paraId="2BF2B5DF" w14:textId="77777777">
      <w:pPr>
        <w:rPr>
          <w:rFonts w:eastAsia="Verdana" w:asciiTheme="minorHAnsi" w:hAnsiTheme="minorHAnsi"/>
          <w:color w:val="000000"/>
          <w:sz w:val="20"/>
          <w:szCs w:val="20"/>
        </w:rPr>
      </w:pPr>
    </w:p>
    <w:p w:rsidRPr="00363301" w:rsidR="004C5D75" w:rsidP="004C5D75" w:rsidRDefault="004C5D75" w14:paraId="19380255"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br w:type="page"/>
      </w:r>
    </w:p>
    <w:p w:rsidRPr="00363301" w:rsidR="004C5D75" w:rsidP="004C5D75" w:rsidRDefault="004C5D75" w14:paraId="14BE33F3" w14:textId="77777777">
      <w:pPr>
        <w:pStyle w:val="Kop2"/>
      </w:pPr>
      <w:bookmarkStart w:name="_Toc26885958" w:id="17"/>
      <w:r w:rsidRPr="00363301">
        <w:lastRenderedPageBreak/>
        <w:t xml:space="preserve">Bijlage 2: </w:t>
      </w:r>
      <w:bookmarkStart w:name="_Hlk37365793" w:id="18"/>
      <w:r w:rsidRPr="00363301">
        <w:t>Aantonen passend niveau van beveiliging</w:t>
      </w:r>
      <w:bookmarkEnd w:id="17"/>
      <w:bookmarkEnd w:id="18"/>
    </w:p>
    <w:p w:rsidRPr="00363301" w:rsidR="004C5D75" w:rsidP="004C5D75" w:rsidRDefault="004C5D75" w14:paraId="5FDBA62D" w14:textId="77777777">
      <w:pPr>
        <w:rPr>
          <w:rFonts w:asciiTheme="minorHAnsi" w:hAnsiTheme="minorHAnsi"/>
          <w:sz w:val="20"/>
          <w:szCs w:val="20"/>
        </w:rPr>
      </w:pPr>
    </w:p>
    <w:p w:rsidRPr="00363301" w:rsidR="004C5D75" w:rsidP="004C5D75" w:rsidRDefault="004C5D75" w14:paraId="0882EF55" w14:textId="77777777">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rsidR="004C5D75" w:rsidP="004C5D75" w:rsidRDefault="004C5D75" w14:paraId="22244155"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rsidRPr="00363301" w:rsidR="004C5D75" w:rsidP="004C5D75" w:rsidRDefault="004C5D75" w14:paraId="63EB2F38" w14:textId="7777777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Pr="00363301" w:rsidR="004C5D75" w:rsidP="004C5D75" w:rsidRDefault="004C5D75" w14:paraId="507F7346" w14:textId="77777777">
      <w:pPr>
        <w:pStyle w:val="Lijstalinea"/>
        <w:ind w:left="0" w:firstLine="0"/>
        <w:rPr>
          <w:rFonts w:asciiTheme="minorHAnsi" w:hAnsiTheme="minorHAnsi"/>
          <w:sz w:val="20"/>
          <w:szCs w:val="20"/>
        </w:rPr>
      </w:pPr>
    </w:p>
    <w:p w:rsidR="004C5D75" w:rsidP="004C5D75" w:rsidRDefault="004C5D75" w14:paraId="44762EE7"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Pr="00363301" w:rsidR="004C5D75" w:rsidP="004C5D75" w:rsidRDefault="004C5D75" w14:paraId="04F23208" w14:textId="77777777">
      <w:pPr>
        <w:pStyle w:val="Lijstalinea"/>
        <w:ind w:left="0" w:firstLine="0"/>
        <w:rPr>
          <w:rFonts w:asciiTheme="minorHAnsi" w:hAnsiTheme="minorHAnsi"/>
          <w:sz w:val="20"/>
          <w:szCs w:val="20"/>
        </w:rPr>
      </w:pPr>
    </w:p>
    <w:p w:rsidRPr="00363301" w:rsidR="004C5D75" w:rsidP="004C5D75" w:rsidRDefault="004C5D75" w14:paraId="5A7615C7"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4C5D75" w:rsidP="004C5D75" w:rsidRDefault="004C5D75" w14:paraId="7F2E47F5" w14:textId="77777777">
      <w:pPr>
        <w:pStyle w:val="Lijstalinea"/>
        <w:ind w:left="0" w:firstLine="0"/>
        <w:rPr>
          <w:rFonts w:asciiTheme="minorHAnsi" w:hAnsiTheme="minorHAnsi"/>
          <w:sz w:val="20"/>
          <w:szCs w:val="20"/>
        </w:rPr>
      </w:pPr>
    </w:p>
    <w:p w:rsidRPr="00363301" w:rsidR="004C5D75" w:rsidP="004C5D75" w:rsidRDefault="004C5D75" w14:paraId="2D8B8BF3" w14:textId="7777777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4C5D75" w:rsidP="004C5D75" w:rsidRDefault="004C5D75" w14:paraId="5D84AC30" w14:textId="77777777">
      <w:pPr>
        <w:pStyle w:val="Lijstalinea"/>
        <w:widowControl/>
        <w:tabs>
          <w:tab w:val="left" w:pos="397"/>
        </w:tabs>
        <w:autoSpaceDE/>
        <w:autoSpaceDN/>
        <w:spacing w:before="0"/>
        <w:ind w:left="0" w:firstLine="0"/>
        <w:rPr>
          <w:rFonts w:asciiTheme="minorHAnsi" w:hAnsiTheme="minorHAnsi"/>
          <w:sz w:val="20"/>
          <w:szCs w:val="20"/>
        </w:rPr>
      </w:pPr>
      <w:bookmarkStart w:name="_Hlk55238467" w:id="19"/>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Pr="00363301" w:rsidR="004C5D75" w:rsidP="004C5D75" w:rsidRDefault="004C5D75" w14:paraId="45CE8F25"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4C5D75" w:rsidP="004C5D75" w:rsidRDefault="004C5D75" w14:paraId="205652E3"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rsidRPr="00864332" w:rsidR="004C5D75" w:rsidP="004C5D75" w:rsidRDefault="004C5D75" w14:paraId="2AB69D24"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Pr="00864332" w:rsidR="004C5D75" w:rsidP="004C5D75" w:rsidRDefault="004C5D75" w14:paraId="3AB73D47"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Pr="00864332" w:rsidR="004C5D75" w:rsidP="004C5D75" w:rsidRDefault="004C5D75" w14:paraId="22B6A669"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rsidRPr="00623A80" w:rsidR="004C5D75" w:rsidP="004C5D75" w:rsidRDefault="004C5D75" w14:paraId="541AC6E9" w14:textId="77777777">
      <w:pPr>
        <w:rPr>
          <w:rFonts w:ascii="Calibri" w:hAnsi="Calibri" w:cs="Calibri"/>
          <w:sz w:val="20"/>
          <w:szCs w:val="20"/>
        </w:rPr>
      </w:pPr>
    </w:p>
    <w:p w:rsidRPr="00623A80" w:rsidR="004C5D75" w:rsidP="004C5D75" w:rsidRDefault="004C5D75" w14:paraId="224DBE66" w14:textId="77777777">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Pr="00623A80" w:rsidR="004C5D75" w:rsidP="004C5D75" w:rsidRDefault="004C5D75" w14:paraId="1B8E1C29" w14:textId="77777777">
      <w:pPr>
        <w:rPr>
          <w:rFonts w:ascii="Calibri" w:hAnsi="Calibri" w:cs="Calibri"/>
          <w:sz w:val="20"/>
          <w:szCs w:val="20"/>
        </w:rPr>
      </w:pPr>
    </w:p>
    <w:p w:rsidRPr="00623A80" w:rsidR="004C5D75" w:rsidP="004C5D75" w:rsidRDefault="004C5D75" w14:paraId="35DB00D9" w14:textId="77777777">
      <w:pPr>
        <w:rPr>
          <w:rFonts w:ascii="Calibri" w:hAnsi="Calibri" w:cs="Calibri"/>
          <w:sz w:val="20"/>
          <w:szCs w:val="20"/>
        </w:rPr>
      </w:pPr>
    </w:p>
    <w:p w:rsidRPr="00363301" w:rsidR="004C5D75" w:rsidP="004C5D75" w:rsidRDefault="004C5D75" w14:paraId="2DBC6843" w14:textId="77777777">
      <w:pPr>
        <w:rPr>
          <w:rFonts w:asciiTheme="minorHAnsi" w:hAnsiTheme="minorHAnsi"/>
          <w:sz w:val="20"/>
          <w:szCs w:val="20"/>
        </w:rPr>
      </w:pPr>
      <w:r>
        <w:rPr>
          <w:rFonts w:asciiTheme="minorHAnsi" w:hAnsiTheme="minorHAnsi"/>
          <w:sz w:val="20"/>
          <w:szCs w:val="20"/>
        </w:rPr>
        <w:t>Aansluiting bij goedgekeurde gedragscode</w:t>
      </w:r>
    </w:p>
    <w:p w:rsidRPr="00363301" w:rsidR="004C5D75" w:rsidP="004C5D75" w:rsidRDefault="004C5D75" w14:paraId="2FF8AD9B" w14:textId="77777777">
      <w:pPr>
        <w:pStyle w:val="Lijstalinea"/>
        <w:widowControl/>
        <w:numPr>
          <w:ilvl w:val="1"/>
          <w:numId w:val="3"/>
        </w:numPr>
        <w:tabs>
          <w:tab w:val="left" w:pos="397"/>
        </w:tabs>
        <w:autoSpaceDE/>
        <w:autoSpaceDN/>
        <w:spacing w:before="0"/>
        <w:ind w:left="360"/>
        <w:rPr>
          <w:rFonts w:eastAsia="Verdana" w:asciiTheme="minorHAnsi"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Pr="004C5D75" w:rsidR="004C5D75" w:rsidP="004C5D75" w:rsidRDefault="004C5D75" w14:paraId="5D207C5A" w14:textId="24BD420E">
      <w:pPr>
        <w:rPr>
          <w:rFonts w:asciiTheme="minorHAnsi" w:hAnsiTheme="minorHAnsi" w:cstheme="minorHAnsi"/>
          <w:sz w:val="18"/>
          <w:szCs w:val="18"/>
        </w:rPr>
      </w:pPr>
      <w:bookmarkStart w:name="id1-3-2-2-2-2-16-1-3-1-2" w:id="20"/>
      <w:bookmarkEnd w:id="20"/>
      <w:r>
        <w:rPr>
          <w:rFonts w:asciiTheme="minorHAnsi" w:hAnsiTheme="minorHAnsi" w:cstheme="minorHAnsi"/>
          <w:sz w:val="18"/>
          <w:szCs w:val="18"/>
        </w:rPr>
        <w:br w:type="page"/>
      </w:r>
    </w:p>
    <w:p w:rsidRPr="00E9310C" w:rsidR="004C5D75" w:rsidP="004C5D75" w:rsidRDefault="004C5D75" w14:paraId="424F5E43" w14:textId="77777777">
      <w:pPr>
        <w:spacing w:line="290" w:lineRule="auto"/>
        <w:rPr>
          <w:rFonts w:ascii="Calibri" w:hAnsi="Calibri" w:cs="Calibri"/>
          <w:b/>
          <w:bCs/>
          <w:sz w:val="24"/>
          <w:szCs w:val="24"/>
        </w:rPr>
      </w:pPr>
      <w:r w:rsidRPr="00D87CE5">
        <w:rPr>
          <w:rFonts w:ascii="Calibri" w:hAnsi="Calibri" w:cs="Calibri"/>
          <w:b/>
          <w:bCs/>
          <w:color w:val="00B0F0"/>
          <w:sz w:val="24"/>
          <w:szCs w:val="24"/>
        </w:rPr>
        <w:lastRenderedPageBreak/>
        <w:t>Bijlage 3</w:t>
      </w:r>
      <w:r w:rsidRPr="00E9310C">
        <w:rPr>
          <w:rFonts w:ascii="Calibri" w:hAnsi="Calibri" w:cs="Calibri"/>
          <w:b/>
          <w:bCs/>
          <w:color w:val="00B0F0"/>
          <w:sz w:val="24"/>
          <w:szCs w:val="24"/>
        </w:rPr>
        <w:t xml:space="preserve">: </w:t>
      </w:r>
      <w:r w:rsidRPr="00E9310C">
        <w:rPr>
          <w:rFonts w:ascii="Calibri" w:hAnsi="Calibri" w:cs="Calibri"/>
          <w:b/>
          <w:bCs/>
          <w:sz w:val="24"/>
          <w:szCs w:val="24"/>
        </w:rPr>
        <w:t>Relevante GIBIT-</w:t>
      </w:r>
      <w:r>
        <w:rPr>
          <w:rFonts w:ascii="Calibri" w:hAnsi="Calibri" w:cs="Calibri"/>
          <w:b/>
          <w:bCs/>
          <w:sz w:val="24"/>
          <w:szCs w:val="24"/>
        </w:rPr>
        <w:t xml:space="preserve">2020 </w:t>
      </w:r>
      <w:r w:rsidRPr="00E9310C">
        <w:rPr>
          <w:rFonts w:ascii="Calibri" w:hAnsi="Calibri" w:cs="Calibri"/>
          <w:b/>
          <w:bCs/>
          <w:sz w:val="24"/>
          <w:szCs w:val="24"/>
        </w:rPr>
        <w:t>artikelen</w:t>
      </w:r>
    </w:p>
    <w:p w:rsidRPr="00CE70E8" w:rsidR="004C5D75" w:rsidP="004C5D75" w:rsidRDefault="004C5D75" w14:paraId="79E01ACF" w14:textId="77777777">
      <w:pPr>
        <w:pStyle w:val="Default"/>
        <w:rPr>
          <w:rFonts w:ascii="Calibri" w:hAnsi="Calibri" w:cs="Calibri"/>
        </w:rPr>
      </w:pPr>
    </w:p>
    <w:p w:rsidRPr="00CE70E8" w:rsidR="004C5D75" w:rsidP="004C5D75" w:rsidRDefault="004C5D75" w14:paraId="25717BAD" w14:textId="77777777">
      <w:pPr>
        <w:pStyle w:val="Default"/>
        <w:rPr>
          <w:rFonts w:ascii="Calibri" w:hAnsi="Calibri" w:cs="Calibri"/>
          <w:b/>
          <w:bCs/>
          <w:sz w:val="23"/>
          <w:szCs w:val="23"/>
        </w:rPr>
      </w:pPr>
      <w:r w:rsidRPr="00CE70E8">
        <w:rPr>
          <w:rFonts w:ascii="Calibri" w:hAnsi="Calibri" w:cs="Calibri"/>
          <w:b/>
          <w:bCs/>
          <w:sz w:val="23"/>
          <w:szCs w:val="23"/>
        </w:rPr>
        <w:t>Artikel 13. Aansprakelijkheid</w:t>
      </w:r>
    </w:p>
    <w:p w:rsidRPr="00CE70E8" w:rsidR="004C5D75" w:rsidP="004C5D75" w:rsidRDefault="004C5D75" w14:paraId="0DA254B9" w14:textId="77777777">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rsidRPr="00CE70E8" w:rsidR="004C5D75" w:rsidP="004C5D75" w:rsidRDefault="004C5D75" w14:paraId="2798EB84" w14:textId="77777777">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rsidRPr="00CE70E8" w:rsidR="004C5D75" w:rsidP="004C5D75" w:rsidRDefault="004C5D75" w14:paraId="308FE42C" w14:textId="77777777">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rsidRPr="00CE70E8" w:rsidR="004C5D75" w:rsidP="004C5D75" w:rsidRDefault="004C5D75" w14:paraId="1B312ED3" w14:textId="77777777">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rsidRPr="00CE70E8" w:rsidR="004C5D75" w:rsidP="004C5D75" w:rsidRDefault="004C5D75" w14:paraId="48DE0907" w14:textId="77777777">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rsidRPr="00CE70E8" w:rsidR="004C5D75" w:rsidP="004C5D75" w:rsidRDefault="004C5D75" w14:paraId="090D2A1D" w14:textId="77777777">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rsidRPr="00CE70E8" w:rsidR="004C5D75" w:rsidP="004C5D75" w:rsidRDefault="004C5D75" w14:paraId="59154279" w14:textId="77777777">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rsidRPr="00CE70E8" w:rsidR="004C5D75" w:rsidP="004C5D75" w:rsidRDefault="004C5D75" w14:paraId="1FA3EEAE" w14:textId="77777777">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rsidRPr="00CE70E8" w:rsidR="004C5D75" w:rsidP="004C5D75" w:rsidRDefault="004C5D75" w14:paraId="6F085111" w14:textId="77777777">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rsidRPr="00CE70E8" w:rsidR="004C5D75" w:rsidP="004C5D75" w:rsidRDefault="004C5D75" w14:paraId="2D1ADA6F" w14:textId="77777777">
      <w:pPr>
        <w:pStyle w:val="Default"/>
        <w:numPr>
          <w:ilvl w:val="0"/>
          <w:numId w:val="7"/>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rsidRPr="00CE70E8" w:rsidR="004C5D75" w:rsidP="004C5D75" w:rsidRDefault="004C5D75" w14:paraId="7A3AA578" w14:textId="77777777">
      <w:pPr>
        <w:pStyle w:val="Default"/>
        <w:numPr>
          <w:ilvl w:val="0"/>
          <w:numId w:val="7"/>
        </w:numPr>
        <w:ind w:left="1040"/>
        <w:rPr>
          <w:rFonts w:ascii="Calibri" w:hAnsi="Calibri" w:cs="Calibri"/>
          <w:sz w:val="20"/>
          <w:szCs w:val="20"/>
        </w:rPr>
      </w:pPr>
      <w:r w:rsidRPr="00CE70E8">
        <w:rPr>
          <w:rFonts w:ascii="Calibri" w:hAnsi="Calibri" w:cs="Calibri"/>
          <w:sz w:val="20"/>
          <w:szCs w:val="20"/>
        </w:rPr>
        <w:t>onder de voorwaarde dat Opdrachtgever Leverancier:</w:t>
      </w:r>
    </w:p>
    <w:p w:rsidRPr="00CE70E8" w:rsidR="004C5D75" w:rsidP="004C5D75" w:rsidRDefault="004C5D75" w14:paraId="36EAE1EF" w14:textId="77777777">
      <w:pPr>
        <w:pStyle w:val="Default"/>
        <w:numPr>
          <w:ilvl w:val="0"/>
          <w:numId w:val="6"/>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rsidRPr="00CE70E8" w:rsidR="004C5D75" w:rsidP="004C5D75" w:rsidRDefault="004C5D75" w14:paraId="6BEA52AE" w14:textId="77777777">
      <w:pPr>
        <w:pStyle w:val="Default"/>
        <w:numPr>
          <w:ilvl w:val="0"/>
          <w:numId w:val="6"/>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rsidRPr="00CE70E8" w:rsidR="004C5D75" w:rsidP="004C5D75" w:rsidRDefault="004C5D75" w14:paraId="1772DAA5" w14:textId="77777777">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rsidRPr="00CE70E8" w:rsidR="004C5D75" w:rsidP="004C5D75" w:rsidRDefault="004C5D75" w14:paraId="2C3AA21E" w14:textId="77777777">
      <w:pPr>
        <w:rPr>
          <w:rFonts w:ascii="Calibri" w:hAnsi="Calibri" w:cs="Calibri"/>
          <w:sz w:val="20"/>
          <w:szCs w:val="20"/>
        </w:rPr>
      </w:pPr>
    </w:p>
    <w:p w:rsidRPr="00D87CE5" w:rsidR="004C5D75" w:rsidP="004C5D75" w:rsidRDefault="004C5D75" w14:paraId="606A18E3" w14:textId="77777777">
      <w:pPr>
        <w:widowControl/>
        <w:adjustRightInd w:val="0"/>
        <w:rPr>
          <w:rFonts w:ascii="Calibri" w:hAnsi="Calibri" w:cs="Calibri" w:eastAsiaTheme="minorHAnsi"/>
          <w:color w:val="000000"/>
          <w:sz w:val="23"/>
          <w:szCs w:val="23"/>
          <w:lang w:eastAsia="en-US" w:bidi="ar-SA"/>
        </w:rPr>
      </w:pPr>
      <w:r w:rsidRPr="00D87CE5">
        <w:rPr>
          <w:rFonts w:ascii="Calibri" w:hAnsi="Calibri" w:cs="Calibri" w:eastAsiaTheme="minorHAnsi"/>
          <w:b/>
          <w:bCs/>
          <w:color w:val="000000"/>
          <w:sz w:val="23"/>
          <w:szCs w:val="23"/>
          <w:lang w:eastAsia="en-US" w:bidi="ar-SA"/>
        </w:rPr>
        <w:t xml:space="preserve">Artikel 20. Opschorting, opzegging en ontbinding </w:t>
      </w:r>
    </w:p>
    <w:p w:rsidRPr="008C79A2" w:rsidR="004C5D75" w:rsidP="004C5D75" w:rsidRDefault="004C5D75" w14:paraId="61499AF3" w14:textId="77777777">
      <w:pPr>
        <w:spacing w:line="290" w:lineRule="auto"/>
        <w:rPr>
          <w:rFonts w:ascii="Calibri" w:hAnsi="Calibri" w:cs="Calibri"/>
          <w:sz w:val="20"/>
          <w:szCs w:val="20"/>
        </w:rPr>
      </w:pPr>
      <w:r w:rsidRPr="008C79A2">
        <w:rPr>
          <w:rFonts w:ascii="Calibri" w:hAnsi="Calibri" w:cs="Calibri" w:eastAsiaTheme="minorHAnsi"/>
          <w:color w:val="000000"/>
          <w:sz w:val="20"/>
          <w:szCs w:val="20"/>
          <w:lang w:eastAsia="en-US" w:bidi="ar-SA"/>
        </w:rPr>
        <w:t>Gevolgen van beëindiging</w:t>
      </w:r>
    </w:p>
    <w:p w:rsidRPr="00D87CE5" w:rsidR="004C5D75" w:rsidP="004C5D75" w:rsidRDefault="004C5D75" w14:paraId="5FCA37FD"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rsidRPr="00D87CE5" w:rsidR="004C5D75" w:rsidP="004C5D75" w:rsidRDefault="004C5D75" w14:paraId="6BD2CB56" w14:textId="77777777">
      <w:pPr>
        <w:widowControl/>
        <w:adjustRightInd w:val="0"/>
        <w:rPr>
          <w:rFonts w:ascii="Calibri" w:hAnsi="Calibri" w:cs="Calibri" w:eastAsiaTheme="minorHAnsi"/>
          <w:color w:val="000000"/>
          <w:sz w:val="20"/>
          <w:szCs w:val="20"/>
          <w:lang w:eastAsia="en-US" w:bidi="ar-SA"/>
        </w:rPr>
      </w:pPr>
    </w:p>
    <w:p w:rsidRPr="00D87CE5" w:rsidR="004C5D75" w:rsidP="004C5D75" w:rsidRDefault="004C5D75" w14:paraId="10CF87B3" w14:textId="77777777">
      <w:pPr>
        <w:widowControl/>
        <w:adjustRightInd w:val="0"/>
        <w:rPr>
          <w:rFonts w:ascii="Calibri" w:hAnsi="Calibri" w:cs="Calibri" w:eastAsiaTheme="minorHAnsi"/>
          <w:color w:val="000000"/>
          <w:sz w:val="23"/>
          <w:szCs w:val="23"/>
          <w:lang w:eastAsia="en-US" w:bidi="ar-SA"/>
        </w:rPr>
      </w:pPr>
      <w:r w:rsidRPr="00D87CE5">
        <w:rPr>
          <w:rFonts w:ascii="Calibri" w:hAnsi="Calibri" w:cs="Calibri" w:eastAsiaTheme="minorHAnsi"/>
          <w:b/>
          <w:bCs/>
          <w:color w:val="000000"/>
          <w:sz w:val="23"/>
          <w:szCs w:val="23"/>
          <w:lang w:eastAsia="en-US" w:bidi="ar-SA"/>
        </w:rPr>
        <w:t xml:space="preserve">Artikel 22. Overstap, beperkte voortzetting, overdracht en verlengd gebruik </w:t>
      </w:r>
    </w:p>
    <w:p w:rsidRPr="002A2757" w:rsidR="004C5D75" w:rsidP="004C5D75" w:rsidRDefault="004C5D75" w14:paraId="04958F69" w14:textId="77777777">
      <w:pPr>
        <w:spacing w:line="290" w:lineRule="auto"/>
        <w:rPr>
          <w:rFonts w:ascii="Calibri" w:hAnsi="Calibri" w:cs="Calibri"/>
          <w:sz w:val="20"/>
          <w:szCs w:val="20"/>
        </w:rPr>
      </w:pPr>
      <w:r w:rsidRPr="00D87CE5">
        <w:rPr>
          <w:rFonts w:ascii="Calibri" w:hAnsi="Calibri" w:cs="Calibri" w:eastAsiaTheme="minorHAnsi"/>
          <w:color w:val="000000"/>
          <w:sz w:val="20"/>
          <w:szCs w:val="20"/>
          <w:lang w:eastAsia="en-US" w:bidi="ar-SA"/>
        </w:rPr>
        <w:t>Exit-plan</w:t>
      </w:r>
    </w:p>
    <w:p w:rsidRPr="00D87CE5" w:rsidR="004C5D75" w:rsidP="004C5D75" w:rsidRDefault="004C5D75" w14:paraId="78AB5727"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rsidRPr="00D87CE5" w:rsidR="004C5D75" w:rsidP="004C5D75" w:rsidRDefault="004C5D75" w14:paraId="603B7338"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rsidRPr="00D87CE5" w:rsidR="004C5D75" w:rsidP="004C5D75" w:rsidRDefault="004C5D75" w14:paraId="63C01584" w14:textId="77777777">
      <w:pPr>
        <w:widowControl/>
        <w:adjustRightInd w:val="0"/>
        <w:rPr>
          <w:rFonts w:ascii="Calibri" w:hAnsi="Calibri" w:cs="Calibri" w:eastAsiaTheme="minorHAnsi"/>
          <w:color w:val="000000"/>
          <w:sz w:val="20"/>
          <w:szCs w:val="20"/>
          <w:lang w:eastAsia="en-US" w:bidi="ar-SA"/>
        </w:rPr>
      </w:pPr>
    </w:p>
    <w:p w:rsidRPr="00D87CE5" w:rsidR="004C5D75" w:rsidP="004C5D75" w:rsidRDefault="004C5D75" w14:paraId="5B06518D"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Overstap naar soortgelijke ICT Prestatie </w:t>
      </w:r>
    </w:p>
    <w:p w:rsidRPr="00D87CE5" w:rsidR="004C5D75" w:rsidP="004C5D75" w:rsidRDefault="004C5D75" w14:paraId="1C737DF1"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w:t>
      </w:r>
      <w:r w:rsidRPr="00D87CE5">
        <w:rPr>
          <w:rFonts w:ascii="Calibri" w:hAnsi="Calibri" w:cs="Calibri" w:eastAsiaTheme="minorHAnsi"/>
          <w:color w:val="000000"/>
          <w:sz w:val="20"/>
          <w:szCs w:val="20"/>
          <w:lang w:eastAsia="en-US" w:bidi="ar-SA"/>
        </w:rPr>
        <w:lastRenderedPageBreak/>
        <w:t xml:space="preserve">Opdrachtgever zelf zonder belemmeringen een soortgelijke ICT Prestatie ten behoeve van Opdrachtgever kan verrichten (zulks met uitzondering van de afgifte van de broncode van de Programmatuur). </w:t>
      </w:r>
    </w:p>
    <w:p w:rsidRPr="00D87CE5" w:rsidR="004C5D75" w:rsidP="004C5D75" w:rsidRDefault="004C5D75" w14:paraId="15B359B9"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rsidRPr="00D87CE5" w:rsidR="004C5D75" w:rsidP="004C5D75" w:rsidRDefault="004C5D75" w14:paraId="1C85D983" w14:textId="77777777">
      <w:pPr>
        <w:widowControl/>
        <w:adjustRightInd w:val="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 het alsnog aan de verplichtingen uit artikel 18 voldoen; </w:t>
      </w:r>
    </w:p>
    <w:p w:rsidRPr="00D87CE5" w:rsidR="004C5D75" w:rsidP="004C5D75" w:rsidRDefault="004C5D75" w14:paraId="55F63F1F" w14:textId="77777777">
      <w:pPr>
        <w:widowControl/>
        <w:adjustRightInd w:val="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ii) het vernietigen van de gegevens waarvoor Opdrachtgever verantwoordelijk is (tegen afgifte van bewijs van vernietiging); </w:t>
      </w:r>
    </w:p>
    <w:p w:rsidRPr="00D87CE5" w:rsidR="004C5D75" w:rsidP="004C5D75" w:rsidRDefault="004C5D75" w14:paraId="62E05B81" w14:textId="77777777">
      <w:pPr>
        <w:widowControl/>
        <w:adjustRightInd w:val="0"/>
        <w:spacing w:after="8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iii) het technisch ontvlechten en ontmantelen van (een deel van) de ICT Presentatie </w:t>
      </w:r>
    </w:p>
    <w:p w:rsidRPr="00D87CE5" w:rsidR="004C5D75" w:rsidP="004C5D75" w:rsidRDefault="004C5D75" w14:paraId="54235C7F"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rsidRPr="00D87CE5" w:rsidR="004C5D75" w:rsidP="004C5D75" w:rsidRDefault="004C5D75" w14:paraId="6BA05EE8" w14:textId="77777777">
      <w:pPr>
        <w:widowControl/>
        <w:adjustRightInd w:val="0"/>
        <w:rPr>
          <w:rFonts w:ascii="Calibri" w:hAnsi="Calibri" w:cs="Calibri" w:eastAsiaTheme="minorHAnsi"/>
          <w:color w:val="000000"/>
          <w:sz w:val="20"/>
          <w:szCs w:val="20"/>
          <w:lang w:eastAsia="en-US" w:bidi="ar-SA"/>
        </w:rPr>
      </w:pPr>
    </w:p>
    <w:p w:rsidRPr="00D87CE5" w:rsidR="004C5D75" w:rsidP="004C5D75" w:rsidRDefault="004C5D75" w14:paraId="0265E445"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Beperkte voortzetting van ICT Prestatie</w:t>
      </w:r>
    </w:p>
    <w:p w:rsidRPr="00D87CE5" w:rsidR="004C5D75" w:rsidP="004C5D75" w:rsidRDefault="004C5D75" w14:paraId="19F2D375"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22.6 Leverancier verklaart zich reeds nu voor alsdan bereid bij beëindiging van de Overeenkomst(en) – op welke grond dan ook – op eerste verzoek van Opdrachtgever:</w:t>
      </w:r>
    </w:p>
    <w:p w:rsidRPr="00D87CE5" w:rsidR="004C5D75" w:rsidP="004C5D75" w:rsidRDefault="004C5D75" w14:paraId="13A6DF50" w14:textId="77777777">
      <w:pPr>
        <w:widowControl/>
        <w:adjustRightInd w:val="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rsidRPr="00D87CE5" w:rsidR="004C5D75" w:rsidP="004C5D75" w:rsidRDefault="004C5D75" w14:paraId="03D1C633" w14:textId="77777777">
      <w:pPr>
        <w:widowControl/>
        <w:adjustRightInd w:val="0"/>
        <w:spacing w:after="8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rsidRPr="00D87CE5" w:rsidR="004C5D75" w:rsidP="004C5D75" w:rsidRDefault="004C5D75" w14:paraId="21AD469B"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22.7 Voor de duur en kosten voor de in het vorige lid bedoelde ICT Prestatie geldt dat:</w:t>
      </w:r>
    </w:p>
    <w:p w:rsidRPr="00D87CE5" w:rsidR="004C5D75" w:rsidP="004C5D75" w:rsidRDefault="004C5D75" w14:paraId="0F7A6501" w14:textId="77777777">
      <w:pPr>
        <w:widowControl/>
        <w:adjustRightInd w:val="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 de duur ten minste een zodanige duur is dat Opdrachtgever aan de wettelijke administratieplichten kan voldoen; </w:t>
      </w:r>
    </w:p>
    <w:p w:rsidRPr="00D87CE5" w:rsidR="004C5D75" w:rsidP="004C5D75" w:rsidRDefault="004C5D75" w14:paraId="65818FC8" w14:textId="77777777">
      <w:pPr>
        <w:widowControl/>
        <w:adjustRightInd w:val="0"/>
        <w:ind w:left="454"/>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hAnsi="Calibri" w:cs="Calibri" w:eastAsiaTheme="minorHAnsi"/>
          <w:color w:val="000000"/>
          <w:sz w:val="20"/>
          <w:szCs w:val="20"/>
          <w:lang w:eastAsia="en-US" w:bidi="ar-SA"/>
        </w:rPr>
        <w:t>Derdenprogrammatuur</w:t>
      </w:r>
      <w:proofErr w:type="spellEnd"/>
      <w:r w:rsidRPr="00D87CE5">
        <w:rPr>
          <w:rFonts w:ascii="Calibri" w:hAnsi="Calibri" w:cs="Calibri" w:eastAsiaTheme="minorHAnsi"/>
          <w:color w:val="000000"/>
          <w:sz w:val="20"/>
          <w:szCs w:val="20"/>
          <w:lang w:eastAsia="en-US" w:bidi="ar-SA"/>
        </w:rPr>
        <w:t xml:space="preserve"> volledig kunnen worden doorbelast. </w:t>
      </w:r>
    </w:p>
    <w:p w:rsidRPr="00D87CE5" w:rsidR="004C5D75" w:rsidP="004C5D75" w:rsidRDefault="004C5D75" w14:paraId="3675E33E" w14:textId="77777777">
      <w:pPr>
        <w:widowControl/>
        <w:adjustRightInd w:val="0"/>
        <w:rPr>
          <w:rFonts w:ascii="Calibri" w:hAnsi="Calibri" w:cs="Calibri" w:eastAsiaTheme="minorHAnsi"/>
          <w:color w:val="000000"/>
          <w:sz w:val="20"/>
          <w:szCs w:val="20"/>
          <w:lang w:eastAsia="en-US" w:bidi="ar-SA"/>
        </w:rPr>
      </w:pPr>
    </w:p>
    <w:p w:rsidRPr="00D87CE5" w:rsidR="004C5D75" w:rsidP="004C5D75" w:rsidRDefault="004C5D75" w14:paraId="639B9777"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Overdracht ICT Prestatie </w:t>
      </w:r>
    </w:p>
    <w:p w:rsidR="004C5D75" w:rsidP="004C5D75" w:rsidRDefault="004C5D75" w14:paraId="630E972E"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hAnsi="Calibri" w:cs="Calibri" w:eastAsiaTheme="minorHAnsi"/>
          <w:color w:val="000000"/>
          <w:sz w:val="20"/>
          <w:szCs w:val="20"/>
          <w:lang w:eastAsia="en-US" w:bidi="ar-SA"/>
        </w:rPr>
        <w:t>Derdenprogrammatuur</w:t>
      </w:r>
      <w:proofErr w:type="spellEnd"/>
      <w:r w:rsidRPr="00D87CE5">
        <w:rPr>
          <w:rFonts w:ascii="Calibri" w:hAnsi="Calibri" w:cs="Calibri" w:eastAsiaTheme="minorHAnsi"/>
          <w:color w:val="000000"/>
          <w:sz w:val="20"/>
          <w:szCs w:val="20"/>
          <w:lang w:eastAsia="en-US" w:bidi="ar-SA"/>
        </w:rPr>
        <w:t xml:space="preserve"> is alleen overdraagbaar voor zover de wet of de toepasselijke licentievoorwaarden daaraan niet in de weg staan (vgl. artikel 19.5).</w:t>
      </w:r>
    </w:p>
    <w:p w:rsidRPr="00D87CE5" w:rsidR="004C5D75" w:rsidP="004C5D75" w:rsidRDefault="004C5D75" w14:paraId="41CAAF94" w14:textId="77777777">
      <w:pPr>
        <w:widowControl/>
        <w:adjustRightInd w:val="0"/>
        <w:rPr>
          <w:rFonts w:ascii="Calibri" w:hAnsi="Calibri" w:cs="Calibri" w:eastAsiaTheme="minorHAnsi"/>
          <w:color w:val="000000"/>
          <w:sz w:val="20"/>
          <w:szCs w:val="20"/>
          <w:lang w:eastAsia="en-US" w:bidi="ar-SA"/>
        </w:rPr>
      </w:pPr>
    </w:p>
    <w:p w:rsidRPr="00D87CE5" w:rsidR="004C5D75" w:rsidP="004C5D75" w:rsidRDefault="004C5D75" w14:paraId="17BEA1E0"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Verlengd gebruik</w:t>
      </w:r>
    </w:p>
    <w:p w:rsidRPr="00D87CE5" w:rsidR="004C5D75" w:rsidP="004C5D75" w:rsidRDefault="004C5D75" w14:paraId="0754D171"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hAnsi="Calibri" w:cs="Calibri" w:eastAsiaTheme="minorHAnsi"/>
          <w:color w:val="000000"/>
          <w:sz w:val="20"/>
          <w:szCs w:val="20"/>
          <w:lang w:eastAsia="en-US" w:bidi="ar-SA"/>
        </w:rPr>
        <w:t>Derdenprogrammatuur</w:t>
      </w:r>
      <w:proofErr w:type="spellEnd"/>
      <w:r w:rsidRPr="00D87CE5">
        <w:rPr>
          <w:rFonts w:ascii="Calibri" w:hAnsi="Calibri" w:cs="Calibri" w:eastAsiaTheme="minorHAnsi"/>
          <w:color w:val="000000"/>
          <w:sz w:val="20"/>
          <w:szCs w:val="20"/>
          <w:lang w:eastAsia="en-US" w:bidi="ar-SA"/>
        </w:rPr>
        <w:t xml:space="preserve"> volledig kunnen worden doorbelast), tenzij de niet-tijdige afronding van de Exit-werkzaamheden toerekenbaar is aan Leverancier (de verlenging is dan gratis). </w:t>
      </w:r>
    </w:p>
    <w:p w:rsidRPr="00D87CE5" w:rsidR="004C5D75" w:rsidP="004C5D75" w:rsidRDefault="004C5D75" w14:paraId="5BF37EF7" w14:textId="77777777">
      <w:pPr>
        <w:widowControl/>
        <w:adjustRightInd w:val="0"/>
        <w:rPr>
          <w:rFonts w:ascii="Calibri" w:hAnsi="Calibri" w:cs="Calibri" w:eastAsiaTheme="minorHAnsi"/>
          <w:color w:val="000000"/>
          <w:sz w:val="20"/>
          <w:szCs w:val="20"/>
          <w:lang w:eastAsia="en-US" w:bidi="ar-SA"/>
        </w:rPr>
      </w:pPr>
    </w:p>
    <w:p w:rsidR="004C5D75" w:rsidP="004C5D75" w:rsidRDefault="004C5D75" w14:paraId="275ABC4C" w14:textId="77777777">
      <w:pPr>
        <w:widowControl/>
        <w:adjustRightInd w:val="0"/>
        <w:rPr>
          <w:rFonts w:ascii="Calibri" w:hAnsi="Calibri" w:cs="Calibri" w:eastAsiaTheme="minorHAnsi"/>
          <w:b/>
          <w:bCs/>
          <w:color w:val="000000"/>
          <w:sz w:val="23"/>
          <w:szCs w:val="23"/>
          <w:lang w:eastAsia="en-US" w:bidi="ar-SA"/>
        </w:rPr>
      </w:pPr>
      <w:r w:rsidRPr="00D87CE5">
        <w:rPr>
          <w:rFonts w:ascii="Calibri" w:hAnsi="Calibri" w:cs="Calibri" w:eastAsiaTheme="minorHAnsi"/>
          <w:b/>
          <w:bCs/>
          <w:color w:val="000000"/>
          <w:sz w:val="23"/>
          <w:szCs w:val="23"/>
          <w:lang w:eastAsia="en-US" w:bidi="ar-SA"/>
        </w:rPr>
        <w:t>Artikel 21. Controlerecht en medewerking audits bij Opdrachtgeve</w:t>
      </w:r>
      <w:r>
        <w:rPr>
          <w:rFonts w:ascii="Calibri" w:hAnsi="Calibri" w:cs="Calibri" w:eastAsiaTheme="minorHAnsi"/>
          <w:b/>
          <w:bCs/>
          <w:color w:val="000000"/>
          <w:sz w:val="23"/>
          <w:szCs w:val="23"/>
          <w:lang w:eastAsia="en-US" w:bidi="ar-SA"/>
        </w:rPr>
        <w:t>r</w:t>
      </w:r>
    </w:p>
    <w:p w:rsidRPr="008C79A2" w:rsidR="004C5D75" w:rsidP="004C5D75" w:rsidRDefault="004C5D75" w14:paraId="5EF67F08" w14:textId="77777777">
      <w:pPr>
        <w:widowControl/>
        <w:adjustRightInd w:val="0"/>
        <w:rPr>
          <w:rFonts w:ascii="Calibri" w:hAnsi="Calibri" w:cs="Calibri" w:eastAsiaTheme="minorHAnsi"/>
          <w:color w:val="000000"/>
          <w:sz w:val="20"/>
          <w:szCs w:val="20"/>
          <w:lang w:eastAsia="en-US" w:bidi="ar-SA"/>
        </w:rPr>
      </w:pPr>
      <w:r w:rsidRPr="008C79A2">
        <w:rPr>
          <w:rFonts w:ascii="Calibri" w:hAnsi="Calibri" w:cs="Calibri" w:eastAsiaTheme="minorHAnsi"/>
          <w:color w:val="000000"/>
          <w:sz w:val="20"/>
          <w:szCs w:val="20"/>
          <w:lang w:eastAsia="en-US" w:bidi="ar-SA"/>
        </w:rPr>
        <w:t xml:space="preserve">Controlerecht </w:t>
      </w:r>
    </w:p>
    <w:p w:rsidRPr="00D87CE5" w:rsidR="004C5D75" w:rsidP="004C5D75" w:rsidRDefault="004C5D75" w14:paraId="3174446D"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rsidRPr="00D87CE5" w:rsidR="004C5D75" w:rsidP="004C5D75" w:rsidRDefault="004C5D75" w14:paraId="5471E05D"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21.2 Opdrachtgever zal alvorens een controle te doen verrichten eerst Leverancier om de op grond van het vorige lid noodzakelijke informatie vragen. </w:t>
      </w:r>
    </w:p>
    <w:p w:rsidRPr="00D87CE5" w:rsidR="004C5D75" w:rsidP="004C5D75" w:rsidRDefault="004C5D75" w14:paraId="2FB936AA"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21.3 De controle zal alleen plaatsvinden indien Opdrachtgever </w:t>
      </w:r>
      <w:r>
        <w:rPr>
          <w:rFonts w:ascii="Calibri" w:hAnsi="Calibri" w:cs="Calibri" w:eastAsiaTheme="minorHAnsi"/>
          <w:color w:val="000000"/>
          <w:sz w:val="20"/>
          <w:szCs w:val="20"/>
          <w:lang w:eastAsia="en-US" w:bidi="ar-SA"/>
        </w:rPr>
        <w:t>-</w:t>
      </w:r>
      <w:r w:rsidRPr="00D87CE5">
        <w:rPr>
          <w:rFonts w:ascii="Calibri" w:hAnsi="Calibri" w:cs="Calibri" w:eastAsiaTheme="minorHAnsi"/>
          <w:color w:val="000000"/>
          <w:sz w:val="20"/>
          <w:szCs w:val="20"/>
          <w:lang w:eastAsia="en-US" w:bidi="ar-SA"/>
        </w:rPr>
        <w:t xml:space="preserve"> ook na beantwoording van het in het vorige lid bedoelde verzoek om informatie </w:t>
      </w:r>
      <w:r>
        <w:rPr>
          <w:rFonts w:ascii="Calibri" w:hAnsi="Calibri" w:cs="Calibri" w:eastAsiaTheme="minorHAnsi"/>
          <w:color w:val="000000"/>
          <w:sz w:val="20"/>
          <w:szCs w:val="20"/>
          <w:lang w:eastAsia="en-US" w:bidi="ar-SA"/>
        </w:rPr>
        <w:t>-</w:t>
      </w:r>
      <w:r w:rsidRPr="00D87CE5">
        <w:rPr>
          <w:rFonts w:ascii="Calibri" w:hAnsi="Calibri" w:cs="Calibri" w:eastAsiaTheme="minorHAnsi"/>
          <w:color w:val="000000"/>
          <w:sz w:val="20"/>
          <w:szCs w:val="20"/>
          <w:lang w:eastAsia="en-US" w:bidi="ar-SA"/>
        </w:rPr>
        <w:t xml:space="preserve"> gerede twijfel heeft over de nakoming van de verplichtingen door </w:t>
      </w:r>
      <w:r w:rsidRPr="00D87CE5">
        <w:rPr>
          <w:rFonts w:ascii="Calibri" w:hAnsi="Calibri" w:cs="Calibri" w:eastAsiaTheme="minorHAnsi"/>
          <w:color w:val="000000"/>
          <w:sz w:val="20"/>
          <w:szCs w:val="20"/>
          <w:lang w:eastAsia="en-US" w:bidi="ar-SA"/>
        </w:rPr>
        <w:lastRenderedPageBreak/>
        <w:t xml:space="preserve">Leverancier, of indien Opdrachtgever anderszins een gerechtvaardigd belang bij de controle heeft (o.m. wettelijke plicht, instructie toezichthouder). </w:t>
      </w:r>
    </w:p>
    <w:p w:rsidRPr="00D87CE5" w:rsidR="004C5D75" w:rsidP="004C5D75" w:rsidRDefault="004C5D75" w14:paraId="6F72DA4B"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rsidRPr="00D87CE5" w:rsidR="004C5D75" w:rsidP="004C5D75" w:rsidRDefault="004C5D75" w14:paraId="242D547A"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Pr="00D87CE5" w:rsidR="004C5D75" w:rsidP="004C5D75" w:rsidRDefault="004C5D75" w14:paraId="7A0E8F14" w14:textId="77777777">
      <w:pPr>
        <w:widowControl/>
        <w:adjustRightInd w:val="0"/>
        <w:spacing w:after="8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rsidR="004C5D75" w:rsidP="004C5D75" w:rsidRDefault="004C5D75" w14:paraId="1B93EC67" w14:textId="77777777">
      <w:pPr>
        <w:widowControl/>
        <w:adjustRightInd w:val="0"/>
        <w:rPr>
          <w:rFonts w:ascii="Calibri" w:hAnsi="Calibri" w:cs="Calibri" w:eastAsiaTheme="minorHAnsi"/>
          <w:color w:val="000000"/>
          <w:sz w:val="20"/>
          <w:szCs w:val="20"/>
          <w:lang w:eastAsia="en-US" w:bidi="ar-SA"/>
        </w:rPr>
      </w:pPr>
    </w:p>
    <w:p w:rsidRPr="008C79A2" w:rsidR="004C5D75" w:rsidP="004C5D75" w:rsidRDefault="004C5D75" w14:paraId="14E0E1E5" w14:textId="77777777">
      <w:pPr>
        <w:widowControl/>
        <w:adjustRightInd w:val="0"/>
        <w:rPr>
          <w:rFonts w:ascii="Calibri" w:hAnsi="Calibri" w:cs="Calibri"/>
          <w:sz w:val="20"/>
          <w:szCs w:val="20"/>
        </w:rPr>
      </w:pPr>
      <w:r w:rsidRPr="008C79A2">
        <w:rPr>
          <w:rFonts w:ascii="Calibri" w:hAnsi="Calibri" w:cs="Calibri" w:eastAsiaTheme="minorHAnsi"/>
          <w:color w:val="000000"/>
          <w:sz w:val="20"/>
          <w:szCs w:val="20"/>
          <w:lang w:eastAsia="en-US" w:bidi="ar-SA"/>
        </w:rPr>
        <w:t>Medewerking audits bij Opdrachtgever</w:t>
      </w:r>
    </w:p>
    <w:p w:rsidRPr="00D87CE5" w:rsidR="004C5D75" w:rsidP="004C5D75" w:rsidRDefault="004C5D75" w14:paraId="1246C3B1" w14:textId="77777777">
      <w:pPr>
        <w:widowControl/>
        <w:adjustRightInd w:val="0"/>
        <w:rPr>
          <w:rFonts w:ascii="Calibri" w:hAnsi="Calibri" w:cs="Calibri" w:eastAsiaTheme="minorHAnsi"/>
          <w:color w:val="000000"/>
          <w:sz w:val="20"/>
          <w:szCs w:val="20"/>
          <w:lang w:eastAsia="en-US" w:bidi="ar-SA"/>
        </w:rPr>
      </w:pPr>
      <w:r w:rsidRPr="00D87CE5">
        <w:rPr>
          <w:rFonts w:ascii="Calibri" w:hAnsi="Calibri" w:cs="Calibri" w:eastAsiaTheme="minorHAns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Pr="00D87CE5" w:rsidR="004C5D75" w:rsidP="004C5D75" w:rsidRDefault="004C5D75" w14:paraId="3FCE2B4D" w14:textId="77777777">
      <w:pPr>
        <w:widowControl/>
        <w:adjustRightInd w:val="0"/>
        <w:rPr>
          <w:rFonts w:ascii="Calibri" w:hAnsi="Calibri" w:cs="Calibri"/>
          <w:sz w:val="20"/>
          <w:szCs w:val="20"/>
        </w:rPr>
      </w:pPr>
    </w:p>
    <w:p w:rsidRPr="001E01E4" w:rsidR="004C5D75" w:rsidP="004C5D75" w:rsidRDefault="004C5D75" w14:paraId="6360062E" w14:textId="77777777">
      <w:pPr>
        <w:spacing w:line="290" w:lineRule="auto"/>
        <w:rPr>
          <w:rFonts w:asciiTheme="minorHAnsi" w:hAnsiTheme="minorHAnsi" w:cstheme="minorHAnsi"/>
          <w:sz w:val="18"/>
          <w:szCs w:val="18"/>
        </w:rPr>
      </w:pPr>
    </w:p>
    <w:p w:rsidR="00431350" w:rsidRDefault="00431350" w14:paraId="672A6659" w14:textId="77777777"/>
    <w:sectPr w:rsidR="00431350" w:rsidSect="00363301">
      <w:footerReference w:type="default" r:id="rId10"/>
      <w:pgSz w:w="11910" w:h="16840" w:orient="portrait"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5D75" w:rsidP="004C5D75" w:rsidRDefault="004C5D75" w14:paraId="7F4082A1" w14:textId="77777777">
      <w:r>
        <w:separator/>
      </w:r>
    </w:p>
  </w:endnote>
  <w:endnote w:type="continuationSeparator" w:id="0">
    <w:p w:rsidR="004C5D75" w:rsidP="004C5D75" w:rsidRDefault="004C5D75" w14:paraId="24F9F0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046799571"/>
      <w:docPartObj>
        <w:docPartGallery w:val="Page Numbers (Bottom of Page)"/>
        <w:docPartUnique/>
      </w:docPartObj>
    </w:sdtPr>
    <w:sdtEndPr>
      <w:rPr>
        <w:rStyle w:val="Paginanummer"/>
      </w:rPr>
    </w:sdtEndPr>
    <w:sdtContent>
      <w:p w:rsidRPr="00F970C9" w:rsidR="00C92BEE" w:rsidP="001813CD" w:rsidRDefault="0095092B" w14:paraId="75DA1169" w14:textId="77777777">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rsidRPr="00363301" w:rsidR="00C92BEE" w:rsidP="00F970C9" w:rsidRDefault="0095092B" w14:paraId="49DAEF44" w14:textId="4AB8D924">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4C5D75">
      <w:rPr>
        <w:rFonts w:asciiTheme="minorHAnsi" w:hAnsiTheme="minorHAnsi"/>
        <w:sz w:val="18"/>
        <w:szCs w:val="18"/>
      </w:rPr>
      <w:t xml:space="preserve">PSA/HR applicatie </w:t>
    </w:r>
    <w:proofErr w:type="spellStart"/>
    <w:r w:rsidR="004C5D75">
      <w:rPr>
        <w:rFonts w:asciiTheme="minorHAnsi" w:hAnsiTheme="minorHAnsi"/>
        <w:sz w:val="18"/>
        <w:szCs w:val="18"/>
      </w:rPr>
      <w:t>VRTwente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5D75" w:rsidP="004C5D75" w:rsidRDefault="004C5D75" w14:paraId="7C70912B" w14:textId="77777777">
      <w:r>
        <w:separator/>
      </w:r>
    </w:p>
  </w:footnote>
  <w:footnote w:type="continuationSeparator" w:id="0">
    <w:p w:rsidR="004C5D75" w:rsidP="004C5D75" w:rsidRDefault="004C5D75" w14:paraId="036A788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A7B2FCE"/>
    <w:multiLevelType w:val="hybridMultilevel"/>
    <w:tmpl w:val="2A520ABA"/>
    <w:name w:val="IBD"/>
    <w:lvl w:ilvl="0">
      <w:start w:val="1"/>
      <w:numFmt w:val="decimal"/>
      <w:pStyle w:val="Kop1"/>
      <w:lvlText w:val="%1."/>
      <w:lvlJc w:val="left"/>
      <w:pPr>
        <w:ind w:left="794" w:hanging="794"/>
      </w:pPr>
      <w:rPr>
        <w:rFonts w:hint="default" w:asciiTheme="minorHAnsi" w:hAnsiTheme="minorHAnsi" w:cstheme="minorHAnsi"/>
        <w:color w:val="323E4F" w:themeColor="text2" w:themeShade="BF"/>
      </w:rPr>
    </w:lvl>
    <w:lvl w:ilvl="1">
      <w:start w:val="1"/>
      <w:numFmt w:val="decimal"/>
      <w:lvlText w:val="%1.%2."/>
      <w:lvlJc w:val="left"/>
      <w:pPr>
        <w:ind w:left="794" w:hanging="794"/>
      </w:pPr>
      <w:rPr>
        <w:rFonts w:hint="default" w:ascii="Arial" w:hAnsi="Arial"/>
        <w:b/>
        <w:i w:val="0"/>
        <w:color w:val="8496B0" w:themeColor="text2" w:themeTint="99"/>
        <w:sz w:val="24"/>
      </w:rPr>
    </w:lvl>
    <w:lvl w:ilvl="2">
      <w:start w:val="1"/>
      <w:numFmt w:val="decimal"/>
      <w:lvlText w:val="%1.%2.%3."/>
      <w:lvlJc w:val="left"/>
      <w:pPr>
        <w:ind w:left="1474" w:hanging="1474"/>
      </w:pPr>
      <w:rPr>
        <w:rFonts w:hint="default" w:ascii="Arial" w:hAnsi="Arial"/>
        <w:b w:val="0"/>
        <w:i w:val="0"/>
        <w:color w:val="8496B0" w:themeColor="text2" w:themeTint="99"/>
        <w:sz w:val="22"/>
      </w:rPr>
    </w:lvl>
    <w:lvl w:ilvl="3">
      <w:start w:val="1"/>
      <w:numFmt w:val="decimal"/>
      <w:lvlText w:val="%1.%2.%3.%4."/>
      <w:lvlJc w:val="left"/>
      <w:pPr>
        <w:ind w:left="1985" w:hanging="1985"/>
      </w:pPr>
      <w:rPr>
        <w:rFonts w:hint="default" w:ascii="Arial" w:hAnsi="Arial"/>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B0F6D3"/>
    <w:rsid w:val="000909CB"/>
    <w:rsid w:val="00333E80"/>
    <w:rsid w:val="00431350"/>
    <w:rsid w:val="004C5D75"/>
    <w:rsid w:val="00B37AF7"/>
    <w:rsid w:val="00F401C4"/>
    <w:rsid w:val="2607FE54"/>
    <w:rsid w:val="2AB0F6D3"/>
    <w:rsid w:val="3B5796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7460"/>
  <w15:chartTrackingRefBased/>
  <w15:docId w15:val="{ED57B57F-87B8-4E42-B1A3-7B938A7F5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sid w:val="004C5D75"/>
    <w:pPr>
      <w:widowControl w:val="0"/>
      <w:autoSpaceDE w:val="0"/>
      <w:autoSpaceDN w:val="0"/>
      <w:spacing w:after="0" w:line="240" w:lineRule="auto"/>
    </w:pPr>
    <w:rPr>
      <w:rFonts w:ascii="Arial" w:hAnsi="Arial" w:eastAsia="Arial" w:cs="Arial"/>
      <w:lang w:eastAsia="nl-NL" w:bidi="nl-NL"/>
    </w:rPr>
  </w:style>
  <w:style w:type="paragraph" w:styleId="Kop1">
    <w:name w:val="heading 1"/>
    <w:aliases w:val="nummer"/>
    <w:basedOn w:val="Standaard"/>
    <w:next w:val="Plattetekst"/>
    <w:link w:val="Kop1Char"/>
    <w:uiPriority w:val="1"/>
    <w:qFormat/>
    <w:rsid w:val="004C5D75"/>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4C5D75"/>
    <w:pPr>
      <w:numPr>
        <w:numId w:val="0"/>
      </w:numPr>
      <w:spacing w:before="0" w:after="0"/>
      <w:outlineLvl w:val="1"/>
    </w:pPr>
    <w:rPr>
      <w:rFonts w:asciiTheme="minorHAnsi" w:hAnsiTheme="minorHAnsi"/>
      <w:b/>
      <w:bCs/>
      <w:color w:val="0C9DD8"/>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nummer Char"/>
    <w:basedOn w:val="Standaardalinea-lettertype"/>
    <w:link w:val="Kop1"/>
    <w:uiPriority w:val="1"/>
    <w:rsid w:val="004C5D75"/>
    <w:rPr>
      <w:rFonts w:ascii="Arial" w:hAnsi="Arial" w:eastAsia="Arial" w:cs="Arial"/>
      <w:color w:val="0A4E8C"/>
      <w:sz w:val="36"/>
      <w:szCs w:val="60"/>
      <w:lang w:eastAsia="nl-NL" w:bidi="nl-NL"/>
    </w:rPr>
  </w:style>
  <w:style w:type="character" w:styleId="Kop2Char" w:customStyle="1">
    <w:name w:val="Kop 2 Char"/>
    <w:basedOn w:val="Standaardalinea-lettertype"/>
    <w:link w:val="Kop2"/>
    <w:uiPriority w:val="1"/>
    <w:rsid w:val="004C5D75"/>
    <w:rPr>
      <w:rFonts w:eastAsia="Arial" w:cs="Arial"/>
      <w:b/>
      <w:bCs/>
      <w:color w:val="0C9DD8"/>
      <w:sz w:val="24"/>
      <w:szCs w:val="24"/>
      <w:lang w:eastAsia="nl-NL" w:bidi="nl-NL"/>
    </w:rPr>
  </w:style>
  <w:style w:type="paragraph" w:styleId="Lijstalinea">
    <w:name w:val="List Paragraph"/>
    <w:basedOn w:val="Standaard"/>
    <w:uiPriority w:val="34"/>
    <w:qFormat/>
    <w:rsid w:val="004C5D75"/>
    <w:pPr>
      <w:spacing w:before="43"/>
      <w:ind w:left="394" w:hanging="567"/>
    </w:pPr>
  </w:style>
  <w:style w:type="paragraph" w:styleId="Voettekst">
    <w:name w:val="footer"/>
    <w:basedOn w:val="Standaard"/>
    <w:link w:val="VoettekstChar"/>
    <w:uiPriority w:val="99"/>
    <w:unhideWhenUsed/>
    <w:rsid w:val="004C5D75"/>
    <w:pPr>
      <w:tabs>
        <w:tab w:val="center" w:pos="4536"/>
        <w:tab w:val="right" w:pos="9072"/>
      </w:tabs>
    </w:pPr>
  </w:style>
  <w:style w:type="character" w:styleId="VoettekstChar" w:customStyle="1">
    <w:name w:val="Voettekst Char"/>
    <w:basedOn w:val="Standaardalinea-lettertype"/>
    <w:link w:val="Voettekst"/>
    <w:uiPriority w:val="99"/>
    <w:rsid w:val="004C5D75"/>
    <w:rPr>
      <w:rFonts w:ascii="Arial" w:hAnsi="Arial" w:eastAsia="Arial" w:cs="Arial"/>
      <w:lang w:eastAsia="nl-NL" w:bidi="nl-NL"/>
    </w:rPr>
  </w:style>
  <w:style w:type="table" w:styleId="Tabelraster">
    <w:name w:val="Table Grid"/>
    <w:basedOn w:val="Standaardtabel"/>
    <w:uiPriority w:val="39"/>
    <w:rsid w:val="004C5D75"/>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inanummer">
    <w:name w:val="page number"/>
    <w:basedOn w:val="Standaardalinea-lettertype"/>
    <w:uiPriority w:val="99"/>
    <w:semiHidden/>
    <w:unhideWhenUsed/>
    <w:rsid w:val="004C5D75"/>
  </w:style>
  <w:style w:type="paragraph" w:styleId="Default" w:customStyle="1">
    <w:name w:val="Default"/>
    <w:rsid w:val="004C5D75"/>
    <w:pPr>
      <w:autoSpaceDE w:val="0"/>
      <w:autoSpaceDN w:val="0"/>
      <w:adjustRightInd w:val="0"/>
      <w:spacing w:after="0" w:line="240" w:lineRule="auto"/>
    </w:pPr>
    <w:rPr>
      <w:rFonts w:ascii="Arial" w:hAnsi="Arial" w:cs="Arial"/>
      <w:color w:val="000000"/>
      <w:sz w:val="24"/>
      <w:szCs w:val="24"/>
    </w:rPr>
  </w:style>
  <w:style w:type="paragraph" w:styleId="Plattetekst">
    <w:name w:val="Body Text"/>
    <w:basedOn w:val="Standaard"/>
    <w:link w:val="PlattetekstChar"/>
    <w:uiPriority w:val="99"/>
    <w:semiHidden/>
    <w:unhideWhenUsed/>
    <w:rsid w:val="004C5D75"/>
    <w:pPr>
      <w:spacing w:after="120"/>
    </w:pPr>
  </w:style>
  <w:style w:type="character" w:styleId="PlattetekstChar" w:customStyle="1">
    <w:name w:val="Platte tekst Char"/>
    <w:basedOn w:val="Standaardalinea-lettertype"/>
    <w:link w:val="Plattetekst"/>
    <w:uiPriority w:val="99"/>
    <w:semiHidden/>
    <w:rsid w:val="004C5D75"/>
    <w:rPr>
      <w:rFonts w:ascii="Arial" w:hAnsi="Arial" w:eastAsia="Arial" w:cs="Arial"/>
      <w:lang w:eastAsia="nl-NL" w:bidi="nl-NL"/>
    </w:rPr>
  </w:style>
  <w:style w:type="paragraph" w:styleId="Koptekst">
    <w:name w:val="header"/>
    <w:basedOn w:val="Standaard"/>
    <w:link w:val="KoptekstChar"/>
    <w:uiPriority w:val="99"/>
    <w:unhideWhenUsed/>
    <w:rsid w:val="004C5D75"/>
    <w:pPr>
      <w:tabs>
        <w:tab w:val="center" w:pos="4536"/>
        <w:tab w:val="right" w:pos="9072"/>
      </w:tabs>
    </w:pPr>
  </w:style>
  <w:style w:type="character" w:styleId="KoptekstChar" w:customStyle="1">
    <w:name w:val="Koptekst Char"/>
    <w:basedOn w:val="Standaardalinea-lettertype"/>
    <w:link w:val="Koptekst"/>
    <w:uiPriority w:val="99"/>
    <w:rsid w:val="004C5D75"/>
    <w:rPr>
      <w:rFonts w:ascii="Arial" w:hAnsi="Arial" w:eastAsia="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14093d80fddd497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8f3b698-0b44-4bc5-bb7d-7cb92c3ac6c8}"/>
      </w:docPartPr>
      <w:docPartBody>
        <w:p w14:paraId="3F834BD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9be5e3-5536-4fff-aa6c-1b0eeb6a1c5c">
      <UserInfo>
        <DisplayName>Jeroen Brouwer</DisplayName>
        <AccountId>32</AccountId>
        <AccountType/>
      </UserInfo>
      <UserInfo>
        <DisplayName>Jop Hagreize</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E2BC60479AF40BFEBDEAF7D635933" ma:contentTypeVersion="4" ma:contentTypeDescription="Een nieuw document maken." ma:contentTypeScope="" ma:versionID="fd5637cf4add46e2497938df0b927d92">
  <xsd:schema xmlns:xsd="http://www.w3.org/2001/XMLSchema" xmlns:xs="http://www.w3.org/2001/XMLSchema" xmlns:p="http://schemas.microsoft.com/office/2006/metadata/properties" xmlns:ns2="5738b9ed-deca-4e3e-8407-b33087de0d61" xmlns:ns3="ad9be5e3-5536-4fff-aa6c-1b0eeb6a1c5c" targetNamespace="http://schemas.microsoft.com/office/2006/metadata/properties" ma:root="true" ma:fieldsID="9d14501ca8a860e39ebe2bc9efec5f77" ns2:_="" ns3:_="">
    <xsd:import namespace="5738b9ed-deca-4e3e-8407-b33087de0d61"/>
    <xsd:import namespace="ad9be5e3-5536-4fff-aa6c-1b0eeb6a1c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8b9ed-deca-4e3e-8407-b33087de0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be5e3-5536-4fff-aa6c-1b0eeb6a1c5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9C786-A2DF-4CEA-9891-29EDE3125B87}">
  <ds:schemaRefs>
    <ds:schemaRef ds:uri="http://schemas.microsoft.com/sharepoint/v3/contenttype/forms"/>
  </ds:schemaRefs>
</ds:datastoreItem>
</file>

<file path=customXml/itemProps2.xml><?xml version="1.0" encoding="utf-8"?>
<ds:datastoreItem xmlns:ds="http://schemas.openxmlformats.org/officeDocument/2006/customXml" ds:itemID="{83B6F061-8112-4142-824D-EDFBA8A2ABD7}">
  <ds:schemaRefs>
    <ds:schemaRef ds:uri="http://schemas.microsoft.com/office/2006/documentManagement/types"/>
    <ds:schemaRef ds:uri="5738b9ed-deca-4e3e-8407-b33087de0d61"/>
    <ds:schemaRef ds:uri="http://schemas.openxmlformats.org/package/2006/metadata/core-properties"/>
    <ds:schemaRef ds:uri="http://purl.org/dc/elements/1.1/"/>
    <ds:schemaRef ds:uri="http://purl.org/dc/dcmitype/"/>
    <ds:schemaRef ds:uri="ad9be5e3-5536-4fff-aa6c-1b0eeb6a1c5c"/>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D08D0A6-E8B3-48C4-9F72-929C679C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8b9ed-deca-4e3e-8407-b33087de0d61"/>
    <ds:schemaRef ds:uri="ad9be5e3-5536-4fff-aa6c-1b0eeb6a1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Maarten Smelt</dc:creator>
  <keywords/>
  <dc:description/>
  <lastModifiedBy>Maarten Smelt</lastModifiedBy>
  <revision>8</revision>
  <dcterms:created xsi:type="dcterms:W3CDTF">2020-12-22T10:51:00.0000000Z</dcterms:created>
  <dcterms:modified xsi:type="dcterms:W3CDTF">2021-01-04T10:46:17.8817082Z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0x010100F10E2BC60479AF40BFEBDEAF7D635933</vt:lpwstr>
  </property>
  <property fmtid="{D5CDD505-2E9C-101B-9397-08002B2CF9AE}" pid="3" name="MSIP_Label_e8f49481-729f-4c25-9d76-7e756a23b236_Enabled">
    <vt:lpwstr>True</vt:lpwstr>
  </property>
  <property fmtid="{D5CDD505-2E9C-101B-9397-08002B2CF9AE}" pid="4" name="MSIP_Label_e8f49481-729f-4c25-9d76-7e756a23b236_SiteId">
    <vt:lpwstr>b0797616-7833-4d18-8c72-0c75eddaa9dc</vt:lpwstr>
  </property>
  <property fmtid="{D5CDD505-2E9C-101B-9397-08002B2CF9AE}" pid="5" name="MSIP_Label_e8f49481-729f-4c25-9d76-7e756a23b236_ActionId">
    <vt:lpwstr>77c5d85f-2845-4c8e-88d1-66205d2b487a</vt:lpwstr>
  </property>
  <property fmtid="{D5CDD505-2E9C-101B-9397-08002B2CF9AE}" pid="6" name="MSIP_Label_e8f49481-729f-4c25-9d76-7e756a23b236_Method">
    <vt:lpwstr>Standard</vt:lpwstr>
  </property>
  <property fmtid="{D5CDD505-2E9C-101B-9397-08002B2CF9AE}" pid="7" name="MSIP_Label_e8f49481-729f-4c25-9d76-7e756a23b236_SetDate">
    <vt:lpwstr>2020-12-22T10:51:08Z</vt:lpwstr>
  </property>
  <property fmtid="{D5CDD505-2E9C-101B-9397-08002B2CF9AE}" pid="8" name="MSIP_Label_e8f49481-729f-4c25-9d76-7e756a23b236_Name">
    <vt:lpwstr>General</vt:lpwstr>
  </property>
  <property fmtid="{D5CDD505-2E9C-101B-9397-08002B2CF9AE}" pid="9" name="MSIP_Label_e8f49481-729f-4c25-9d76-7e756a23b236_ContentBits">
    <vt:lpwstr>0</vt:lpwstr>
  </property>
</Properties>
</file>