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AF733" w14:textId="77777777" w:rsidR="00C84D2C" w:rsidRPr="003A0969" w:rsidRDefault="00C84D2C" w:rsidP="00C84D2C">
      <w:pPr>
        <w:pStyle w:val="Heading1"/>
        <w:numPr>
          <w:ilvl w:val="0"/>
          <w:numId w:val="0"/>
        </w:numPr>
        <w:ind w:left="432" w:hanging="432"/>
        <w:rPr>
          <w:rFonts w:ascii="Verdana" w:hAnsi="Verdana"/>
        </w:rPr>
      </w:pPr>
      <w:bookmarkStart w:id="0" w:name="_Toc443389493"/>
      <w:bookmarkStart w:id="1" w:name="_Toc443393200"/>
      <w:bookmarkStart w:id="2" w:name="_Toc53648772"/>
      <w:bookmarkStart w:id="3" w:name="_Toc383779237"/>
      <w:bookmarkStart w:id="4" w:name="_GoBack"/>
      <w:r w:rsidRPr="008B0655">
        <w:rPr>
          <w:rFonts w:ascii="Verdana" w:hAnsi="Verdana"/>
        </w:rPr>
        <w:t>Standaardformulier D: CO2 prestatieladder</w:t>
      </w:r>
      <w:bookmarkEnd w:id="0"/>
      <w:bookmarkEnd w:id="1"/>
      <w:bookmarkEnd w:id="2"/>
    </w:p>
    <w:bookmarkEnd w:id="4"/>
    <w:p w14:paraId="702A0F54" w14:textId="77777777" w:rsidR="00C84D2C" w:rsidRPr="003A0969" w:rsidRDefault="00C84D2C" w:rsidP="00C84D2C">
      <w:pPr>
        <w:rPr>
          <w:rFonts w:ascii="Verdana" w:hAnsi="Verdana"/>
        </w:rPr>
      </w:pPr>
      <w:r w:rsidRPr="003A0969">
        <w:rPr>
          <w:rFonts w:ascii="Verdana" w:hAnsi="Verdana"/>
        </w:rPr>
        <w:t>Gegadigde voldoet aan het volgende niveau van de CO2-prestatieladder:</w:t>
      </w:r>
    </w:p>
    <w:tbl>
      <w:tblPr>
        <w:tblStyle w:val="TableGrid"/>
        <w:tblW w:w="0" w:type="auto"/>
        <w:tblLook w:val="04A0" w:firstRow="1" w:lastRow="0" w:firstColumn="1" w:lastColumn="0" w:noHBand="0" w:noVBand="1"/>
      </w:tblPr>
      <w:tblGrid>
        <w:gridCol w:w="1335"/>
        <w:gridCol w:w="905"/>
        <w:gridCol w:w="6892"/>
      </w:tblGrid>
      <w:tr w:rsidR="00C84D2C" w:rsidRPr="003A0969" w14:paraId="42706A53" w14:textId="77777777" w:rsidTr="00DF452F">
        <w:tc>
          <w:tcPr>
            <w:tcW w:w="1188" w:type="dxa"/>
          </w:tcPr>
          <w:p w14:paraId="189B0560" w14:textId="77777777" w:rsidR="00C84D2C" w:rsidRPr="003A0969" w:rsidRDefault="00C84D2C" w:rsidP="00DF452F">
            <w:pPr>
              <w:rPr>
                <w:rFonts w:ascii="Verdana" w:hAnsi="Verdana" w:cs="Tahoma"/>
                <w:szCs w:val="20"/>
              </w:rPr>
            </w:pPr>
            <w:r w:rsidRPr="003A0969">
              <w:rPr>
                <w:rFonts w:ascii="Verdana" w:hAnsi="Verdana" w:cs="Tahoma"/>
                <w:szCs w:val="20"/>
              </w:rPr>
              <w:t>Aankruisen indien van toepassing</w:t>
            </w:r>
          </w:p>
        </w:tc>
        <w:tc>
          <w:tcPr>
            <w:tcW w:w="817" w:type="dxa"/>
          </w:tcPr>
          <w:p w14:paraId="0E29F118" w14:textId="77777777" w:rsidR="00C84D2C" w:rsidRPr="003A0969" w:rsidRDefault="00C84D2C" w:rsidP="00DF452F">
            <w:pPr>
              <w:rPr>
                <w:rFonts w:ascii="Verdana" w:hAnsi="Verdana" w:cs="Tahoma"/>
                <w:szCs w:val="20"/>
              </w:rPr>
            </w:pPr>
            <w:r w:rsidRPr="003A0969">
              <w:rPr>
                <w:rFonts w:ascii="Verdana" w:hAnsi="Verdana" w:cs="Tahoma"/>
                <w:szCs w:val="20"/>
              </w:rPr>
              <w:t>Niveau</w:t>
            </w:r>
          </w:p>
        </w:tc>
        <w:tc>
          <w:tcPr>
            <w:tcW w:w="6892" w:type="dxa"/>
          </w:tcPr>
          <w:p w14:paraId="7A12E88D" w14:textId="77777777" w:rsidR="00C84D2C" w:rsidRPr="003A0969" w:rsidRDefault="00C84D2C" w:rsidP="00DF452F">
            <w:pPr>
              <w:rPr>
                <w:rFonts w:ascii="Verdana" w:hAnsi="Verdana" w:cs="Tahoma"/>
                <w:szCs w:val="20"/>
              </w:rPr>
            </w:pPr>
            <w:r w:rsidRPr="003A0969">
              <w:rPr>
                <w:rFonts w:ascii="Verdana" w:hAnsi="Verdana" w:cs="Tahoma"/>
                <w:szCs w:val="20"/>
              </w:rPr>
              <w:t>Omschrijving</w:t>
            </w:r>
          </w:p>
        </w:tc>
      </w:tr>
      <w:tr w:rsidR="00C84D2C" w:rsidRPr="003A0969" w14:paraId="07816423" w14:textId="77777777" w:rsidTr="00DF452F">
        <w:trPr>
          <w:trHeight w:val="310"/>
        </w:trPr>
        <w:tc>
          <w:tcPr>
            <w:tcW w:w="1188" w:type="dxa"/>
          </w:tcPr>
          <w:p w14:paraId="6DABCACA" w14:textId="77777777" w:rsidR="00C84D2C" w:rsidRPr="003A0969" w:rsidRDefault="00C84D2C" w:rsidP="00DF452F">
            <w:pPr>
              <w:jc w:val="center"/>
              <w:rPr>
                <w:rFonts w:ascii="Verdana" w:hAnsi="Verdana" w:cs="Tahoma"/>
                <w:sz w:val="30"/>
                <w:szCs w:val="30"/>
              </w:rPr>
            </w:pPr>
            <w:r w:rsidRPr="003A0969">
              <w:rPr>
                <w:rFonts w:ascii="Verdana" w:hAnsi="Verdana" w:cs="Tahoma"/>
                <w:sz w:val="30"/>
                <w:szCs w:val="30"/>
              </w:rPr>
              <w:sym w:font="Wingdings 2" w:char="F02A"/>
            </w:r>
          </w:p>
        </w:tc>
        <w:tc>
          <w:tcPr>
            <w:tcW w:w="817" w:type="dxa"/>
          </w:tcPr>
          <w:p w14:paraId="728FA303" w14:textId="77777777" w:rsidR="00C84D2C" w:rsidRPr="003A0969" w:rsidRDefault="00C84D2C" w:rsidP="00DF452F">
            <w:pPr>
              <w:jc w:val="center"/>
              <w:rPr>
                <w:rFonts w:ascii="Verdana" w:hAnsi="Verdana" w:cs="Tahoma"/>
                <w:szCs w:val="20"/>
              </w:rPr>
            </w:pPr>
            <w:r w:rsidRPr="003A0969">
              <w:rPr>
                <w:rFonts w:ascii="Verdana" w:hAnsi="Verdana" w:cs="Tahoma"/>
                <w:szCs w:val="20"/>
              </w:rPr>
              <w:t>0</w:t>
            </w:r>
          </w:p>
        </w:tc>
        <w:tc>
          <w:tcPr>
            <w:tcW w:w="6892" w:type="dxa"/>
          </w:tcPr>
          <w:p w14:paraId="0B6D9F35" w14:textId="77777777" w:rsidR="00C84D2C" w:rsidRPr="003A0969" w:rsidRDefault="00C84D2C" w:rsidP="00DF452F">
            <w:pPr>
              <w:rPr>
                <w:rFonts w:ascii="Verdana" w:hAnsi="Verdana" w:cs="Tahoma"/>
                <w:sz w:val="18"/>
                <w:szCs w:val="18"/>
              </w:rPr>
            </w:pPr>
            <w:r w:rsidRPr="003A0969">
              <w:rPr>
                <w:rFonts w:ascii="Verdana" w:hAnsi="Verdana" w:cs="Tahoma"/>
                <w:sz w:val="18"/>
                <w:szCs w:val="18"/>
              </w:rPr>
              <w:t>Het bedrijf voldoet niet aan de CO2-prestatieladder.</w:t>
            </w:r>
          </w:p>
        </w:tc>
      </w:tr>
      <w:tr w:rsidR="00C84D2C" w:rsidRPr="003A0969" w14:paraId="706DD9A7" w14:textId="77777777" w:rsidTr="00DF452F">
        <w:tc>
          <w:tcPr>
            <w:tcW w:w="1188" w:type="dxa"/>
          </w:tcPr>
          <w:p w14:paraId="09EB48D1" w14:textId="77777777" w:rsidR="00C84D2C" w:rsidRPr="003A0969" w:rsidRDefault="00C84D2C" w:rsidP="00DF452F">
            <w:pPr>
              <w:jc w:val="center"/>
              <w:rPr>
                <w:rFonts w:ascii="Verdana" w:hAnsi="Verdana" w:cs="Tahoma"/>
                <w:sz w:val="30"/>
                <w:szCs w:val="30"/>
              </w:rPr>
            </w:pPr>
            <w:r w:rsidRPr="003A0969">
              <w:rPr>
                <w:rFonts w:ascii="Verdana" w:hAnsi="Verdana" w:cs="Tahoma"/>
                <w:sz w:val="30"/>
                <w:szCs w:val="30"/>
              </w:rPr>
              <w:sym w:font="Wingdings 2" w:char="F02A"/>
            </w:r>
          </w:p>
        </w:tc>
        <w:tc>
          <w:tcPr>
            <w:tcW w:w="817" w:type="dxa"/>
          </w:tcPr>
          <w:p w14:paraId="225532F3" w14:textId="77777777" w:rsidR="00C84D2C" w:rsidRPr="003A0969" w:rsidRDefault="00C84D2C" w:rsidP="00DF452F">
            <w:pPr>
              <w:jc w:val="center"/>
              <w:rPr>
                <w:rFonts w:ascii="Verdana" w:hAnsi="Verdana" w:cs="Tahoma"/>
                <w:szCs w:val="20"/>
              </w:rPr>
            </w:pPr>
            <w:r w:rsidRPr="003A0969">
              <w:rPr>
                <w:rFonts w:ascii="Verdana" w:hAnsi="Verdana" w:cs="Tahoma"/>
                <w:szCs w:val="20"/>
              </w:rPr>
              <w:t>1</w:t>
            </w:r>
          </w:p>
        </w:tc>
        <w:tc>
          <w:tcPr>
            <w:tcW w:w="6892" w:type="dxa"/>
          </w:tcPr>
          <w:p w14:paraId="39905085" w14:textId="77777777" w:rsidR="00C84D2C" w:rsidRPr="003A0969" w:rsidRDefault="00C84D2C" w:rsidP="00DF452F">
            <w:pPr>
              <w:autoSpaceDE w:val="0"/>
              <w:autoSpaceDN w:val="0"/>
              <w:adjustRightInd w:val="0"/>
              <w:spacing w:line="240" w:lineRule="auto"/>
              <w:rPr>
                <w:rFonts w:ascii="Verdana" w:hAnsi="Verdana" w:cs="Tahoma"/>
                <w:sz w:val="18"/>
                <w:szCs w:val="18"/>
              </w:rPr>
            </w:pPr>
            <w:r w:rsidRPr="003A0969">
              <w:rPr>
                <w:rFonts w:ascii="Verdana" w:eastAsia="Calibri" w:hAnsi="Verdana" w:cs="Tahoma"/>
                <w:color w:val="1D1D1B"/>
                <w:sz w:val="18"/>
                <w:szCs w:val="18"/>
              </w:rPr>
              <w:t>Het bedrijf heeft haar energiestromen kwalitatief in kaart gebracht. Het bedrijf</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kent potentiële opties voor energiebesparing en duurzame energie.</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Het bedrijf communiceert intern en extern op ad hoc basis over haar beleid m.b.t.</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energiebesparing en duurzame energie. Het bedrijf is op de hoogte van sector- en</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keteninitiatieven op het gebied van CO2-reductie.</w:t>
            </w:r>
          </w:p>
        </w:tc>
      </w:tr>
      <w:tr w:rsidR="00C84D2C" w:rsidRPr="003A0969" w14:paraId="56178684" w14:textId="77777777" w:rsidTr="00DF452F">
        <w:tc>
          <w:tcPr>
            <w:tcW w:w="1188" w:type="dxa"/>
          </w:tcPr>
          <w:p w14:paraId="4143C59E" w14:textId="77777777" w:rsidR="00C84D2C" w:rsidRPr="003A0969" w:rsidRDefault="00C84D2C" w:rsidP="00DF452F">
            <w:pPr>
              <w:jc w:val="center"/>
              <w:rPr>
                <w:rFonts w:ascii="Verdana" w:hAnsi="Verdana" w:cs="Tahoma"/>
                <w:sz w:val="30"/>
                <w:szCs w:val="30"/>
              </w:rPr>
            </w:pPr>
            <w:r w:rsidRPr="003A0969">
              <w:rPr>
                <w:rFonts w:ascii="Verdana" w:hAnsi="Verdana" w:cs="Tahoma"/>
                <w:sz w:val="30"/>
                <w:szCs w:val="30"/>
              </w:rPr>
              <w:sym w:font="Wingdings 2" w:char="F02A"/>
            </w:r>
          </w:p>
        </w:tc>
        <w:tc>
          <w:tcPr>
            <w:tcW w:w="817" w:type="dxa"/>
          </w:tcPr>
          <w:p w14:paraId="6001123E" w14:textId="77777777" w:rsidR="00C84D2C" w:rsidRPr="003A0969" w:rsidRDefault="00C84D2C" w:rsidP="00DF452F">
            <w:pPr>
              <w:jc w:val="center"/>
              <w:rPr>
                <w:rFonts w:ascii="Verdana" w:hAnsi="Verdana" w:cs="Tahoma"/>
                <w:szCs w:val="20"/>
              </w:rPr>
            </w:pPr>
            <w:r w:rsidRPr="003A0969">
              <w:rPr>
                <w:rFonts w:ascii="Verdana" w:hAnsi="Verdana" w:cs="Tahoma"/>
                <w:szCs w:val="20"/>
              </w:rPr>
              <w:t>2</w:t>
            </w:r>
          </w:p>
        </w:tc>
        <w:tc>
          <w:tcPr>
            <w:tcW w:w="6892" w:type="dxa"/>
          </w:tcPr>
          <w:p w14:paraId="2425B82E" w14:textId="77777777" w:rsidR="00C84D2C" w:rsidRPr="003A0969" w:rsidRDefault="00C84D2C" w:rsidP="00DF452F">
            <w:pPr>
              <w:autoSpaceDE w:val="0"/>
              <w:autoSpaceDN w:val="0"/>
              <w:adjustRightInd w:val="0"/>
              <w:spacing w:line="240" w:lineRule="auto"/>
              <w:rPr>
                <w:rFonts w:ascii="Verdana" w:hAnsi="Verdana" w:cs="Tahoma"/>
                <w:sz w:val="18"/>
                <w:szCs w:val="18"/>
              </w:rPr>
            </w:pPr>
            <w:r w:rsidRPr="003A0969">
              <w:rPr>
                <w:rFonts w:ascii="Verdana" w:eastAsia="Calibri" w:hAnsi="Verdana" w:cs="Tahoma"/>
                <w:color w:val="1D1D1B"/>
                <w:sz w:val="18"/>
                <w:szCs w:val="18"/>
              </w:rPr>
              <w:t>Het bedrijf heeft haar energiestromen kwantitatief in kaart gebracht. Het bedrijf</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heeft een kwalitatieve doelstelling geformuleerd op het gebied van energiebesparingen duurzame energie. Het bedrijf communiceert intern structureel over haar energiebeleid en reductiedoelstellingen. Het bedrijf neemt passief deel aan tenminste één sector- en keteninitiatief op het gebied van CO2-reductie.</w:t>
            </w:r>
          </w:p>
        </w:tc>
      </w:tr>
      <w:tr w:rsidR="00C84D2C" w:rsidRPr="003A0969" w14:paraId="2CD4E9D9" w14:textId="77777777" w:rsidTr="00DF452F">
        <w:tc>
          <w:tcPr>
            <w:tcW w:w="1188" w:type="dxa"/>
          </w:tcPr>
          <w:p w14:paraId="5F904C92" w14:textId="77777777" w:rsidR="00C84D2C" w:rsidRPr="003A0969" w:rsidRDefault="00C84D2C" w:rsidP="00DF452F">
            <w:pPr>
              <w:jc w:val="center"/>
              <w:rPr>
                <w:rFonts w:ascii="Verdana" w:hAnsi="Verdana" w:cs="Tahoma"/>
                <w:sz w:val="30"/>
                <w:szCs w:val="30"/>
              </w:rPr>
            </w:pPr>
            <w:r w:rsidRPr="003A0969">
              <w:rPr>
                <w:rFonts w:ascii="Verdana" w:hAnsi="Verdana" w:cs="Tahoma"/>
                <w:sz w:val="30"/>
                <w:szCs w:val="30"/>
              </w:rPr>
              <w:sym w:font="Wingdings 2" w:char="F02A"/>
            </w:r>
          </w:p>
        </w:tc>
        <w:tc>
          <w:tcPr>
            <w:tcW w:w="817" w:type="dxa"/>
          </w:tcPr>
          <w:p w14:paraId="3DD655FB" w14:textId="77777777" w:rsidR="00C84D2C" w:rsidRPr="003A0969" w:rsidRDefault="00C84D2C" w:rsidP="00DF452F">
            <w:pPr>
              <w:jc w:val="center"/>
              <w:rPr>
                <w:rFonts w:ascii="Verdana" w:hAnsi="Verdana" w:cs="Tahoma"/>
                <w:szCs w:val="20"/>
              </w:rPr>
            </w:pPr>
            <w:r w:rsidRPr="003A0969">
              <w:rPr>
                <w:rFonts w:ascii="Verdana" w:hAnsi="Verdana" w:cs="Tahoma"/>
                <w:szCs w:val="20"/>
              </w:rPr>
              <w:t>3</w:t>
            </w:r>
          </w:p>
        </w:tc>
        <w:tc>
          <w:tcPr>
            <w:tcW w:w="6892" w:type="dxa"/>
          </w:tcPr>
          <w:p w14:paraId="62AD48F6" w14:textId="77777777" w:rsidR="00C84D2C" w:rsidRPr="003A0969" w:rsidRDefault="00C84D2C" w:rsidP="00DF452F">
            <w:pPr>
              <w:autoSpaceDE w:val="0"/>
              <w:autoSpaceDN w:val="0"/>
              <w:adjustRightInd w:val="0"/>
              <w:spacing w:line="240" w:lineRule="auto"/>
              <w:rPr>
                <w:rFonts w:ascii="Verdana" w:hAnsi="Verdana" w:cs="Tahoma"/>
                <w:sz w:val="18"/>
                <w:szCs w:val="18"/>
              </w:rPr>
            </w:pPr>
            <w:r w:rsidRPr="003A0969">
              <w:rPr>
                <w:rFonts w:ascii="Verdana" w:eastAsia="Calibri" w:hAnsi="Verdana" w:cs="Tahoma"/>
                <w:color w:val="1D1D1B"/>
                <w:sz w:val="18"/>
                <w:szCs w:val="18"/>
              </w:rPr>
              <w:t>Het bedrijf beschikt over een actueel CO2-emissie-inventaris voor haar eigen CO2-Uitstoot dat volgens de ISO standaard is opgesteld en eventueel</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door een onafhankelijke instelling is geverifieerd. Het bedrijf beschikt over</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kwantitatieve doelstellingen voor haar eigen CO2-uitstoot. Het bedrijf</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communiceert structureel intern en extern over haar CO2-footprint en kwantitatieve</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reductiedoelstellingen. Het bedrijf neemt actief deel aan tenminste één sector- en</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keteninitiatief op het gebied van CO2-reductie.</w:t>
            </w:r>
            <w:r>
              <w:rPr>
                <w:rFonts w:ascii="Verdana" w:hAnsi="Verdana" w:cs="Tahoma"/>
                <w:sz w:val="18"/>
                <w:szCs w:val="18"/>
              </w:rPr>
              <w:t xml:space="preserve"> </w:t>
            </w:r>
          </w:p>
        </w:tc>
      </w:tr>
      <w:tr w:rsidR="00C84D2C" w:rsidRPr="003A0969" w14:paraId="7461EB8B" w14:textId="77777777" w:rsidTr="00DF452F">
        <w:tc>
          <w:tcPr>
            <w:tcW w:w="1188" w:type="dxa"/>
          </w:tcPr>
          <w:p w14:paraId="7F1BF38F" w14:textId="77777777" w:rsidR="00C84D2C" w:rsidRPr="003A0969" w:rsidRDefault="00C84D2C" w:rsidP="00DF452F">
            <w:pPr>
              <w:jc w:val="center"/>
              <w:rPr>
                <w:rFonts w:ascii="Verdana" w:hAnsi="Verdana" w:cs="Tahoma"/>
                <w:sz w:val="30"/>
                <w:szCs w:val="30"/>
              </w:rPr>
            </w:pPr>
            <w:r w:rsidRPr="003A0969">
              <w:rPr>
                <w:rFonts w:ascii="Verdana" w:hAnsi="Verdana" w:cs="Tahoma"/>
                <w:sz w:val="30"/>
                <w:szCs w:val="30"/>
              </w:rPr>
              <w:sym w:font="Wingdings 2" w:char="F02A"/>
            </w:r>
          </w:p>
        </w:tc>
        <w:tc>
          <w:tcPr>
            <w:tcW w:w="817" w:type="dxa"/>
          </w:tcPr>
          <w:p w14:paraId="6E5BAAF5" w14:textId="77777777" w:rsidR="00C84D2C" w:rsidRPr="003A0969" w:rsidRDefault="00C84D2C" w:rsidP="00DF452F">
            <w:pPr>
              <w:jc w:val="center"/>
              <w:rPr>
                <w:rFonts w:ascii="Verdana" w:hAnsi="Verdana" w:cs="Tahoma"/>
                <w:szCs w:val="20"/>
              </w:rPr>
            </w:pPr>
            <w:r w:rsidRPr="003A0969">
              <w:rPr>
                <w:rFonts w:ascii="Verdana" w:hAnsi="Verdana" w:cs="Tahoma"/>
                <w:szCs w:val="20"/>
              </w:rPr>
              <w:t>4</w:t>
            </w:r>
          </w:p>
        </w:tc>
        <w:tc>
          <w:tcPr>
            <w:tcW w:w="6892" w:type="dxa"/>
          </w:tcPr>
          <w:p w14:paraId="4DBA7C81" w14:textId="77777777" w:rsidR="00C84D2C" w:rsidRPr="003A0969" w:rsidRDefault="00C84D2C" w:rsidP="00DF452F">
            <w:pPr>
              <w:autoSpaceDE w:val="0"/>
              <w:autoSpaceDN w:val="0"/>
              <w:adjustRightInd w:val="0"/>
              <w:spacing w:line="240" w:lineRule="auto"/>
              <w:rPr>
                <w:rFonts w:ascii="Verdana" w:eastAsia="Calibri" w:hAnsi="Verdana" w:cs="Tahoma"/>
                <w:color w:val="1D1D1B"/>
                <w:sz w:val="18"/>
                <w:szCs w:val="18"/>
              </w:rPr>
            </w:pPr>
            <w:r w:rsidRPr="003A0969">
              <w:rPr>
                <w:rFonts w:ascii="Verdana" w:eastAsia="Calibri" w:hAnsi="Verdana" w:cs="Tahoma"/>
                <w:color w:val="1D1D1B"/>
                <w:sz w:val="18"/>
                <w:szCs w:val="18"/>
              </w:rPr>
              <w:t>De ketenemissies zijn op hoofdlijnen in kaart gebracht en voor</w:t>
            </w:r>
          </w:p>
          <w:p w14:paraId="06473250" w14:textId="77777777" w:rsidR="00C84D2C" w:rsidRPr="003A0969" w:rsidRDefault="00C84D2C" w:rsidP="00DF452F">
            <w:pPr>
              <w:autoSpaceDE w:val="0"/>
              <w:autoSpaceDN w:val="0"/>
              <w:adjustRightInd w:val="0"/>
              <w:spacing w:line="240" w:lineRule="auto"/>
              <w:rPr>
                <w:rFonts w:ascii="Verdana" w:hAnsi="Verdana" w:cs="Tahoma"/>
                <w:sz w:val="18"/>
                <w:szCs w:val="18"/>
              </w:rPr>
            </w:pPr>
            <w:proofErr w:type="gramStart"/>
            <w:r w:rsidRPr="003A0969">
              <w:rPr>
                <w:rFonts w:ascii="Verdana" w:eastAsia="Calibri" w:hAnsi="Verdana" w:cs="Tahoma"/>
                <w:color w:val="1D1D1B"/>
                <w:sz w:val="18"/>
                <w:szCs w:val="18"/>
              </w:rPr>
              <w:t>twee</w:t>
            </w:r>
            <w:proofErr w:type="gramEnd"/>
            <w:r w:rsidRPr="003A0969">
              <w:rPr>
                <w:rFonts w:ascii="Verdana" w:eastAsia="Calibri" w:hAnsi="Verdana" w:cs="Tahoma"/>
                <w:color w:val="1D1D1B"/>
                <w:sz w:val="18"/>
                <w:szCs w:val="18"/>
              </w:rPr>
              <w:t xml:space="preserve"> relevante ketens zijn ketenanalyses uitgevoerd. Het bedrijf beschikt over</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kwantitatieve doelstellingen voor haar ketenemissies. Het bedrijf</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onderhoudt een dialoog met belanghebbenden. Het bedrijf kan aantonen dat zij</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initiatiefnemer is van een sector- en keteninitiatief op het gebied van CO2-reductie.</w:t>
            </w:r>
            <w:r>
              <w:rPr>
                <w:rFonts w:ascii="Verdana" w:hAnsi="Verdana" w:cs="Tahoma"/>
                <w:sz w:val="18"/>
                <w:szCs w:val="18"/>
              </w:rPr>
              <w:t xml:space="preserve"> </w:t>
            </w:r>
          </w:p>
        </w:tc>
      </w:tr>
      <w:tr w:rsidR="00C84D2C" w:rsidRPr="003A0969" w14:paraId="584D81F6" w14:textId="77777777" w:rsidTr="00DF452F">
        <w:tc>
          <w:tcPr>
            <w:tcW w:w="1188" w:type="dxa"/>
          </w:tcPr>
          <w:p w14:paraId="6B963472" w14:textId="77777777" w:rsidR="00C84D2C" w:rsidRPr="003A0969" w:rsidRDefault="00C84D2C" w:rsidP="00DF452F">
            <w:pPr>
              <w:jc w:val="center"/>
              <w:rPr>
                <w:rFonts w:ascii="Verdana" w:hAnsi="Verdana" w:cs="Tahoma"/>
                <w:sz w:val="30"/>
                <w:szCs w:val="30"/>
              </w:rPr>
            </w:pPr>
            <w:r w:rsidRPr="003A0969">
              <w:rPr>
                <w:rFonts w:ascii="Verdana" w:hAnsi="Verdana" w:cs="Tahoma"/>
                <w:sz w:val="30"/>
                <w:szCs w:val="30"/>
              </w:rPr>
              <w:sym w:font="Wingdings 2" w:char="F02A"/>
            </w:r>
          </w:p>
        </w:tc>
        <w:tc>
          <w:tcPr>
            <w:tcW w:w="817" w:type="dxa"/>
          </w:tcPr>
          <w:p w14:paraId="7C66EA7A" w14:textId="77777777" w:rsidR="00C84D2C" w:rsidRPr="003A0969" w:rsidRDefault="00C84D2C" w:rsidP="00DF452F">
            <w:pPr>
              <w:jc w:val="center"/>
              <w:rPr>
                <w:rFonts w:ascii="Verdana" w:hAnsi="Verdana" w:cs="Tahoma"/>
                <w:szCs w:val="20"/>
              </w:rPr>
            </w:pPr>
            <w:r w:rsidRPr="003A0969">
              <w:rPr>
                <w:rFonts w:ascii="Verdana" w:hAnsi="Verdana" w:cs="Tahoma"/>
                <w:szCs w:val="20"/>
              </w:rPr>
              <w:t>5</w:t>
            </w:r>
          </w:p>
        </w:tc>
        <w:tc>
          <w:tcPr>
            <w:tcW w:w="6892" w:type="dxa"/>
          </w:tcPr>
          <w:p w14:paraId="133E4E46" w14:textId="77777777" w:rsidR="00C84D2C" w:rsidRPr="003A0969" w:rsidRDefault="00C84D2C" w:rsidP="00DF452F">
            <w:pPr>
              <w:autoSpaceDE w:val="0"/>
              <w:autoSpaceDN w:val="0"/>
              <w:adjustRightInd w:val="0"/>
              <w:spacing w:line="240" w:lineRule="auto"/>
              <w:rPr>
                <w:rFonts w:ascii="Verdana" w:hAnsi="Verdana" w:cs="Tahoma"/>
                <w:sz w:val="18"/>
                <w:szCs w:val="18"/>
              </w:rPr>
            </w:pPr>
            <w:r w:rsidRPr="003A0969">
              <w:rPr>
                <w:rFonts w:ascii="Verdana" w:eastAsia="Calibri" w:hAnsi="Verdana" w:cs="Tahoma"/>
                <w:color w:val="1D1D1B"/>
                <w:sz w:val="18"/>
                <w:szCs w:val="18"/>
              </w:rPr>
              <w:t>Het bedrijf beschikt over een CO2-emissie-inventaris van haar A-leveranciers.</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Het bedrijf toont aan dat de geformuleerde doelstellingen op niveau 3 en 4</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worden gerealiseerd. Het bedrijf committeert zich publiekelijk aan een CO2-reductieprogramma van overheid of maatschappelijke organisatie. Het bedrijf</w:t>
            </w:r>
            <w:r>
              <w:rPr>
                <w:rFonts w:ascii="Verdana" w:eastAsia="Calibri" w:hAnsi="Verdana" w:cs="Tahoma"/>
                <w:color w:val="1D1D1B"/>
                <w:sz w:val="18"/>
                <w:szCs w:val="18"/>
              </w:rPr>
              <w:t xml:space="preserve"> </w:t>
            </w:r>
            <w:r w:rsidRPr="003A0969">
              <w:rPr>
                <w:rFonts w:ascii="Verdana" w:eastAsia="Calibri" w:hAnsi="Verdana" w:cs="Tahoma"/>
                <w:color w:val="1D1D1B"/>
                <w:sz w:val="18"/>
                <w:szCs w:val="18"/>
              </w:rPr>
              <w:t>kan aantonen dat het een relevante bijdrage levert aan een innovatief CO2-reductieprogramma.</w:t>
            </w:r>
          </w:p>
        </w:tc>
      </w:tr>
    </w:tbl>
    <w:p w14:paraId="307F8C7D" w14:textId="77777777" w:rsidR="00C84D2C" w:rsidRPr="003A0969" w:rsidRDefault="00C84D2C" w:rsidP="00C84D2C">
      <w:pPr>
        <w:rPr>
          <w:rFonts w:ascii="Verdana" w:hAnsi="Verdana"/>
        </w:rPr>
      </w:pPr>
    </w:p>
    <w:p w14:paraId="283D7440" w14:textId="77777777" w:rsidR="00C84D2C" w:rsidRPr="003A0969" w:rsidRDefault="00C84D2C" w:rsidP="00C84D2C">
      <w:pPr>
        <w:rPr>
          <w:rFonts w:ascii="Verdana" w:hAnsi="Verdana"/>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84D2C" w:rsidRPr="003A0969" w14:paraId="7B86F9F5" w14:textId="77777777" w:rsidTr="00DF452F">
        <w:trPr>
          <w:jc w:val="center"/>
        </w:trPr>
        <w:tc>
          <w:tcPr>
            <w:tcW w:w="2835" w:type="dxa"/>
            <w:shd w:val="clear" w:color="auto" w:fill="D9D9D9"/>
          </w:tcPr>
          <w:p w14:paraId="58A170BF" w14:textId="77777777" w:rsidR="00C84D2C" w:rsidRPr="003A0969" w:rsidRDefault="00C84D2C" w:rsidP="00DF452F">
            <w:pPr>
              <w:spacing w:before="90" w:after="54"/>
              <w:ind w:left="57" w:right="57"/>
              <w:jc w:val="both"/>
              <w:rPr>
                <w:rFonts w:ascii="Verdana" w:hAnsi="Verdana" w:cs="Tahoma"/>
              </w:rPr>
            </w:pPr>
            <w:r w:rsidRPr="003A0969">
              <w:rPr>
                <w:rFonts w:ascii="Verdana" w:hAnsi="Verdana" w:cs="Tahoma"/>
              </w:rPr>
              <w:t>Naam ondergetekende</w:t>
            </w:r>
          </w:p>
        </w:tc>
        <w:tc>
          <w:tcPr>
            <w:tcW w:w="5670" w:type="dxa"/>
          </w:tcPr>
          <w:p w14:paraId="446F43C0" w14:textId="77777777" w:rsidR="00C84D2C" w:rsidRPr="003A0969" w:rsidRDefault="00C84D2C" w:rsidP="00DF452F">
            <w:pPr>
              <w:spacing w:before="90" w:after="54"/>
              <w:ind w:left="57" w:right="57"/>
              <w:jc w:val="both"/>
              <w:rPr>
                <w:rFonts w:ascii="Verdana" w:hAnsi="Verdana" w:cs="Tahoma"/>
              </w:rPr>
            </w:pPr>
          </w:p>
        </w:tc>
      </w:tr>
      <w:tr w:rsidR="00C84D2C" w:rsidRPr="003A0969" w14:paraId="1757FD8C" w14:textId="77777777" w:rsidTr="00DF452F">
        <w:trPr>
          <w:jc w:val="center"/>
        </w:trPr>
        <w:tc>
          <w:tcPr>
            <w:tcW w:w="2835" w:type="dxa"/>
            <w:shd w:val="clear" w:color="auto" w:fill="D9D9D9"/>
          </w:tcPr>
          <w:p w14:paraId="04302AB6" w14:textId="77777777" w:rsidR="00C84D2C" w:rsidRPr="003A0969" w:rsidRDefault="00C84D2C" w:rsidP="00DF452F">
            <w:pPr>
              <w:spacing w:before="90" w:after="54"/>
              <w:ind w:left="57" w:right="57"/>
              <w:jc w:val="both"/>
              <w:rPr>
                <w:rFonts w:ascii="Verdana" w:hAnsi="Verdana" w:cs="Tahoma"/>
              </w:rPr>
            </w:pPr>
            <w:r w:rsidRPr="003A0969">
              <w:rPr>
                <w:rFonts w:ascii="Verdana" w:hAnsi="Verdana" w:cs="Tahoma"/>
              </w:rPr>
              <w:t>Functie</w:t>
            </w:r>
          </w:p>
        </w:tc>
        <w:tc>
          <w:tcPr>
            <w:tcW w:w="5670" w:type="dxa"/>
          </w:tcPr>
          <w:p w14:paraId="46E34196" w14:textId="77777777" w:rsidR="00C84D2C" w:rsidRPr="003A0969" w:rsidRDefault="00C84D2C" w:rsidP="00DF452F">
            <w:pPr>
              <w:spacing w:before="90" w:after="54"/>
              <w:ind w:left="57" w:right="57"/>
              <w:jc w:val="both"/>
              <w:rPr>
                <w:rFonts w:ascii="Verdana" w:hAnsi="Verdana" w:cs="Tahoma"/>
              </w:rPr>
            </w:pPr>
          </w:p>
        </w:tc>
      </w:tr>
      <w:tr w:rsidR="00C84D2C" w:rsidRPr="00DA6830" w14:paraId="7E156B4F" w14:textId="77777777" w:rsidTr="00DF452F">
        <w:trPr>
          <w:trHeight w:val="297"/>
          <w:jc w:val="center"/>
        </w:trPr>
        <w:tc>
          <w:tcPr>
            <w:tcW w:w="2835" w:type="dxa"/>
            <w:shd w:val="clear" w:color="auto" w:fill="D9D9D9"/>
          </w:tcPr>
          <w:p w14:paraId="25A6A679" w14:textId="77777777" w:rsidR="00C84D2C" w:rsidRPr="004E1F43" w:rsidRDefault="00C84D2C" w:rsidP="00DF452F">
            <w:pPr>
              <w:spacing w:before="90" w:after="54"/>
              <w:ind w:left="57" w:right="57"/>
              <w:jc w:val="both"/>
              <w:rPr>
                <w:rFonts w:ascii="Verdana" w:hAnsi="Verdana" w:cs="Tahoma"/>
                <w:b/>
              </w:rPr>
            </w:pPr>
            <w:r w:rsidRPr="00DA6830">
              <w:rPr>
                <w:rFonts w:ascii="Verdana" w:hAnsi="Verdana" w:cs="Tahoma"/>
                <w:b/>
              </w:rPr>
              <w:t>Gegadigde</w:t>
            </w:r>
          </w:p>
        </w:tc>
        <w:tc>
          <w:tcPr>
            <w:tcW w:w="5670" w:type="dxa"/>
          </w:tcPr>
          <w:p w14:paraId="054D35CB" w14:textId="77777777" w:rsidR="00C84D2C" w:rsidRPr="004E1F43" w:rsidRDefault="00C84D2C" w:rsidP="00DF452F">
            <w:pPr>
              <w:spacing w:before="90" w:after="54"/>
              <w:ind w:left="57" w:right="57"/>
              <w:jc w:val="both"/>
              <w:rPr>
                <w:rFonts w:ascii="Verdana" w:hAnsi="Verdana" w:cs="Tahoma"/>
                <w:b/>
              </w:rPr>
            </w:pPr>
          </w:p>
        </w:tc>
      </w:tr>
      <w:tr w:rsidR="00C84D2C" w:rsidRPr="003A0969" w14:paraId="56A822A0" w14:textId="77777777" w:rsidTr="00DF452F">
        <w:trPr>
          <w:jc w:val="center"/>
        </w:trPr>
        <w:tc>
          <w:tcPr>
            <w:tcW w:w="2835" w:type="dxa"/>
            <w:shd w:val="clear" w:color="auto" w:fill="D9D9D9"/>
          </w:tcPr>
          <w:p w14:paraId="16C2A93E" w14:textId="77777777" w:rsidR="00C84D2C" w:rsidRPr="003A0969" w:rsidRDefault="00C84D2C" w:rsidP="00DF452F">
            <w:pPr>
              <w:spacing w:before="90" w:after="54"/>
              <w:ind w:left="57" w:right="57"/>
              <w:jc w:val="both"/>
              <w:rPr>
                <w:rFonts w:ascii="Verdana" w:hAnsi="Verdana" w:cs="Tahoma"/>
              </w:rPr>
            </w:pPr>
            <w:r w:rsidRPr="003A0969">
              <w:rPr>
                <w:rFonts w:ascii="Verdana" w:hAnsi="Verdana" w:cs="Tahoma"/>
              </w:rPr>
              <w:t>Handtekening</w:t>
            </w:r>
          </w:p>
          <w:p w14:paraId="44E36699" w14:textId="77777777" w:rsidR="00C84D2C" w:rsidRPr="003A0969" w:rsidRDefault="00C84D2C" w:rsidP="00DF452F">
            <w:pPr>
              <w:spacing w:before="90" w:after="54"/>
              <w:ind w:left="57" w:right="57"/>
              <w:jc w:val="both"/>
              <w:rPr>
                <w:rFonts w:ascii="Verdana" w:hAnsi="Verdana" w:cs="Tahoma"/>
              </w:rPr>
            </w:pPr>
          </w:p>
        </w:tc>
        <w:tc>
          <w:tcPr>
            <w:tcW w:w="5670" w:type="dxa"/>
          </w:tcPr>
          <w:p w14:paraId="62E3C276" w14:textId="77777777" w:rsidR="00C84D2C" w:rsidRPr="003A0969" w:rsidRDefault="00C84D2C" w:rsidP="00DF452F">
            <w:pPr>
              <w:spacing w:before="90" w:after="54"/>
              <w:ind w:left="57" w:right="57"/>
              <w:jc w:val="both"/>
              <w:rPr>
                <w:rFonts w:ascii="Verdana" w:hAnsi="Verdana" w:cs="Tahoma"/>
              </w:rPr>
            </w:pPr>
          </w:p>
        </w:tc>
      </w:tr>
      <w:tr w:rsidR="00C84D2C" w:rsidRPr="003A0969" w14:paraId="7DBF2783" w14:textId="77777777" w:rsidTr="00DF452F">
        <w:trPr>
          <w:trHeight w:val="54"/>
          <w:jc w:val="center"/>
        </w:trPr>
        <w:tc>
          <w:tcPr>
            <w:tcW w:w="2835" w:type="dxa"/>
            <w:shd w:val="clear" w:color="auto" w:fill="D9D9D9"/>
          </w:tcPr>
          <w:p w14:paraId="0B453456" w14:textId="77777777" w:rsidR="00C84D2C" w:rsidRPr="003A0969" w:rsidRDefault="00C84D2C" w:rsidP="00DF452F">
            <w:pPr>
              <w:spacing w:before="90" w:after="54"/>
              <w:ind w:left="57" w:right="57"/>
              <w:jc w:val="both"/>
              <w:rPr>
                <w:rFonts w:ascii="Verdana" w:hAnsi="Verdana" w:cs="Tahoma"/>
              </w:rPr>
            </w:pPr>
            <w:r w:rsidRPr="003A0969">
              <w:rPr>
                <w:rFonts w:ascii="Verdana" w:hAnsi="Verdana" w:cs="Tahoma"/>
              </w:rPr>
              <w:t>Plaats en datum</w:t>
            </w:r>
          </w:p>
        </w:tc>
        <w:tc>
          <w:tcPr>
            <w:tcW w:w="5670" w:type="dxa"/>
          </w:tcPr>
          <w:p w14:paraId="78F58368" w14:textId="77777777" w:rsidR="00C84D2C" w:rsidRPr="003A0969" w:rsidRDefault="00C84D2C" w:rsidP="00DF452F">
            <w:pPr>
              <w:spacing w:before="90" w:after="54"/>
              <w:ind w:left="57" w:right="57"/>
              <w:jc w:val="both"/>
              <w:rPr>
                <w:rFonts w:ascii="Verdana" w:hAnsi="Verdana" w:cs="Tahoma"/>
              </w:rPr>
            </w:pPr>
          </w:p>
        </w:tc>
      </w:tr>
    </w:tbl>
    <w:p w14:paraId="295BBAD0" w14:textId="77777777" w:rsidR="00C84D2C" w:rsidRPr="003A0969" w:rsidRDefault="00C84D2C" w:rsidP="00C84D2C">
      <w:pPr>
        <w:rPr>
          <w:rFonts w:ascii="Verdana" w:hAnsi="Verdana"/>
        </w:rPr>
      </w:pPr>
    </w:p>
    <w:bookmarkEnd w:id="3"/>
    <w:p w14:paraId="4930AA9F" w14:textId="77777777" w:rsidR="00E67C2D" w:rsidRDefault="00E67C2D"/>
    <w:sectPr w:rsidR="00E67C2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0084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2C"/>
    <w:rsid w:val="00C84D2C"/>
    <w:rsid w:val="00E6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73A6"/>
  <w15:chartTrackingRefBased/>
  <w15:docId w15:val="{7815B3EF-AD16-4EEB-A000-C0F386C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2C"/>
    <w:pPr>
      <w:spacing w:after="0" w:line="288" w:lineRule="auto"/>
    </w:pPr>
    <w:rPr>
      <w:rFonts w:ascii="Tahoma" w:eastAsia="Times New Roman" w:hAnsi="Tahoma" w:cs="Times New Roman"/>
      <w:sz w:val="20"/>
      <w:szCs w:val="24"/>
      <w:lang w:val="nl-NL" w:eastAsia="nl-NL"/>
    </w:rPr>
  </w:style>
  <w:style w:type="paragraph" w:styleId="Heading1">
    <w:name w:val="heading 1"/>
    <w:basedOn w:val="Normal"/>
    <w:next w:val="Normal"/>
    <w:link w:val="Heading1Char"/>
    <w:uiPriority w:val="99"/>
    <w:qFormat/>
    <w:rsid w:val="00C84D2C"/>
    <w:pPr>
      <w:keepNext/>
      <w:numPr>
        <w:numId w:val="1"/>
      </w:numPr>
      <w:spacing w:before="240" w:after="60"/>
      <w:outlineLvl w:val="0"/>
    </w:pPr>
    <w:rPr>
      <w:rFonts w:cs="Arial"/>
      <w:b/>
      <w:bCs/>
      <w:kern w:val="32"/>
      <w:sz w:val="28"/>
      <w:szCs w:val="28"/>
    </w:rPr>
  </w:style>
  <w:style w:type="paragraph" w:styleId="Heading2">
    <w:name w:val="heading 2"/>
    <w:basedOn w:val="Normal"/>
    <w:next w:val="Normal"/>
    <w:link w:val="Heading2Char"/>
    <w:uiPriority w:val="99"/>
    <w:qFormat/>
    <w:rsid w:val="00C84D2C"/>
    <w:pPr>
      <w:keepNext/>
      <w:numPr>
        <w:ilvl w:val="1"/>
        <w:numId w:val="1"/>
      </w:numPr>
      <w:spacing w:before="240" w:after="60"/>
      <w:outlineLvl w:val="1"/>
    </w:pPr>
    <w:rPr>
      <w:rFonts w:cs="Arial"/>
      <w:b/>
      <w:bCs/>
      <w:sz w:val="24"/>
      <w:szCs w:val="28"/>
    </w:rPr>
  </w:style>
  <w:style w:type="paragraph" w:styleId="Heading3">
    <w:name w:val="heading 3"/>
    <w:basedOn w:val="Normal"/>
    <w:next w:val="Normal"/>
    <w:link w:val="Heading3Char"/>
    <w:uiPriority w:val="99"/>
    <w:qFormat/>
    <w:rsid w:val="00C84D2C"/>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semiHidden/>
    <w:unhideWhenUsed/>
    <w:qFormat/>
    <w:rsid w:val="00C84D2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C84D2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C84D2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C84D2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C84D2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84D2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D2C"/>
    <w:rPr>
      <w:rFonts w:ascii="Tahoma" w:eastAsia="Times New Roman" w:hAnsi="Tahoma" w:cs="Arial"/>
      <w:b/>
      <w:bCs/>
      <w:kern w:val="32"/>
      <w:sz w:val="28"/>
      <w:szCs w:val="28"/>
      <w:lang w:val="nl-NL" w:eastAsia="nl-NL"/>
    </w:rPr>
  </w:style>
  <w:style w:type="character" w:customStyle="1" w:styleId="Heading2Char">
    <w:name w:val="Heading 2 Char"/>
    <w:basedOn w:val="DefaultParagraphFont"/>
    <w:link w:val="Heading2"/>
    <w:uiPriority w:val="99"/>
    <w:rsid w:val="00C84D2C"/>
    <w:rPr>
      <w:rFonts w:ascii="Tahoma" w:eastAsia="Times New Roman" w:hAnsi="Tahoma" w:cs="Arial"/>
      <w:b/>
      <w:bCs/>
      <w:sz w:val="24"/>
      <w:szCs w:val="28"/>
      <w:lang w:val="nl-NL" w:eastAsia="nl-NL"/>
    </w:rPr>
  </w:style>
  <w:style w:type="character" w:customStyle="1" w:styleId="Heading3Char">
    <w:name w:val="Heading 3 Char"/>
    <w:basedOn w:val="DefaultParagraphFont"/>
    <w:link w:val="Heading3"/>
    <w:uiPriority w:val="99"/>
    <w:rsid w:val="00C84D2C"/>
    <w:rPr>
      <w:rFonts w:ascii="Tahoma" w:eastAsia="Times New Roman" w:hAnsi="Tahoma" w:cs="Arial"/>
      <w:b/>
      <w:bCs/>
      <w:sz w:val="20"/>
      <w:szCs w:val="26"/>
      <w:lang w:val="nl-NL" w:eastAsia="nl-NL"/>
    </w:rPr>
  </w:style>
  <w:style w:type="character" w:customStyle="1" w:styleId="Heading4Char">
    <w:name w:val="Heading 4 Char"/>
    <w:basedOn w:val="DefaultParagraphFont"/>
    <w:link w:val="Heading4"/>
    <w:semiHidden/>
    <w:rsid w:val="00C84D2C"/>
    <w:rPr>
      <w:rFonts w:asciiTheme="majorHAnsi" w:eastAsiaTheme="majorEastAsia" w:hAnsiTheme="majorHAnsi" w:cstheme="majorBidi"/>
      <w:i/>
      <w:iCs/>
      <w:color w:val="2F5496" w:themeColor="accent1" w:themeShade="BF"/>
      <w:sz w:val="20"/>
      <w:szCs w:val="24"/>
      <w:lang w:val="nl-NL" w:eastAsia="nl-NL"/>
    </w:rPr>
  </w:style>
  <w:style w:type="character" w:customStyle="1" w:styleId="Heading5Char">
    <w:name w:val="Heading 5 Char"/>
    <w:basedOn w:val="DefaultParagraphFont"/>
    <w:link w:val="Heading5"/>
    <w:semiHidden/>
    <w:rsid w:val="00C84D2C"/>
    <w:rPr>
      <w:rFonts w:asciiTheme="majorHAnsi" w:eastAsiaTheme="majorEastAsia" w:hAnsiTheme="majorHAnsi" w:cstheme="majorBidi"/>
      <w:color w:val="2F5496" w:themeColor="accent1" w:themeShade="BF"/>
      <w:sz w:val="20"/>
      <w:szCs w:val="24"/>
      <w:lang w:val="nl-NL" w:eastAsia="nl-NL"/>
    </w:rPr>
  </w:style>
  <w:style w:type="character" w:customStyle="1" w:styleId="Heading6Char">
    <w:name w:val="Heading 6 Char"/>
    <w:basedOn w:val="DefaultParagraphFont"/>
    <w:link w:val="Heading6"/>
    <w:semiHidden/>
    <w:rsid w:val="00C84D2C"/>
    <w:rPr>
      <w:rFonts w:asciiTheme="majorHAnsi" w:eastAsiaTheme="majorEastAsia" w:hAnsiTheme="majorHAnsi" w:cstheme="majorBidi"/>
      <w:color w:val="1F3763" w:themeColor="accent1" w:themeShade="7F"/>
      <w:sz w:val="20"/>
      <w:szCs w:val="24"/>
      <w:lang w:val="nl-NL" w:eastAsia="nl-NL"/>
    </w:rPr>
  </w:style>
  <w:style w:type="character" w:customStyle="1" w:styleId="Heading7Char">
    <w:name w:val="Heading 7 Char"/>
    <w:basedOn w:val="DefaultParagraphFont"/>
    <w:link w:val="Heading7"/>
    <w:semiHidden/>
    <w:rsid w:val="00C84D2C"/>
    <w:rPr>
      <w:rFonts w:asciiTheme="majorHAnsi" w:eastAsiaTheme="majorEastAsia" w:hAnsiTheme="majorHAnsi" w:cstheme="majorBidi"/>
      <w:i/>
      <w:iCs/>
      <w:color w:val="1F3763" w:themeColor="accent1" w:themeShade="7F"/>
      <w:sz w:val="20"/>
      <w:szCs w:val="24"/>
      <w:lang w:val="nl-NL" w:eastAsia="nl-NL"/>
    </w:rPr>
  </w:style>
  <w:style w:type="character" w:customStyle="1" w:styleId="Heading8Char">
    <w:name w:val="Heading 8 Char"/>
    <w:basedOn w:val="DefaultParagraphFont"/>
    <w:link w:val="Heading8"/>
    <w:semiHidden/>
    <w:rsid w:val="00C84D2C"/>
    <w:rPr>
      <w:rFonts w:asciiTheme="majorHAnsi" w:eastAsiaTheme="majorEastAsia" w:hAnsiTheme="majorHAnsi" w:cstheme="majorBidi"/>
      <w:color w:val="272727" w:themeColor="text1" w:themeTint="D8"/>
      <w:sz w:val="21"/>
      <w:szCs w:val="21"/>
      <w:lang w:val="nl-NL" w:eastAsia="nl-NL"/>
    </w:rPr>
  </w:style>
  <w:style w:type="character" w:customStyle="1" w:styleId="Heading9Char">
    <w:name w:val="Heading 9 Char"/>
    <w:basedOn w:val="DefaultParagraphFont"/>
    <w:link w:val="Heading9"/>
    <w:semiHidden/>
    <w:rsid w:val="00C84D2C"/>
    <w:rPr>
      <w:rFonts w:asciiTheme="majorHAnsi" w:eastAsiaTheme="majorEastAsia" w:hAnsiTheme="majorHAnsi" w:cstheme="majorBidi"/>
      <w:i/>
      <w:iCs/>
      <w:color w:val="272727" w:themeColor="text1" w:themeTint="D8"/>
      <w:sz w:val="21"/>
      <w:szCs w:val="21"/>
      <w:lang w:val="nl-NL" w:eastAsia="nl-NL"/>
    </w:rPr>
  </w:style>
  <w:style w:type="table" w:styleId="TableGrid">
    <w:name w:val="Table Grid"/>
    <w:basedOn w:val="TableNormal"/>
    <w:uiPriority w:val="59"/>
    <w:rsid w:val="00C84D2C"/>
    <w:pPr>
      <w:spacing w:after="0" w:line="240" w:lineRule="auto"/>
    </w:pPr>
    <w:rPr>
      <w:rFonts w:ascii="Times New Roman" w:eastAsia="MS Mincho"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1996</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van der Weiden</dc:creator>
  <cp:keywords/>
  <dc:description/>
  <cp:lastModifiedBy>Maurice van der Weiden</cp:lastModifiedBy>
  <cp:revision>1</cp:revision>
  <dcterms:created xsi:type="dcterms:W3CDTF">2020-11-02T13:19:00Z</dcterms:created>
  <dcterms:modified xsi:type="dcterms:W3CDTF">2020-11-02T13:21:00Z</dcterms:modified>
</cp:coreProperties>
</file>