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4605025" w14:textId="2934C774" w:rsidR="00B6566F" w:rsidRDefault="00B6566F">
      <w:pPr>
        <w:rPr>
          <w:b/>
          <w:color w:val="00B050"/>
          <w:sz w:val="24"/>
        </w:rPr>
      </w:pPr>
      <w:r>
        <w:rPr>
          <w:noProof/>
          <w:lang w:eastAsia="nl-NL"/>
        </w:rPr>
        <mc:AlternateContent>
          <mc:Choice Requires="wps">
            <w:drawing>
              <wp:anchor distT="0" distB="0" distL="114300" distR="114300" simplePos="0" relativeHeight="251659264" behindDoc="0" locked="0" layoutInCell="1" allowOverlap="1" wp14:anchorId="5AF51D17" wp14:editId="285F2C3F">
                <wp:simplePos x="0" y="0"/>
                <wp:positionH relativeFrom="column">
                  <wp:posOffset>1557655</wp:posOffset>
                </wp:positionH>
                <wp:positionV relativeFrom="paragraph">
                  <wp:posOffset>5558155</wp:posOffset>
                </wp:positionV>
                <wp:extent cx="2743200" cy="381000"/>
                <wp:effectExtent l="0" t="0" r="19050" b="1905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81000"/>
                        </a:xfrm>
                        <a:prstGeom prst="rect">
                          <a:avLst/>
                        </a:prstGeom>
                        <a:solidFill>
                          <a:srgbClr val="FFFFFF"/>
                        </a:solidFill>
                        <a:ln w="9525">
                          <a:solidFill>
                            <a:srgbClr val="000000"/>
                          </a:solidFill>
                          <a:miter lim="800000"/>
                          <a:headEnd/>
                          <a:tailEnd/>
                        </a:ln>
                      </wps:spPr>
                      <wps:txbx>
                        <w:txbxContent>
                          <w:p w14:paraId="4232FBB8" w14:textId="5F1A7A84" w:rsidR="00B6566F" w:rsidRPr="00B6566F" w:rsidRDefault="00B6566F">
                            <w:pPr>
                              <w:rPr>
                                <w:b/>
                                <w:sz w:val="44"/>
                                <w:szCs w:val="44"/>
                              </w:rPr>
                            </w:pPr>
                            <w:r w:rsidRPr="00B6566F">
                              <w:rPr>
                                <w:b/>
                                <w:sz w:val="44"/>
                                <w:szCs w:val="44"/>
                              </w:rPr>
                              <w:t>Toolkit 2017 - 2019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51D17" id="_x0000_t202" coordsize="21600,21600" o:spt="202" path="m,l,21600r21600,l21600,xe">
                <v:stroke joinstyle="miter"/>
                <v:path gradientshapeok="t" o:connecttype="rect"/>
              </v:shapetype>
              <v:shape id="Tekstvak 2" o:spid="_x0000_s1026" type="#_x0000_t202" style="position:absolute;margin-left:122.65pt;margin-top:437.65pt;width:3in;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">
                <v:textbox>
                  <w:txbxContent>
                    <w:p w14:paraId="4232FBB8" w14:textId="5F1A7A84" w:rsidR="00B6566F" w:rsidRPr="00B6566F" w:rsidRDefault="00B6566F">
                      <w:pPr>
                        <w:rPr>
                          <w:b/>
                          <w:sz w:val="44"/>
                          <w:szCs w:val="44"/>
                        </w:rPr>
                      </w:pPr>
                      <w:r w:rsidRPr="00B6566F">
                        <w:rPr>
                          <w:b/>
                          <w:sz w:val="44"/>
                          <w:szCs w:val="44"/>
                        </w:rPr>
                        <w:t>Toolkit 2017 - 2019</w:t>
                      </w:r>
                    </w:p>
                  </w:txbxContent>
                </v:textbox>
              </v:shape>
            </w:pict>
          </mc:Fallback>
        </mc:AlternateContent>
      </w:r>
      <w:r>
        <w:rPr>
          <w:b/>
          <w:noProof/>
          <w:color w:val="00B050"/>
          <w:sz w:val="24"/>
          <w:lang w:eastAsia="nl-NL"/>
        </w:rPr>
        <w:drawing>
          <wp:inline distT="0" distB="0" distL="0" distR="0" wp14:anchorId="5D697BAC" wp14:editId="299F2E02">
            <wp:extent cx="5760720" cy="8147719"/>
            <wp:effectExtent l="0" t="0" r="0" b="5715"/>
            <wp:docPr id="1" name="Afbeelding 1" descr="C:\Users\jtiessi\AppData\Local\Microsoft\Windows\Temporary Internet Files\Content.Outlook\O33L0DBM\Voorzijde SR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iessi\AppData\Local\Microsoft\Windows\Temporary Internet Files\Content.Outlook\O33L0DBM\Voorzijde SRO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147719"/>
                    </a:xfrm>
                    <a:prstGeom prst="rect">
                      <a:avLst/>
                    </a:prstGeom>
                    <a:noFill/>
                    <a:ln>
                      <a:noFill/>
                    </a:ln>
                  </pic:spPr>
                </pic:pic>
              </a:graphicData>
            </a:graphic>
          </wp:inline>
        </w:drawing>
      </w:r>
      <w:r>
        <w:rPr>
          <w:b/>
          <w:color w:val="00B050"/>
          <w:sz w:val="24"/>
        </w:rPr>
        <w:br w:type="page"/>
      </w:r>
    </w:p>
    <w:p w14:paraId="75B84899" w14:textId="6A7E8FD2" w:rsidR="00A04E10" w:rsidRPr="00A04E10" w:rsidRDefault="00A04E10" w:rsidP="00A04E10">
      <w:pPr>
        <w:rPr>
          <w:b/>
          <w:color w:val="00B050"/>
          <w:sz w:val="24"/>
        </w:rPr>
      </w:pPr>
      <w:r w:rsidRPr="00A04E10">
        <w:rPr>
          <w:b/>
          <w:color w:val="00B050"/>
          <w:sz w:val="24"/>
        </w:rPr>
        <w:lastRenderedPageBreak/>
        <w:t xml:space="preserve">Inleiding </w:t>
      </w:r>
    </w:p>
    <w:p w14:paraId="39C60587" w14:textId="3918CD0C" w:rsidR="00A04E10" w:rsidRDefault="00A04E10" w:rsidP="00A04E10">
      <w:r>
        <w:t xml:space="preserve">Het uitgangspunt dat mensen zoveel mogelijk in reguliere banen bij reguliere werkgevers werken, wordt in de samenleving breed onderschreven. Er is immers een dringende noodzaak dat iedereen </w:t>
      </w:r>
      <w:r w:rsidR="00E22BC6">
        <w:t>die kan werken aan de slag gaat.</w:t>
      </w:r>
    </w:p>
    <w:p w14:paraId="7CCECDE7" w14:textId="5A1EC3ED" w:rsidR="00A04E10" w:rsidRDefault="00A04E10" w:rsidP="00A04E10">
      <w:r>
        <w:t xml:space="preserve">In de gemeenten </w:t>
      </w:r>
      <w:r w:rsidR="00B06FE4">
        <w:t xml:space="preserve">in de regio Noord-Holland </w:t>
      </w:r>
      <w:r w:rsidR="00B5415E">
        <w:t xml:space="preserve">Noord </w:t>
      </w:r>
      <w:r>
        <w:t>is</w:t>
      </w:r>
      <w:r w:rsidR="00B06FE4">
        <w:t xml:space="preserve"> </w:t>
      </w:r>
      <w:r>
        <w:t xml:space="preserve">het uitgangspunt dat iedereen zoveel mogelijk meedoet in de maatschappij, </w:t>
      </w:r>
      <w:r w:rsidR="00AD4EA5">
        <w:t xml:space="preserve">het </w:t>
      </w:r>
      <w:r>
        <w:t>liefst door het hebben van betaald werk. Wie kan werken, wordt actief geholpen om een baan te krijgen. Om deze reden wordt sterk ingezet op beleid voor mensen met een afstand tot de arbeidsmarkt. De Participatiewet, waarbij de gemeenten met ingang van 1 januari 2015 ook verantwoordelijk zijn voor mensen die voorheen zouden instromen in de WSW en Wajong, maakt het uitstromen naar reguliere arbeidsplaatsen</w:t>
      </w:r>
      <w:r w:rsidR="00597FBB">
        <w:t xml:space="preserve"> </w:t>
      </w:r>
      <w:r>
        <w:t xml:space="preserve">nog urgenter. </w:t>
      </w:r>
    </w:p>
    <w:p w14:paraId="24BE0A29" w14:textId="1AD4C37B" w:rsidR="00A04E10" w:rsidRDefault="00A04E10" w:rsidP="00A04E10">
      <w:r>
        <w:t xml:space="preserve">Eén van de instrumenten om de arbeidsparticipatie en -ontwikkeling in samenspraak met werkgevers te verhogen, is </w:t>
      </w:r>
      <w:proofErr w:type="spellStart"/>
      <w:r w:rsidR="00E22BC6">
        <w:t>social</w:t>
      </w:r>
      <w:proofErr w:type="spellEnd"/>
      <w:r w:rsidR="00E22BC6">
        <w:t xml:space="preserve"> return</w:t>
      </w:r>
      <w:r>
        <w:t xml:space="preserve"> on investment</w:t>
      </w:r>
      <w:r w:rsidR="00950E0F">
        <w:t xml:space="preserve"> (kortweg SROI)</w:t>
      </w:r>
      <w:r>
        <w:t xml:space="preserve">. Het doel van </w:t>
      </w:r>
      <w:r w:rsidR="00950E0F">
        <w:t>SROI</w:t>
      </w:r>
      <w:r>
        <w:t xml:space="preserve"> is ervoor te zorgen dat een investering door</w:t>
      </w:r>
      <w:r w:rsidR="00B06FE4">
        <w:t xml:space="preserve"> </w:t>
      </w:r>
      <w:r>
        <w:t xml:space="preserve">de gemeente, naast het ‘gewone’ rendement ook een concreet ‘maatschappelijk rendement’ oplevert. De gemeenten </w:t>
      </w:r>
      <w:r w:rsidR="00B06FE4">
        <w:t xml:space="preserve">in de regio Noord-Holland Noord </w:t>
      </w:r>
      <w:r>
        <w:t xml:space="preserve">vinden het belangrijk dat haar opdrachtnemers een bijdrage leveren aan het verwezenlijken van sociale doelstellingen, waarbij het accent ligt op het terrein van werkgelegenheid van mensen die een uitkering ontvangen of aan leerlingen die voor hun opleiding een leerwerkplek of stageplaats zoeken. </w:t>
      </w:r>
    </w:p>
    <w:p w14:paraId="29988875" w14:textId="4C6E0059" w:rsidR="00A04E10" w:rsidRPr="00FB2A1E" w:rsidRDefault="00B06FE4" w:rsidP="00A04E10">
      <w:pPr>
        <w:rPr>
          <w:color w:val="FF0000"/>
        </w:rPr>
      </w:pPr>
      <w:r w:rsidRPr="00FB2A1E">
        <w:t xml:space="preserve">De regio Noord-Holland Noord </w:t>
      </w:r>
      <w:r w:rsidR="00A04E10" w:rsidRPr="00FB2A1E">
        <w:t>bestaat ui</w:t>
      </w:r>
      <w:r w:rsidR="0020564C" w:rsidRPr="00FB2A1E">
        <w:t xml:space="preserve">t </w:t>
      </w:r>
      <w:r w:rsidR="00FB2A1E" w:rsidRPr="00FB2A1E">
        <w:t xml:space="preserve">drie </w:t>
      </w:r>
      <w:proofErr w:type="spellStart"/>
      <w:r w:rsidR="00FB2A1E" w:rsidRPr="00FB2A1E">
        <w:t>subregio’s</w:t>
      </w:r>
      <w:proofErr w:type="spellEnd"/>
      <w:r w:rsidR="00FB2A1E" w:rsidRPr="00FB2A1E">
        <w:t xml:space="preserve"> met verschillende </w:t>
      </w:r>
      <w:r w:rsidR="0020564C" w:rsidRPr="00FB2A1E">
        <w:t>gemeente:</w:t>
      </w:r>
      <w:r w:rsidR="00FB2A1E" w:rsidRPr="00FB2A1E">
        <w:br/>
        <w:t>1. Noord-Kennemerland: Alkmaar, Heerhugowaard, Langedijk</w:t>
      </w:r>
      <w:r w:rsidR="000B36B8">
        <w:t xml:space="preserve"> </w:t>
      </w:r>
      <w:r w:rsidR="00FB2A1E" w:rsidRPr="00FB2A1E">
        <w:t>, Bergen, Uitgeest, Castricum en Heiloo</w:t>
      </w:r>
      <w:r w:rsidR="000B36B8">
        <w:t xml:space="preserve"> (BUCH)</w:t>
      </w:r>
      <w:r w:rsidR="00FB2A1E" w:rsidRPr="00FB2A1E">
        <w:t>.</w:t>
      </w:r>
      <w:r w:rsidR="00FB2A1E" w:rsidRPr="00FB2A1E">
        <w:br/>
        <w:t>2. Kop: Den Helder, Hollands Kroon, Schagen en Texel.</w:t>
      </w:r>
      <w:r w:rsidR="00FB2A1E" w:rsidRPr="00FB2A1E">
        <w:br/>
        <w:t>3. West-Friesland: Hoorn, Koggenland, Opmeer, Medemblik, Stede Broec, Enkhuizen en Drechterland.</w:t>
      </w:r>
      <w:r w:rsidR="00FB2A1E" w:rsidRPr="00FB2A1E">
        <w:br/>
      </w:r>
      <w:r w:rsidR="00A04E10" w:rsidRPr="00B06FE4">
        <w:t xml:space="preserve">Deze gemeenten hebben gekozen voor één gemeenschappelijk </w:t>
      </w:r>
      <w:r w:rsidR="00950E0F">
        <w:t>SROI</w:t>
      </w:r>
      <w:r w:rsidR="00A04E10" w:rsidRPr="00B06FE4">
        <w:t xml:space="preserve"> beleid</w:t>
      </w:r>
      <w:r w:rsidR="00AD4EA5">
        <w:t>.</w:t>
      </w:r>
      <w:r w:rsidR="00A04E10" w:rsidRPr="00B06FE4">
        <w:t xml:space="preserve"> </w:t>
      </w:r>
      <w:r w:rsidR="00A04E10">
        <w:t xml:space="preserve">Opdrachtnemers van de gemeenten krijgen daarom te maken met een eenduidige benadering en afhandeling van hun </w:t>
      </w:r>
      <w:r w:rsidR="00950E0F">
        <w:t>SROI</w:t>
      </w:r>
      <w:r w:rsidR="00A04E10">
        <w:t xml:space="preserve"> verplichting. Bovendien kunnen er makkelijker gemeente-overstijgende samenwerkingsafspraken worden gemaakt met opdrachtnemers of sectoren. </w:t>
      </w:r>
    </w:p>
    <w:p w14:paraId="5BB7C7DE" w14:textId="10C12664" w:rsidR="00AF2E18" w:rsidRPr="008B5A60" w:rsidRDefault="00A04E10" w:rsidP="00A04E10">
      <w:pPr>
        <w:rPr>
          <w:b/>
          <w:color w:val="00B050"/>
          <w:sz w:val="24"/>
        </w:rPr>
      </w:pPr>
      <w:r w:rsidRPr="00A04E10">
        <w:rPr>
          <w:b/>
          <w:color w:val="00B050"/>
          <w:sz w:val="24"/>
        </w:rPr>
        <w:t>Beleidskader en protoc</w:t>
      </w:r>
      <w:r w:rsidR="008B5A60">
        <w:rPr>
          <w:b/>
          <w:color w:val="00B050"/>
          <w:sz w:val="24"/>
        </w:rPr>
        <w:t xml:space="preserve">ol </w:t>
      </w:r>
      <w:r w:rsidR="00950E0F">
        <w:rPr>
          <w:b/>
          <w:color w:val="00B050"/>
          <w:sz w:val="24"/>
        </w:rPr>
        <w:t>SROI</w:t>
      </w:r>
      <w:r w:rsidR="008B5A60">
        <w:rPr>
          <w:b/>
          <w:color w:val="00B050"/>
          <w:sz w:val="24"/>
        </w:rPr>
        <w:t xml:space="preserve"> </w:t>
      </w:r>
    </w:p>
    <w:p w14:paraId="347B87E9" w14:textId="0792E3AB" w:rsidR="00A04E10" w:rsidRPr="00F06315" w:rsidRDefault="003479FF" w:rsidP="00A04E10">
      <w:pPr>
        <w:rPr>
          <w:color w:val="FF0000"/>
        </w:rPr>
      </w:pPr>
      <w:r w:rsidRPr="00597FBB">
        <w:t xml:space="preserve">In regio Noord-Holland Noord is </w:t>
      </w:r>
      <w:r w:rsidR="00950E0F">
        <w:t xml:space="preserve">de Toolkit SROI 2017-2019 </w:t>
      </w:r>
      <w:r w:rsidR="00AF2E18">
        <w:t xml:space="preserve">van toepassing op alle </w:t>
      </w:r>
      <w:r w:rsidR="00A04E10">
        <w:t xml:space="preserve">inkoop/aanbestedingen van de gemeenten in de regio </w:t>
      </w:r>
      <w:r w:rsidR="00AF2E18">
        <w:t xml:space="preserve">waarin een </w:t>
      </w:r>
      <w:r w:rsidR="00950E0F">
        <w:t>SROI bepaling is opgenomen. Deze</w:t>
      </w:r>
      <w:r w:rsidR="00A04E10">
        <w:t xml:space="preserve"> </w:t>
      </w:r>
      <w:r w:rsidR="00950E0F">
        <w:t>Toolkit</w:t>
      </w:r>
      <w:r w:rsidR="00A04E10">
        <w:t xml:space="preserve"> is primair bedoe</w:t>
      </w:r>
      <w:r w:rsidR="00AF2E18">
        <w:t xml:space="preserve">ld voor opdrachtnemers die een </w:t>
      </w:r>
      <w:r w:rsidR="00A04E10">
        <w:t xml:space="preserve">opdracht van de gemeente gegund hebben gekregen en beschrijft </w:t>
      </w:r>
      <w:r w:rsidR="00AF2E18">
        <w:t xml:space="preserve">de kaders waarbinnen de </w:t>
      </w:r>
      <w:r w:rsidR="00950E0F">
        <w:t>SROI</w:t>
      </w:r>
      <w:r w:rsidR="00A04E10">
        <w:t xml:space="preserve"> verplichting kan worden ingevuld. </w:t>
      </w:r>
      <w:r w:rsidR="008B5A60">
        <w:t>H</w:t>
      </w:r>
      <w:r w:rsidR="00A04E10">
        <w:t>et</w:t>
      </w:r>
      <w:r w:rsidR="00950E0F">
        <w:t xml:space="preserve"> is</w:t>
      </w:r>
      <w:r w:rsidR="00AF2E18">
        <w:t xml:space="preserve"> te downloaden </w:t>
      </w:r>
      <w:r w:rsidR="008B5A60">
        <w:t xml:space="preserve">via </w:t>
      </w:r>
      <w:r w:rsidR="008B5A60" w:rsidRPr="00597FBB">
        <w:t>www.rpa-nhn.nl.</w:t>
      </w:r>
    </w:p>
    <w:p w14:paraId="0219BD94" w14:textId="77777777" w:rsidR="008B5A60" w:rsidRDefault="008B5A60" w:rsidP="00A04E10">
      <w:pPr>
        <w:rPr>
          <w:b/>
          <w:sz w:val="28"/>
          <w:szCs w:val="28"/>
        </w:rPr>
      </w:pPr>
    </w:p>
    <w:p w14:paraId="308A98A1" w14:textId="77777777" w:rsidR="008B5A60" w:rsidRDefault="008B5A60" w:rsidP="00A04E10">
      <w:pPr>
        <w:rPr>
          <w:b/>
          <w:sz w:val="28"/>
          <w:szCs w:val="28"/>
        </w:rPr>
      </w:pPr>
    </w:p>
    <w:p w14:paraId="44E16BED" w14:textId="77777777" w:rsidR="00950E0F" w:rsidRDefault="00950E0F" w:rsidP="00A04E10">
      <w:pPr>
        <w:rPr>
          <w:b/>
          <w:sz w:val="28"/>
          <w:szCs w:val="28"/>
        </w:rPr>
      </w:pPr>
    </w:p>
    <w:p w14:paraId="16F64D46" w14:textId="77777777" w:rsidR="00950E0F" w:rsidRDefault="00950E0F" w:rsidP="00A04E10">
      <w:pPr>
        <w:rPr>
          <w:b/>
          <w:sz w:val="28"/>
          <w:szCs w:val="28"/>
        </w:rPr>
      </w:pPr>
    </w:p>
    <w:p w14:paraId="500E255E" w14:textId="7C758E4F" w:rsidR="00A04E10" w:rsidRPr="00AF2E18" w:rsidRDefault="00950E0F" w:rsidP="00A04E10">
      <w:pPr>
        <w:rPr>
          <w:b/>
          <w:sz w:val="28"/>
          <w:szCs w:val="28"/>
        </w:rPr>
      </w:pPr>
      <w:r>
        <w:rPr>
          <w:b/>
          <w:sz w:val="28"/>
          <w:szCs w:val="28"/>
        </w:rPr>
        <w:lastRenderedPageBreak/>
        <w:t>R</w:t>
      </w:r>
      <w:r w:rsidR="00A04E10" w:rsidRPr="00AF2E18">
        <w:rPr>
          <w:b/>
          <w:sz w:val="28"/>
          <w:szCs w:val="28"/>
        </w:rPr>
        <w:t xml:space="preserve">ichtlijnen voor de invulling van de </w:t>
      </w:r>
      <w:r>
        <w:rPr>
          <w:b/>
          <w:sz w:val="28"/>
          <w:szCs w:val="28"/>
        </w:rPr>
        <w:t>SROI</w:t>
      </w:r>
      <w:r w:rsidR="00A04E10" w:rsidRPr="00AF2E18">
        <w:rPr>
          <w:b/>
          <w:sz w:val="28"/>
          <w:szCs w:val="28"/>
        </w:rPr>
        <w:t xml:space="preserve"> verplichting </w:t>
      </w:r>
    </w:p>
    <w:p w14:paraId="49BC5F90" w14:textId="6D5624E3" w:rsidR="00A04E10" w:rsidRPr="008B5A60" w:rsidRDefault="00A04E10" w:rsidP="00A04E10">
      <w:pPr>
        <w:rPr>
          <w:color w:val="00B050"/>
          <w:sz w:val="24"/>
        </w:rPr>
      </w:pPr>
      <w:r>
        <w:t xml:space="preserve">Hieronder wordt ingegaan op de wijze waarop opdrachtnemers hun </w:t>
      </w:r>
      <w:r w:rsidR="00950E0F">
        <w:t>SROI</w:t>
      </w:r>
      <w:r w:rsidR="00AF2E18">
        <w:t xml:space="preserve"> verplichting kunnen </w:t>
      </w:r>
      <w:r>
        <w:t xml:space="preserve">invullen en hoe het proces rondom deze invulling verloopt. </w:t>
      </w:r>
    </w:p>
    <w:p w14:paraId="5AAAFE0A" w14:textId="4159FD44" w:rsidR="00A04E10" w:rsidRPr="008B5A60" w:rsidRDefault="00A04E10" w:rsidP="00A04E10">
      <w:pPr>
        <w:rPr>
          <w:b/>
          <w:color w:val="00B050"/>
          <w:sz w:val="24"/>
        </w:rPr>
      </w:pPr>
      <w:r w:rsidRPr="008B5A60">
        <w:rPr>
          <w:b/>
          <w:color w:val="00B050"/>
          <w:sz w:val="24"/>
        </w:rPr>
        <w:t xml:space="preserve">1.  Mogelijkheden tot invulling van de </w:t>
      </w:r>
      <w:r w:rsidR="00950E0F">
        <w:rPr>
          <w:b/>
          <w:color w:val="00B050"/>
          <w:sz w:val="24"/>
        </w:rPr>
        <w:t>SROI</w:t>
      </w:r>
      <w:r w:rsidRPr="008B5A60">
        <w:rPr>
          <w:b/>
          <w:color w:val="00B050"/>
          <w:sz w:val="24"/>
        </w:rPr>
        <w:t xml:space="preserve"> verplichting </w:t>
      </w:r>
    </w:p>
    <w:p w14:paraId="6CE0A098" w14:textId="620DBA6A" w:rsidR="00A04E10" w:rsidRDefault="00A04E10" w:rsidP="00A04E10">
      <w:r>
        <w:t xml:space="preserve">Voor de invulling van de </w:t>
      </w:r>
      <w:r w:rsidR="00950E0F">
        <w:t>SROI</w:t>
      </w:r>
      <w:r>
        <w:t xml:space="preserve"> verplichtingbestaan de volgende mogelijkheden: </w:t>
      </w:r>
    </w:p>
    <w:p w14:paraId="007DD4B1" w14:textId="2C881C6C" w:rsidR="00A04E10" w:rsidRDefault="00B06FE4" w:rsidP="00A04E10">
      <w:r>
        <w:t xml:space="preserve">1. </w:t>
      </w:r>
      <w:r w:rsidR="00A04E10">
        <w:t>Het aanbieden van een betaalde arbeidsplaats</w:t>
      </w:r>
      <w:r w:rsidR="00597FBB">
        <w:t xml:space="preserve"> </w:t>
      </w:r>
      <w:r w:rsidR="00A04E10">
        <w:t>aan kandidaten in e</w:t>
      </w:r>
      <w:r w:rsidR="008B5A60">
        <w:t xml:space="preserve">en uitkeringssituatie. Aan een </w:t>
      </w:r>
      <w:r w:rsidR="00A04E10">
        <w:t>kandidaat wordt minimaal het minimumloon uitbetaald</w:t>
      </w:r>
      <w:r w:rsidR="00597FBB">
        <w:t xml:space="preserve"> </w:t>
      </w:r>
      <w:r w:rsidR="00A04E10">
        <w:t>confor</w:t>
      </w:r>
      <w:r w:rsidR="008B5A60">
        <w:t xml:space="preserve">m wet of CAO. De invulling </w:t>
      </w:r>
      <w:r w:rsidR="00AD4EA5">
        <w:t xml:space="preserve">moet zoveel mogelijk </w:t>
      </w:r>
      <w:r w:rsidR="00A04E10">
        <w:t>binnen de</w:t>
      </w:r>
      <w:r w:rsidR="003D1DC3">
        <w:t xml:space="preserve"> gegunde opdracht plaatsvinden. Al</w:t>
      </w:r>
      <w:r w:rsidR="00AD4EA5">
        <w:t>s dit niet lukt dan kan dit</w:t>
      </w:r>
      <w:r w:rsidR="003D1DC3">
        <w:t>,</w:t>
      </w:r>
      <w:r w:rsidR="00A04E10">
        <w:t xml:space="preserve"> </w:t>
      </w:r>
      <w:r w:rsidR="003D1DC3">
        <w:t xml:space="preserve">in overleg met de coördinator SROI, ook elders </w:t>
      </w:r>
      <w:r w:rsidR="008B5A60">
        <w:t xml:space="preserve">binnen de organisatie van de </w:t>
      </w:r>
      <w:r w:rsidR="00A04E10">
        <w:t>opdrachtnemer of bij onderaannemers</w:t>
      </w:r>
      <w:r w:rsidR="003D1DC3">
        <w:t xml:space="preserve"> worden ingevuld</w:t>
      </w:r>
      <w:r w:rsidR="00A04E10">
        <w:t>. Het is ook mogelijk om k</w:t>
      </w:r>
      <w:r w:rsidR="008B5A60">
        <w:t xml:space="preserve">andidaten te plaatsen op basis </w:t>
      </w:r>
      <w:r w:rsidR="00A04E10">
        <w:t>van een detacherings- of uitzendovereenkomst. Een derde partij</w:t>
      </w:r>
      <w:r w:rsidR="008B5A60">
        <w:t xml:space="preserve"> is dan juridisch werkgever en </w:t>
      </w:r>
      <w:r w:rsidR="00A04E10">
        <w:t xml:space="preserve">detacheert de kandidaat bij de opdrachtnemer. </w:t>
      </w:r>
    </w:p>
    <w:p w14:paraId="76554C4F" w14:textId="77777777" w:rsidR="00A04E10" w:rsidRDefault="00B06FE4" w:rsidP="00A04E10">
      <w:r>
        <w:t xml:space="preserve">2. </w:t>
      </w:r>
      <w:r w:rsidR="00A04E10">
        <w:t>Het aanbieden van een leerwerkplek</w:t>
      </w:r>
      <w:r w:rsidR="00597FBB">
        <w:t xml:space="preserve"> </w:t>
      </w:r>
      <w:r w:rsidR="00A04E10">
        <w:t>of stageplaats</w:t>
      </w:r>
      <w:r w:rsidR="00597FBB">
        <w:t xml:space="preserve"> </w:t>
      </w:r>
      <w:r w:rsidR="00A04E10">
        <w:t>aan st</w:t>
      </w:r>
      <w:r w:rsidR="008B5A60">
        <w:t>udenten en scholieren</w:t>
      </w:r>
      <w:r w:rsidR="00597FBB">
        <w:t xml:space="preserve"> of uitkeringsgerechtigden</w:t>
      </w:r>
      <w:r w:rsidR="008B5A60">
        <w:t>.</w:t>
      </w:r>
      <w:r w:rsidR="00597FBB">
        <w:rPr>
          <w:rStyle w:val="Voetnootmarkering"/>
        </w:rPr>
        <w:footnoteReference w:id="1"/>
      </w:r>
      <w:r w:rsidR="008B5A60">
        <w:t xml:space="preserve"> Voor de </w:t>
      </w:r>
      <w:r w:rsidR="00A04E10">
        <w:t xml:space="preserve">Beroeps Begeleidende Leerweg (BBL) dient de opdrachtnemer te </w:t>
      </w:r>
      <w:r w:rsidR="008B5A60">
        <w:t xml:space="preserve">zijn geregistreerd als ‘Erkend </w:t>
      </w:r>
      <w:r w:rsidR="00A04E10">
        <w:t xml:space="preserve">Leerbedrijf’. </w:t>
      </w:r>
    </w:p>
    <w:p w14:paraId="415D73E1" w14:textId="1FEA02B8" w:rsidR="00A04E10" w:rsidRDefault="00B06FE4" w:rsidP="00A04E10">
      <w:r>
        <w:t xml:space="preserve">3. </w:t>
      </w:r>
      <w:r w:rsidR="00A04E10">
        <w:t>In overleg met en na voorafgaande schriftelijke goedkeu</w:t>
      </w:r>
      <w:r w:rsidR="007B69CC">
        <w:t xml:space="preserve">ring van de gemeente kunnen in </w:t>
      </w:r>
      <w:r w:rsidR="00A04E10">
        <w:t>sommige gevallen ook de daadwerkelijk door de opdrachtneme</w:t>
      </w:r>
      <w:r w:rsidR="007B69CC">
        <w:t xml:space="preserve">r gemaakte kosten voor </w:t>
      </w:r>
      <w:r w:rsidR="00A04E10">
        <w:t>opleiding en extra begeleiding</w:t>
      </w:r>
      <w:r w:rsidR="00597FBB">
        <w:t xml:space="preserve"> </w:t>
      </w:r>
      <w:r w:rsidR="00A04E10">
        <w:t>van de kandidaat worden meegeteld</w:t>
      </w:r>
      <w:r w:rsidR="007B69CC">
        <w:t xml:space="preserve"> bij de invulling</w:t>
      </w:r>
      <w:r w:rsidR="00597FBB">
        <w:t xml:space="preserve"> </w:t>
      </w:r>
      <w:r w:rsidR="007B69CC">
        <w:t xml:space="preserve">van de </w:t>
      </w:r>
      <w:r w:rsidR="00950E0F">
        <w:t>SROI</w:t>
      </w:r>
      <w:r w:rsidR="00A04E10">
        <w:t xml:space="preserve"> verplichting. Criterium is dat de kosten zijn gemaakt om de</w:t>
      </w:r>
      <w:r w:rsidR="007B69CC">
        <w:t xml:space="preserve"> kansen van de kandidaat op de </w:t>
      </w:r>
      <w:r w:rsidR="00A04E10">
        <w:t>arbeidsmarkt te vergroten c.q. de afstand tot de arbeidsmarkt t</w:t>
      </w:r>
      <w:r w:rsidR="007B69CC">
        <w:t xml:space="preserve">e verkleinen. De opdrachtnemer </w:t>
      </w:r>
      <w:r w:rsidR="00A04E10">
        <w:t xml:space="preserve">dient dit aan te tonen. </w:t>
      </w:r>
    </w:p>
    <w:p w14:paraId="39334373" w14:textId="77777777" w:rsidR="00A04E10" w:rsidRDefault="00A04E10" w:rsidP="00A04E10">
      <w:r>
        <w:t xml:space="preserve">Voor kandidaten uit de categorieën Participatiewet </w:t>
      </w:r>
      <w:r w:rsidR="007B69CC">
        <w:t xml:space="preserve">en WIA/WAO en SW kan gedurende </w:t>
      </w:r>
      <w:r>
        <w:t>maximaal drie maanden voor extra begeleiding maximaal 2 uur per week per kandidaat w</w:t>
      </w:r>
      <w:r w:rsidR="007B69CC">
        <w:t xml:space="preserve">orden </w:t>
      </w:r>
      <w:r>
        <w:t xml:space="preserve">meegerekend tegen een tarief van €75,- per uur. Voor de </w:t>
      </w:r>
      <w:r w:rsidR="007B69CC">
        <w:t xml:space="preserve">overige categorieën kandidaten </w:t>
      </w:r>
      <w:r>
        <w:t xml:space="preserve">worden geen extra begeleidingskosten meegerekend. </w:t>
      </w:r>
    </w:p>
    <w:p w14:paraId="2865B7E9" w14:textId="452E661F" w:rsidR="00A04E10" w:rsidRDefault="00B06FE4" w:rsidP="00A04E10">
      <w:r>
        <w:t xml:space="preserve">4. </w:t>
      </w:r>
      <w:r w:rsidR="00A04E10">
        <w:t xml:space="preserve">Blijkt dat de </w:t>
      </w:r>
      <w:r w:rsidR="00950E0F">
        <w:t>SROI</w:t>
      </w:r>
      <w:r w:rsidR="00A04E10">
        <w:t xml:space="preserve"> verplichting niet kan worden</w:t>
      </w:r>
      <w:r w:rsidR="007B69CC">
        <w:t xml:space="preserve"> ingevuld binnen de voornoemde </w:t>
      </w:r>
      <w:r w:rsidR="00A04E10">
        <w:t>categorieën, dan kan de opdrachtnemer in overleg met en na to</w:t>
      </w:r>
      <w:r w:rsidR="007B69CC">
        <w:t xml:space="preserve">estemming van de gemeente zelf </w:t>
      </w:r>
      <w:r w:rsidR="00A04E10">
        <w:t>een voorstel indienen hoe hij op een andere creatieve wijze</w:t>
      </w:r>
      <w:r w:rsidR="003479FF">
        <w:t xml:space="preserve"> </w:t>
      </w:r>
      <w:r w:rsidR="00A04E10">
        <w:t>invullin</w:t>
      </w:r>
      <w:r w:rsidR="007B69CC">
        <w:t xml:space="preserve">g wil geven aan zijn </w:t>
      </w:r>
      <w:r w:rsidR="00A04E10">
        <w:t>verplichting. Op basis van dit voorstel wordt in overleg tu</w:t>
      </w:r>
      <w:r w:rsidR="007B69CC">
        <w:t xml:space="preserve">ssen gemeente en opdrachtnemer </w:t>
      </w:r>
      <w:r w:rsidR="00A04E10">
        <w:t xml:space="preserve">vóóraf de financiële tegenwaarde bepaald van de te leveren prestatie. </w:t>
      </w:r>
    </w:p>
    <w:p w14:paraId="614D3D62" w14:textId="77777777" w:rsidR="007B69CC" w:rsidRDefault="007B69CC" w:rsidP="00A04E10">
      <w:pPr>
        <w:rPr>
          <w:b/>
          <w:sz w:val="24"/>
          <w:u w:val="single"/>
        </w:rPr>
      </w:pPr>
    </w:p>
    <w:p w14:paraId="7CB7264F" w14:textId="77777777" w:rsidR="003D1DC3" w:rsidRDefault="003D1DC3" w:rsidP="00A04E10">
      <w:pPr>
        <w:rPr>
          <w:b/>
          <w:sz w:val="24"/>
          <w:u w:val="single"/>
        </w:rPr>
      </w:pPr>
    </w:p>
    <w:p w14:paraId="1945A50E" w14:textId="77777777" w:rsidR="003D1DC3" w:rsidRDefault="003D1DC3" w:rsidP="00A04E10">
      <w:pPr>
        <w:rPr>
          <w:b/>
          <w:sz w:val="24"/>
          <w:u w:val="single"/>
        </w:rPr>
      </w:pPr>
    </w:p>
    <w:p w14:paraId="1FD9C369" w14:textId="77777777" w:rsidR="003D1DC3" w:rsidRDefault="003D1DC3" w:rsidP="00A04E10">
      <w:pPr>
        <w:rPr>
          <w:b/>
          <w:sz w:val="24"/>
          <w:u w:val="single"/>
        </w:rPr>
      </w:pPr>
    </w:p>
    <w:p w14:paraId="7D2A5C4B" w14:textId="002A44E7" w:rsidR="00A04E10" w:rsidRDefault="00A04E10" w:rsidP="00A04E10"/>
    <w:p w14:paraId="69EC0710" w14:textId="75FE66DA" w:rsidR="003D1DC3" w:rsidRPr="007B69CC" w:rsidRDefault="003D1DC3" w:rsidP="003D1DC3">
      <w:pPr>
        <w:rPr>
          <w:b/>
          <w:color w:val="00B050"/>
          <w:sz w:val="24"/>
        </w:rPr>
      </w:pPr>
      <w:r w:rsidRPr="007B69CC">
        <w:rPr>
          <w:b/>
          <w:color w:val="00B050"/>
          <w:sz w:val="24"/>
        </w:rPr>
        <w:t xml:space="preserve">2.  </w:t>
      </w:r>
      <w:r>
        <w:rPr>
          <w:b/>
          <w:color w:val="00B050"/>
          <w:sz w:val="24"/>
        </w:rPr>
        <w:t>Garantiebanen en 7%-regeling</w:t>
      </w:r>
      <w:r w:rsidRPr="007B69CC">
        <w:rPr>
          <w:b/>
          <w:color w:val="00B050"/>
          <w:sz w:val="24"/>
        </w:rPr>
        <w:t xml:space="preserve"> </w:t>
      </w:r>
    </w:p>
    <w:p w14:paraId="5D23936B" w14:textId="77777777" w:rsidR="00A04E10" w:rsidRDefault="00A04E10" w:rsidP="00A04E10">
      <w:r>
        <w:t>Voor werkgevers/opdrachtnemers die 5% of meer van hun persone</w:t>
      </w:r>
      <w:r w:rsidR="007B69CC">
        <w:t xml:space="preserve">elsbestand hebben ingevuld met </w:t>
      </w:r>
      <w:r>
        <w:t xml:space="preserve">zogenaamde ‘garantiebanen’, wordt de eis van het bieden van nieuwe contracten niet toegepast. </w:t>
      </w:r>
    </w:p>
    <w:p w14:paraId="38DB588C" w14:textId="77777777" w:rsidR="000B36B8" w:rsidRDefault="000B36B8" w:rsidP="00A04E10">
      <w:r>
        <w:t>Indien de opdrachtnemer kan aantonen dat binnen zijn bedrijf reeds 7% of meer van het personeel  (in FTE) bestaat uit mensen vanuit de doelgroepen, is daarmee ook aan de SROI-verplichting voldaan.  Er zal een verklaring worden afgegeven die voor een jaar geldig is.</w:t>
      </w:r>
    </w:p>
    <w:p w14:paraId="51E0C32F" w14:textId="5A96F708" w:rsidR="00A04E10" w:rsidRPr="007B69CC" w:rsidRDefault="003D1DC3" w:rsidP="00A04E10">
      <w:pPr>
        <w:rPr>
          <w:b/>
          <w:color w:val="00B050"/>
          <w:sz w:val="24"/>
        </w:rPr>
      </w:pPr>
      <w:r>
        <w:rPr>
          <w:b/>
          <w:color w:val="00B050"/>
          <w:sz w:val="24"/>
        </w:rPr>
        <w:t>3</w:t>
      </w:r>
      <w:r w:rsidR="00A04E10" w:rsidRPr="007B69CC">
        <w:rPr>
          <w:b/>
          <w:color w:val="00B050"/>
          <w:sz w:val="24"/>
        </w:rPr>
        <w:t xml:space="preserve">.  Waarderingsgrondslag </w:t>
      </w:r>
    </w:p>
    <w:p w14:paraId="60F40179" w14:textId="286075CF" w:rsidR="00313655" w:rsidRDefault="00A04E10" w:rsidP="00A04E10">
      <w:r>
        <w:t xml:space="preserve">Bij de invulling van de </w:t>
      </w:r>
      <w:r w:rsidR="00950E0F">
        <w:t>SROI</w:t>
      </w:r>
      <w:r>
        <w:t xml:space="preserve"> verplichting door middel van werkgelegenheid wordt gereke</w:t>
      </w:r>
      <w:r w:rsidR="007B69CC">
        <w:t xml:space="preserve">nd </w:t>
      </w:r>
      <w:r>
        <w:t xml:space="preserve">met normbedragen volgens het zgn. ’Bouwblokkenmodel </w:t>
      </w:r>
      <w:r w:rsidR="00950E0F">
        <w:t>SROI</w:t>
      </w:r>
      <w:r w:rsidR="00313655">
        <w:t xml:space="preserve"> Noord-Holland Noord</w:t>
      </w:r>
      <w:r w:rsidR="007B69CC">
        <w:t>.</w:t>
      </w:r>
      <w:r w:rsidR="00597FBB">
        <w:rPr>
          <w:rStyle w:val="Voetnootmarkering"/>
        </w:rPr>
        <w:footnoteReference w:id="2"/>
      </w:r>
      <w:r w:rsidR="007B69CC">
        <w:t xml:space="preserve"> </w:t>
      </w:r>
      <w:r>
        <w:t>Naarmate de afstand tot de arbeidsmarkt van een kandidaat grote</w:t>
      </w:r>
      <w:r w:rsidR="007B69CC">
        <w:t xml:space="preserve">r is (m.a.w. hoe moeilijker de </w:t>
      </w:r>
      <w:r>
        <w:t>kandidaat doorgaans aan betaald werk komt of blijft), wordt het no</w:t>
      </w:r>
      <w:r w:rsidR="007B69CC">
        <w:t xml:space="preserve">rmbedrag waarmee wordt </w:t>
      </w:r>
      <w:r>
        <w:t>gerekend hoger. Het bouwblokk</w:t>
      </w:r>
      <w:r w:rsidR="007B69CC">
        <w:t xml:space="preserve">enmodel ziet er als volgt uit: </w:t>
      </w:r>
    </w:p>
    <w:tbl>
      <w:tblPr>
        <w:tblStyle w:val="Tabelraster"/>
        <w:tblW w:w="0" w:type="auto"/>
        <w:tblLook w:val="04A0" w:firstRow="1" w:lastRow="0" w:firstColumn="1" w:lastColumn="0" w:noHBand="0" w:noVBand="1"/>
      </w:tblPr>
      <w:tblGrid>
        <w:gridCol w:w="4695"/>
        <w:gridCol w:w="2648"/>
        <w:gridCol w:w="1712"/>
        <w:gridCol w:w="7"/>
      </w:tblGrid>
      <w:tr w:rsidR="00014759" w14:paraId="58F1F8F6" w14:textId="77777777" w:rsidTr="003B4A90">
        <w:trPr>
          <w:gridAfter w:val="1"/>
          <w:wAfter w:w="7" w:type="dxa"/>
          <w:trHeight w:val="494"/>
        </w:trPr>
        <w:tc>
          <w:tcPr>
            <w:tcW w:w="4786" w:type="dxa"/>
            <w:shd w:val="clear" w:color="auto" w:fill="D9D9D9" w:themeFill="background1" w:themeFillShade="D9"/>
          </w:tcPr>
          <w:p w14:paraId="14B7FC7D" w14:textId="77777777" w:rsidR="00014759" w:rsidRPr="00A31F0B" w:rsidRDefault="00014759" w:rsidP="00A04E10">
            <w:r w:rsidRPr="00A31F0B">
              <w:t>Categorie</w:t>
            </w:r>
          </w:p>
        </w:tc>
        <w:tc>
          <w:tcPr>
            <w:tcW w:w="2693" w:type="dxa"/>
            <w:shd w:val="clear" w:color="auto" w:fill="D9D9D9" w:themeFill="background1" w:themeFillShade="D9"/>
          </w:tcPr>
          <w:p w14:paraId="715DFA95" w14:textId="77777777" w:rsidR="00014759" w:rsidRPr="00A31F0B" w:rsidRDefault="00014759" w:rsidP="00A04E10">
            <w:r w:rsidRPr="00A31F0B">
              <w:t>Normbedrag</w:t>
            </w:r>
          </w:p>
          <w:p w14:paraId="3D6328A8" w14:textId="77777777" w:rsidR="00014759" w:rsidRPr="00A31F0B" w:rsidRDefault="00014759" w:rsidP="00A04E10">
            <w:r w:rsidRPr="00A31F0B">
              <w:t>(</w:t>
            </w:r>
            <w:proofErr w:type="spellStart"/>
            <w:r w:rsidRPr="00A31F0B">
              <w:t>full-time</w:t>
            </w:r>
            <w:proofErr w:type="spellEnd"/>
            <w:r w:rsidRPr="00A31F0B">
              <w:t xml:space="preserve"> jaarbasis)</w:t>
            </w:r>
          </w:p>
        </w:tc>
        <w:tc>
          <w:tcPr>
            <w:tcW w:w="1733" w:type="dxa"/>
            <w:shd w:val="clear" w:color="auto" w:fill="D9D9D9" w:themeFill="background1" w:themeFillShade="D9"/>
          </w:tcPr>
          <w:p w14:paraId="201B78B2" w14:textId="77777777" w:rsidR="00014759" w:rsidRPr="00A31F0B" w:rsidRDefault="00014759" w:rsidP="00A04E10">
            <w:r w:rsidRPr="00A31F0B">
              <w:t>Hoe lang   meetellen ?</w:t>
            </w:r>
          </w:p>
        </w:tc>
      </w:tr>
      <w:tr w:rsidR="00014759" w14:paraId="581FA125" w14:textId="77777777" w:rsidTr="003B4A90">
        <w:trPr>
          <w:gridAfter w:val="1"/>
          <w:wAfter w:w="7" w:type="dxa"/>
          <w:trHeight w:val="355"/>
        </w:trPr>
        <w:tc>
          <w:tcPr>
            <w:tcW w:w="4786" w:type="dxa"/>
          </w:tcPr>
          <w:p w14:paraId="55E8ED54" w14:textId="77777777" w:rsidR="00A31F0B" w:rsidRDefault="00A31F0B" w:rsidP="00A31F0B">
            <w:r w:rsidRPr="00A31F0B">
              <w:t>WW&lt;1 jaar</w:t>
            </w:r>
          </w:p>
        </w:tc>
        <w:tc>
          <w:tcPr>
            <w:tcW w:w="2693" w:type="dxa"/>
          </w:tcPr>
          <w:p w14:paraId="63E581EF" w14:textId="77777777" w:rsidR="00014759" w:rsidRPr="00A31F0B" w:rsidRDefault="00A31F0B" w:rsidP="00A04E10">
            <w:pPr>
              <w:rPr>
                <w:highlight w:val="lightGray"/>
              </w:rPr>
            </w:pPr>
            <w:r w:rsidRPr="00A31F0B">
              <w:t>€10.000,-</w:t>
            </w:r>
          </w:p>
        </w:tc>
        <w:tc>
          <w:tcPr>
            <w:tcW w:w="1733" w:type="dxa"/>
          </w:tcPr>
          <w:p w14:paraId="76B6A688" w14:textId="77777777" w:rsidR="00014759" w:rsidRDefault="00A31F0B" w:rsidP="00A04E10">
            <w:r>
              <w:t>1 jaar</w:t>
            </w:r>
          </w:p>
        </w:tc>
      </w:tr>
      <w:tr w:rsidR="00014759" w14:paraId="3AB0B33F" w14:textId="77777777" w:rsidTr="003B4A90">
        <w:trPr>
          <w:gridAfter w:val="1"/>
          <w:wAfter w:w="7" w:type="dxa"/>
          <w:trHeight w:val="500"/>
        </w:trPr>
        <w:tc>
          <w:tcPr>
            <w:tcW w:w="4786" w:type="dxa"/>
          </w:tcPr>
          <w:p w14:paraId="5075FE74" w14:textId="1E527389" w:rsidR="00014759" w:rsidRDefault="00A31F0B" w:rsidP="00A31F0B">
            <w:r>
              <w:t>WW&gt; 1 jaar of WW in</w:t>
            </w:r>
            <w:r w:rsidR="007E314C">
              <w:t xml:space="preserve"> de laatste drie maanden </w:t>
            </w:r>
          </w:p>
        </w:tc>
        <w:tc>
          <w:tcPr>
            <w:tcW w:w="2693" w:type="dxa"/>
          </w:tcPr>
          <w:p w14:paraId="59AF8533" w14:textId="77777777" w:rsidR="00014759" w:rsidRPr="00A31F0B" w:rsidRDefault="007032A9" w:rsidP="00A04E10">
            <w:pPr>
              <w:rPr>
                <w:highlight w:val="lightGray"/>
              </w:rPr>
            </w:pPr>
            <w:r w:rsidRPr="007032A9">
              <w:t>€15.000,-</w:t>
            </w:r>
          </w:p>
        </w:tc>
        <w:tc>
          <w:tcPr>
            <w:tcW w:w="1733" w:type="dxa"/>
          </w:tcPr>
          <w:p w14:paraId="3D95E64B" w14:textId="77777777" w:rsidR="00014759" w:rsidRDefault="00A31F0B" w:rsidP="00A04E10">
            <w:r>
              <w:t>1 jaar</w:t>
            </w:r>
          </w:p>
        </w:tc>
      </w:tr>
      <w:tr w:rsidR="00014759" w14:paraId="3F75F066" w14:textId="77777777" w:rsidTr="003B4A90">
        <w:trPr>
          <w:gridAfter w:val="1"/>
          <w:wAfter w:w="7" w:type="dxa"/>
        </w:trPr>
        <w:tc>
          <w:tcPr>
            <w:tcW w:w="4786" w:type="dxa"/>
          </w:tcPr>
          <w:p w14:paraId="27D95639" w14:textId="77777777" w:rsidR="00014759" w:rsidRDefault="007032A9" w:rsidP="00A04E10">
            <w:r>
              <w:t xml:space="preserve">Participatiewet &lt; 2 jaar (niet </w:t>
            </w:r>
            <w:proofErr w:type="spellStart"/>
            <w:r w:rsidRPr="007032A9">
              <w:t>arbeidsbeperkten</w:t>
            </w:r>
            <w:proofErr w:type="spellEnd"/>
            <w:r w:rsidRPr="007032A9">
              <w:t>)</w:t>
            </w:r>
          </w:p>
        </w:tc>
        <w:tc>
          <w:tcPr>
            <w:tcW w:w="2693" w:type="dxa"/>
          </w:tcPr>
          <w:p w14:paraId="57CD967B" w14:textId="77777777" w:rsidR="00014759" w:rsidRPr="00A31F0B" w:rsidRDefault="007032A9" w:rsidP="00A04E10">
            <w:pPr>
              <w:rPr>
                <w:highlight w:val="lightGray"/>
              </w:rPr>
            </w:pPr>
            <w:r w:rsidRPr="007032A9">
              <w:t>€30.000,-</w:t>
            </w:r>
          </w:p>
        </w:tc>
        <w:tc>
          <w:tcPr>
            <w:tcW w:w="1733" w:type="dxa"/>
          </w:tcPr>
          <w:p w14:paraId="0512DB5B" w14:textId="77777777" w:rsidR="00014759" w:rsidRDefault="007032A9" w:rsidP="00A04E10">
            <w:r>
              <w:t>2 jaar</w:t>
            </w:r>
          </w:p>
        </w:tc>
      </w:tr>
      <w:tr w:rsidR="00014759" w14:paraId="6DA8CF0C" w14:textId="77777777" w:rsidTr="003B4A90">
        <w:trPr>
          <w:gridAfter w:val="1"/>
          <w:wAfter w:w="7" w:type="dxa"/>
        </w:trPr>
        <w:tc>
          <w:tcPr>
            <w:tcW w:w="4786" w:type="dxa"/>
          </w:tcPr>
          <w:p w14:paraId="2A9457B1" w14:textId="5120D660" w:rsidR="00014759" w:rsidRDefault="00E22BC6" w:rsidP="00A04E10">
            <w:r>
              <w:t>Participatiewet &gt;</w:t>
            </w:r>
            <w:r w:rsidR="007032A9" w:rsidRPr="007032A9">
              <w:t xml:space="preserve"> 2 jaar (niet </w:t>
            </w:r>
            <w:proofErr w:type="spellStart"/>
            <w:r w:rsidR="007032A9" w:rsidRPr="007032A9">
              <w:t>arbeidsbeperkten</w:t>
            </w:r>
            <w:proofErr w:type="spellEnd"/>
            <w:r w:rsidR="007032A9" w:rsidRPr="007032A9">
              <w:t>)</w:t>
            </w:r>
          </w:p>
        </w:tc>
        <w:tc>
          <w:tcPr>
            <w:tcW w:w="2693" w:type="dxa"/>
          </w:tcPr>
          <w:p w14:paraId="17F4E497" w14:textId="77777777" w:rsidR="00014759" w:rsidRPr="00A31F0B" w:rsidRDefault="007032A9" w:rsidP="00A04E10">
            <w:pPr>
              <w:rPr>
                <w:highlight w:val="lightGray"/>
              </w:rPr>
            </w:pPr>
            <w:r w:rsidRPr="007032A9">
              <w:t>€35.000,-</w:t>
            </w:r>
          </w:p>
        </w:tc>
        <w:tc>
          <w:tcPr>
            <w:tcW w:w="1733" w:type="dxa"/>
          </w:tcPr>
          <w:p w14:paraId="28F22CAE" w14:textId="77777777" w:rsidR="00014759" w:rsidRDefault="007032A9" w:rsidP="00A04E10">
            <w:r>
              <w:t>2 jaar</w:t>
            </w:r>
          </w:p>
        </w:tc>
      </w:tr>
      <w:tr w:rsidR="00014759" w14:paraId="6F61588B" w14:textId="77777777" w:rsidTr="003B4A90">
        <w:trPr>
          <w:gridAfter w:val="1"/>
          <w:wAfter w:w="7" w:type="dxa"/>
        </w:trPr>
        <w:tc>
          <w:tcPr>
            <w:tcW w:w="4786" w:type="dxa"/>
          </w:tcPr>
          <w:p w14:paraId="001BF646" w14:textId="77777777" w:rsidR="00014759" w:rsidRDefault="007032A9" w:rsidP="007032A9">
            <w:r>
              <w:t xml:space="preserve">WIA/WAO bij nieuwe </w:t>
            </w:r>
            <w:r w:rsidRPr="00B5415E">
              <w:t>werkgever</w:t>
            </w:r>
            <w:r w:rsidR="00597FBB" w:rsidRPr="00B5415E">
              <w:t xml:space="preserve"> </w:t>
            </w:r>
            <w:r w:rsidR="00597FBB" w:rsidRPr="00B5415E">
              <w:rPr>
                <w:rStyle w:val="Voetnootmarkering"/>
              </w:rPr>
              <w:footnoteReference w:id="3"/>
            </w:r>
          </w:p>
        </w:tc>
        <w:tc>
          <w:tcPr>
            <w:tcW w:w="2693" w:type="dxa"/>
          </w:tcPr>
          <w:p w14:paraId="4BC39918" w14:textId="77777777" w:rsidR="00014759" w:rsidRPr="00A31F0B" w:rsidRDefault="007032A9" w:rsidP="00A04E10">
            <w:pPr>
              <w:rPr>
                <w:highlight w:val="lightGray"/>
              </w:rPr>
            </w:pPr>
            <w:r w:rsidRPr="007032A9">
              <w:t>€30.000,-</w:t>
            </w:r>
          </w:p>
        </w:tc>
        <w:tc>
          <w:tcPr>
            <w:tcW w:w="1733" w:type="dxa"/>
          </w:tcPr>
          <w:p w14:paraId="29D51A5E" w14:textId="77777777" w:rsidR="00014759" w:rsidRDefault="007032A9" w:rsidP="00A04E10">
            <w:r>
              <w:t>5 jaar</w:t>
            </w:r>
          </w:p>
        </w:tc>
      </w:tr>
      <w:tr w:rsidR="00014759" w14:paraId="703818E7" w14:textId="77777777" w:rsidTr="003B4A90">
        <w:trPr>
          <w:gridAfter w:val="1"/>
          <w:wAfter w:w="7" w:type="dxa"/>
        </w:trPr>
        <w:tc>
          <w:tcPr>
            <w:tcW w:w="4786" w:type="dxa"/>
          </w:tcPr>
          <w:p w14:paraId="048EC8E2" w14:textId="77777777" w:rsidR="00014759" w:rsidRDefault="007032A9" w:rsidP="00A04E10">
            <w:r w:rsidRPr="007032A9">
              <w:t>WSW detachering</w:t>
            </w:r>
          </w:p>
        </w:tc>
        <w:tc>
          <w:tcPr>
            <w:tcW w:w="2693" w:type="dxa"/>
          </w:tcPr>
          <w:p w14:paraId="74BD274B" w14:textId="77777777" w:rsidR="00014759" w:rsidRPr="00A31F0B" w:rsidRDefault="007032A9" w:rsidP="00A04E10">
            <w:pPr>
              <w:rPr>
                <w:highlight w:val="lightGray"/>
              </w:rPr>
            </w:pPr>
            <w:r w:rsidRPr="007032A9">
              <w:t>€35.000,-</w:t>
            </w:r>
          </w:p>
        </w:tc>
        <w:tc>
          <w:tcPr>
            <w:tcW w:w="1733" w:type="dxa"/>
          </w:tcPr>
          <w:p w14:paraId="179953FF" w14:textId="77777777" w:rsidR="00014759" w:rsidRDefault="007032A9" w:rsidP="00A04E10">
            <w:r w:rsidRPr="007032A9">
              <w:t>5 jaar</w:t>
            </w:r>
          </w:p>
        </w:tc>
      </w:tr>
      <w:tr w:rsidR="00014759" w14:paraId="450144AE" w14:textId="77777777" w:rsidTr="003B4A90">
        <w:trPr>
          <w:gridAfter w:val="1"/>
          <w:wAfter w:w="7" w:type="dxa"/>
          <w:trHeight w:val="311"/>
        </w:trPr>
        <w:tc>
          <w:tcPr>
            <w:tcW w:w="4786" w:type="dxa"/>
          </w:tcPr>
          <w:p w14:paraId="332049C2" w14:textId="77777777" w:rsidR="00014759" w:rsidRDefault="007032A9" w:rsidP="00A04E10">
            <w:proofErr w:type="spellStart"/>
            <w:r w:rsidRPr="007032A9">
              <w:t>WSW’er</w:t>
            </w:r>
            <w:proofErr w:type="spellEnd"/>
            <w:r w:rsidRPr="007032A9">
              <w:t xml:space="preserve"> in dienst nemen</w:t>
            </w:r>
          </w:p>
        </w:tc>
        <w:tc>
          <w:tcPr>
            <w:tcW w:w="2693" w:type="dxa"/>
          </w:tcPr>
          <w:p w14:paraId="78BA6A6B" w14:textId="77777777" w:rsidR="00014759" w:rsidRPr="00A31F0B" w:rsidRDefault="007032A9" w:rsidP="00A04E10">
            <w:pPr>
              <w:rPr>
                <w:highlight w:val="lightGray"/>
              </w:rPr>
            </w:pPr>
            <w:r w:rsidRPr="007032A9">
              <w:t>€40.000,-</w:t>
            </w:r>
          </w:p>
        </w:tc>
        <w:tc>
          <w:tcPr>
            <w:tcW w:w="1733" w:type="dxa"/>
          </w:tcPr>
          <w:p w14:paraId="22918DFF" w14:textId="77777777" w:rsidR="00014759" w:rsidRDefault="007032A9" w:rsidP="00A04E10">
            <w:r w:rsidRPr="007032A9">
              <w:t>5 jaar</w:t>
            </w:r>
          </w:p>
        </w:tc>
      </w:tr>
      <w:tr w:rsidR="007032A9" w14:paraId="2EFB89AF" w14:textId="77777777" w:rsidTr="003B4A90">
        <w:trPr>
          <w:gridAfter w:val="1"/>
          <w:wAfter w:w="7" w:type="dxa"/>
        </w:trPr>
        <w:tc>
          <w:tcPr>
            <w:tcW w:w="4786" w:type="dxa"/>
          </w:tcPr>
          <w:p w14:paraId="5CB4A745" w14:textId="77777777" w:rsidR="007032A9" w:rsidRDefault="007032A9" w:rsidP="00A04E10">
            <w:r>
              <w:t>Wajong (UWV)</w:t>
            </w:r>
          </w:p>
        </w:tc>
        <w:tc>
          <w:tcPr>
            <w:tcW w:w="2693" w:type="dxa"/>
          </w:tcPr>
          <w:p w14:paraId="1981D6AA" w14:textId="77777777" w:rsidR="007032A9" w:rsidRDefault="007032A9" w:rsidP="00A04E10">
            <w:r w:rsidRPr="007032A9">
              <w:t>€40.000,-</w:t>
            </w:r>
          </w:p>
        </w:tc>
        <w:tc>
          <w:tcPr>
            <w:tcW w:w="1733" w:type="dxa"/>
          </w:tcPr>
          <w:p w14:paraId="2514EE02" w14:textId="77777777" w:rsidR="007032A9" w:rsidRDefault="007032A9" w:rsidP="00A04E10">
            <w:r w:rsidRPr="007032A9">
              <w:t>5 jaar</w:t>
            </w:r>
          </w:p>
        </w:tc>
      </w:tr>
      <w:tr w:rsidR="007032A9" w14:paraId="24098E18" w14:textId="77777777" w:rsidTr="003B4A90">
        <w:trPr>
          <w:gridAfter w:val="1"/>
          <w:wAfter w:w="7" w:type="dxa"/>
        </w:trPr>
        <w:tc>
          <w:tcPr>
            <w:tcW w:w="4786" w:type="dxa"/>
          </w:tcPr>
          <w:p w14:paraId="02DDD8F1" w14:textId="21C96C6E" w:rsidR="007032A9" w:rsidRDefault="007032A9" w:rsidP="00A04E10">
            <w:proofErr w:type="spellStart"/>
            <w:r w:rsidRPr="007032A9">
              <w:t>Arbeidsbeperkten</w:t>
            </w:r>
            <w:proofErr w:type="spellEnd"/>
            <w:r w:rsidRPr="007032A9">
              <w:t xml:space="preserve"> Participatiewet (garantiebanen</w:t>
            </w:r>
            <w:r w:rsidR="00E22BC6">
              <w:t>)</w:t>
            </w:r>
          </w:p>
        </w:tc>
        <w:tc>
          <w:tcPr>
            <w:tcW w:w="2693" w:type="dxa"/>
          </w:tcPr>
          <w:p w14:paraId="13D84B47" w14:textId="77777777" w:rsidR="007032A9" w:rsidRDefault="003B4A90" w:rsidP="00A04E10">
            <w:r w:rsidRPr="003B4A90">
              <w:t>€40.000,-</w:t>
            </w:r>
          </w:p>
        </w:tc>
        <w:tc>
          <w:tcPr>
            <w:tcW w:w="1733" w:type="dxa"/>
          </w:tcPr>
          <w:p w14:paraId="6BCC9F56" w14:textId="77777777" w:rsidR="007032A9" w:rsidRDefault="003B4A90" w:rsidP="00A04E10">
            <w:r>
              <w:t>5 jaar</w:t>
            </w:r>
          </w:p>
        </w:tc>
      </w:tr>
      <w:tr w:rsidR="007032A9" w14:paraId="077182B1" w14:textId="77777777" w:rsidTr="003B4A90">
        <w:trPr>
          <w:gridAfter w:val="1"/>
          <w:wAfter w:w="7" w:type="dxa"/>
        </w:trPr>
        <w:tc>
          <w:tcPr>
            <w:tcW w:w="4786" w:type="dxa"/>
          </w:tcPr>
          <w:p w14:paraId="1D9CFF45" w14:textId="77777777" w:rsidR="007032A9" w:rsidRDefault="003B4A90" w:rsidP="00A04E10">
            <w:r>
              <w:t>50 +</w:t>
            </w:r>
          </w:p>
        </w:tc>
        <w:tc>
          <w:tcPr>
            <w:tcW w:w="2693" w:type="dxa"/>
          </w:tcPr>
          <w:p w14:paraId="49078DB5" w14:textId="70C0DEE0" w:rsidR="007032A9" w:rsidRDefault="003D1DC3" w:rsidP="003B4A90">
            <w:r>
              <w:t xml:space="preserve">€ 5.000,- </w:t>
            </w:r>
            <w:r w:rsidR="003B4A90">
              <w:t xml:space="preserve"> </w:t>
            </w:r>
            <w:r>
              <w:t>extra</w:t>
            </w:r>
          </w:p>
        </w:tc>
        <w:tc>
          <w:tcPr>
            <w:tcW w:w="1733" w:type="dxa"/>
          </w:tcPr>
          <w:p w14:paraId="41D44540" w14:textId="77777777" w:rsidR="007032A9" w:rsidRDefault="003B4A90" w:rsidP="00A04E10">
            <w:r>
              <w:t>n.v.t</w:t>
            </w:r>
          </w:p>
        </w:tc>
      </w:tr>
      <w:tr w:rsidR="007032A9" w14:paraId="62346DBA" w14:textId="77777777" w:rsidTr="003B4A90">
        <w:trPr>
          <w:gridAfter w:val="1"/>
          <w:wAfter w:w="7" w:type="dxa"/>
        </w:trPr>
        <w:tc>
          <w:tcPr>
            <w:tcW w:w="4786" w:type="dxa"/>
          </w:tcPr>
          <w:p w14:paraId="28AF7CFF" w14:textId="77777777" w:rsidR="003B4A90" w:rsidRDefault="003B4A90" w:rsidP="003B4A90">
            <w:r>
              <w:t xml:space="preserve">Werkervaringsplaats voor Participatiewet en alle </w:t>
            </w:r>
          </w:p>
          <w:p w14:paraId="6F5AFB0E" w14:textId="77777777" w:rsidR="007032A9" w:rsidRDefault="003B4A90" w:rsidP="003B4A90">
            <w:r>
              <w:t xml:space="preserve">categorieën </w:t>
            </w:r>
            <w:proofErr w:type="spellStart"/>
            <w:r>
              <w:t>arbeidsbeperkten</w:t>
            </w:r>
            <w:proofErr w:type="spellEnd"/>
          </w:p>
        </w:tc>
        <w:tc>
          <w:tcPr>
            <w:tcW w:w="2693" w:type="dxa"/>
          </w:tcPr>
          <w:p w14:paraId="105E3FAD" w14:textId="77777777" w:rsidR="003B4A90" w:rsidRDefault="003B4A90" w:rsidP="003B4A90">
            <w:r>
              <w:t xml:space="preserve">€ 2.500,- voor zes maanden </w:t>
            </w:r>
          </w:p>
          <w:p w14:paraId="0ABD7F6E" w14:textId="77777777" w:rsidR="007032A9" w:rsidRDefault="003B4A90" w:rsidP="003B4A90">
            <w:r>
              <w:t>(maximale termijn)</w:t>
            </w:r>
          </w:p>
        </w:tc>
        <w:tc>
          <w:tcPr>
            <w:tcW w:w="1733" w:type="dxa"/>
          </w:tcPr>
          <w:p w14:paraId="22CE5F8D" w14:textId="77777777" w:rsidR="007032A9" w:rsidRDefault="003B4A90" w:rsidP="00A04E10">
            <w:r>
              <w:t>6 maanden</w:t>
            </w:r>
          </w:p>
        </w:tc>
      </w:tr>
      <w:tr w:rsidR="003B4A90" w14:paraId="6C537036" w14:textId="77777777" w:rsidTr="008C5CB7">
        <w:trPr>
          <w:trHeight w:val="262"/>
        </w:trPr>
        <w:tc>
          <w:tcPr>
            <w:tcW w:w="4786" w:type="dxa"/>
          </w:tcPr>
          <w:p w14:paraId="106259AE" w14:textId="77777777" w:rsidR="003B4A90" w:rsidRDefault="003B4A90" w:rsidP="00A04E10">
            <w:r w:rsidRPr="003B4A90">
              <w:t>BBL leerwerkplek</w:t>
            </w:r>
          </w:p>
        </w:tc>
        <w:tc>
          <w:tcPr>
            <w:tcW w:w="2693" w:type="dxa"/>
          </w:tcPr>
          <w:p w14:paraId="28172B46" w14:textId="77777777" w:rsidR="003B4A90" w:rsidRDefault="003B4A90" w:rsidP="00A04E10">
            <w:r w:rsidRPr="003B4A90">
              <w:t>€15.000,-</w:t>
            </w:r>
          </w:p>
        </w:tc>
        <w:tc>
          <w:tcPr>
            <w:tcW w:w="1740" w:type="dxa"/>
            <w:gridSpan w:val="2"/>
            <w:shd w:val="clear" w:color="auto" w:fill="auto"/>
          </w:tcPr>
          <w:p w14:paraId="10F04353" w14:textId="217E29B4" w:rsidR="003B4A90" w:rsidRDefault="007E314C" w:rsidP="007E314C">
            <w:r>
              <w:t xml:space="preserve">duur </w:t>
            </w:r>
            <w:r w:rsidR="008C5CB7">
              <w:t>stage</w:t>
            </w:r>
          </w:p>
        </w:tc>
      </w:tr>
      <w:tr w:rsidR="003B4A90" w14:paraId="62E6B456" w14:textId="77777777" w:rsidTr="003B4A90">
        <w:tc>
          <w:tcPr>
            <w:tcW w:w="4786" w:type="dxa"/>
          </w:tcPr>
          <w:p w14:paraId="5804B623" w14:textId="77777777" w:rsidR="003B4A90" w:rsidRDefault="003B4A90" w:rsidP="00A04E10">
            <w:r w:rsidRPr="003B4A90">
              <w:t>BOL en overige stages</w:t>
            </w:r>
          </w:p>
        </w:tc>
        <w:tc>
          <w:tcPr>
            <w:tcW w:w="2693" w:type="dxa"/>
          </w:tcPr>
          <w:p w14:paraId="47CC338E" w14:textId="7571C7D8" w:rsidR="003B4A90" w:rsidRDefault="003B4A90" w:rsidP="003D1DC3">
            <w:r w:rsidRPr="003B4A90">
              <w:t xml:space="preserve">€ </w:t>
            </w:r>
            <w:r w:rsidR="00862293">
              <w:t>5</w:t>
            </w:r>
            <w:r w:rsidRPr="003B4A90">
              <w:t>.000,-</w:t>
            </w:r>
          </w:p>
        </w:tc>
        <w:tc>
          <w:tcPr>
            <w:tcW w:w="1740" w:type="dxa"/>
            <w:gridSpan w:val="2"/>
            <w:shd w:val="clear" w:color="auto" w:fill="auto"/>
          </w:tcPr>
          <w:p w14:paraId="3863ACBE" w14:textId="0B975B80" w:rsidR="003B4A90" w:rsidRDefault="008C5CB7" w:rsidP="008C5CB7">
            <w:r>
              <w:t>duur stage</w:t>
            </w:r>
          </w:p>
        </w:tc>
      </w:tr>
      <w:tr w:rsidR="003B4A90" w14:paraId="06C13EBA" w14:textId="77777777" w:rsidTr="003B4A90">
        <w:tc>
          <w:tcPr>
            <w:tcW w:w="4786" w:type="dxa"/>
          </w:tcPr>
          <w:p w14:paraId="47A133BD" w14:textId="77777777" w:rsidR="003B4A90" w:rsidRDefault="003B4A90" w:rsidP="00A04E10">
            <w:r w:rsidRPr="003B4A90">
              <w:t>Stage voor leerlingen VSO en praktijkonderwijs</w:t>
            </w:r>
          </w:p>
        </w:tc>
        <w:tc>
          <w:tcPr>
            <w:tcW w:w="2693" w:type="dxa"/>
          </w:tcPr>
          <w:p w14:paraId="0E4AB41A" w14:textId="77777777" w:rsidR="003B4A90" w:rsidRDefault="003B4A90" w:rsidP="00A04E10">
            <w:r w:rsidRPr="003B4A90">
              <w:t>€10.000,-</w:t>
            </w:r>
          </w:p>
        </w:tc>
        <w:tc>
          <w:tcPr>
            <w:tcW w:w="1740" w:type="dxa"/>
            <w:gridSpan w:val="2"/>
            <w:shd w:val="clear" w:color="auto" w:fill="auto"/>
          </w:tcPr>
          <w:p w14:paraId="13B44B81" w14:textId="30847C77" w:rsidR="003B4A90" w:rsidRDefault="008C5CB7" w:rsidP="008C5CB7">
            <w:r>
              <w:t>duur stage</w:t>
            </w:r>
          </w:p>
        </w:tc>
      </w:tr>
      <w:tr w:rsidR="00014759" w14:paraId="5D1C90FB" w14:textId="77777777" w:rsidTr="00A31F0B">
        <w:trPr>
          <w:gridAfter w:val="1"/>
          <w:wAfter w:w="7" w:type="dxa"/>
          <w:trHeight w:val="324"/>
        </w:trPr>
        <w:tc>
          <w:tcPr>
            <w:tcW w:w="9212" w:type="dxa"/>
            <w:gridSpan w:val="3"/>
            <w:shd w:val="clear" w:color="auto" w:fill="D9D9D9" w:themeFill="background1" w:themeFillShade="D9"/>
          </w:tcPr>
          <w:p w14:paraId="388839C2" w14:textId="62806BC8" w:rsidR="00014759" w:rsidRDefault="00014759" w:rsidP="00A04E10">
            <w:r>
              <w:t xml:space="preserve">Overige </w:t>
            </w:r>
            <w:r w:rsidR="00950E0F">
              <w:t>SROI</w:t>
            </w:r>
            <w:r>
              <w:t xml:space="preserve"> invulling</w:t>
            </w:r>
          </w:p>
        </w:tc>
      </w:tr>
      <w:tr w:rsidR="00014759" w14:paraId="264DCF77" w14:textId="77777777" w:rsidTr="00597FBB">
        <w:trPr>
          <w:gridAfter w:val="1"/>
          <w:wAfter w:w="7" w:type="dxa"/>
          <w:trHeight w:val="801"/>
        </w:trPr>
        <w:tc>
          <w:tcPr>
            <w:tcW w:w="9212" w:type="dxa"/>
            <w:gridSpan w:val="3"/>
          </w:tcPr>
          <w:p w14:paraId="2BF2CE4B" w14:textId="77777777" w:rsidR="00A31F0B" w:rsidRDefault="00A31F0B" w:rsidP="00A31F0B">
            <w:r>
              <w:t xml:space="preserve">In overleg. Richtlijn: begrote loonkosten van de geleverde prestatie door de opdrachtnemer (richtlijn </w:t>
            </w:r>
          </w:p>
          <w:p w14:paraId="1CE0D64F" w14:textId="77777777" w:rsidR="00A31F0B" w:rsidRDefault="00A31F0B" w:rsidP="00A31F0B">
            <w:r>
              <w:t xml:space="preserve">tarief €80-€100 per manuur - na overleg met en toestemming van de gemeente). Materiaalkosten </w:t>
            </w:r>
          </w:p>
          <w:p w14:paraId="788A5DFA" w14:textId="52D20299" w:rsidR="00014759" w:rsidRDefault="00A31F0B" w:rsidP="00A31F0B">
            <w:r>
              <w:t xml:space="preserve">tellen niet mee voor de </w:t>
            </w:r>
            <w:r w:rsidR="00950E0F">
              <w:t>SROI</w:t>
            </w:r>
            <w:r>
              <w:t xml:space="preserve"> invulling.</w:t>
            </w:r>
          </w:p>
          <w:p w14:paraId="6F443262" w14:textId="77777777" w:rsidR="00597FBB" w:rsidRDefault="00597FBB" w:rsidP="00A31F0B"/>
        </w:tc>
      </w:tr>
    </w:tbl>
    <w:p w14:paraId="65A7C110" w14:textId="77777777" w:rsidR="007E314C" w:rsidRDefault="007E314C" w:rsidP="00A31F0B"/>
    <w:p w14:paraId="121CD76F" w14:textId="66D28370" w:rsidR="00A31F0B" w:rsidRDefault="00A31F0B" w:rsidP="00A31F0B">
      <w:r>
        <w:t xml:space="preserve">De bedragen in de tabel zijn op jaarbasis bij </w:t>
      </w:r>
      <w:r w:rsidR="00F60678">
        <w:t>een fulltime</w:t>
      </w:r>
      <w:r>
        <w:t xml:space="preserve"> (36 uur) dienstverband. Bij BBL (4 dagen werken, 1 dag naar school) geldt 32 uur werken als </w:t>
      </w:r>
      <w:r w:rsidR="00F60678">
        <w:t>fulltime</w:t>
      </w:r>
      <w:r>
        <w:t>.</w:t>
      </w:r>
    </w:p>
    <w:p w14:paraId="77817092" w14:textId="290CAF84" w:rsidR="00014759" w:rsidRDefault="00A31F0B" w:rsidP="00A31F0B">
      <w:r>
        <w:t>Afwijkingen worden naar rato</w:t>
      </w:r>
      <w:r w:rsidR="00862293">
        <w:t xml:space="preserve"> </w:t>
      </w:r>
      <w:r>
        <w:t xml:space="preserve">berekend. Hierbij wordt de gewerkte periode (einddatum minus begindatum) gedeeld door 365 dagen en vermenigvuldigd met het aantal gewerkte uren per week gedeeld door 36 (32 bij BBL). De uitkomst van deze berekening wordt vermenigvuldigd met de bedragen uit de tabel en leidt tot de gewogen </w:t>
      </w:r>
      <w:r w:rsidR="00950E0F">
        <w:t>SROI</w:t>
      </w:r>
      <w:r>
        <w:t xml:space="preserve"> waarde van de desbetreffende invulling.</w:t>
      </w:r>
    </w:p>
    <w:tbl>
      <w:tblPr>
        <w:tblStyle w:val="Tabelraster"/>
        <w:tblW w:w="0" w:type="auto"/>
        <w:tblLook w:val="04A0" w:firstRow="1" w:lastRow="0" w:firstColumn="1" w:lastColumn="0" w:noHBand="0" w:noVBand="1"/>
      </w:tblPr>
      <w:tblGrid>
        <w:gridCol w:w="9062"/>
      </w:tblGrid>
      <w:tr w:rsidR="00A31F0B" w14:paraId="489DD229" w14:textId="77777777" w:rsidTr="00A31F0B">
        <w:trPr>
          <w:trHeight w:val="2181"/>
        </w:trPr>
        <w:tc>
          <w:tcPr>
            <w:tcW w:w="9212" w:type="dxa"/>
            <w:shd w:val="clear" w:color="auto" w:fill="C6D9F1" w:themeFill="text2" w:themeFillTint="33"/>
          </w:tcPr>
          <w:p w14:paraId="3BC89A88" w14:textId="77777777" w:rsidR="00A31F0B" w:rsidRDefault="00A31F0B" w:rsidP="00A04E10">
            <w:pPr>
              <w:rPr>
                <w:b/>
              </w:rPr>
            </w:pPr>
            <w:r w:rsidRPr="00A31F0B">
              <w:rPr>
                <w:b/>
              </w:rPr>
              <w:t>Voorbeeldberekening</w:t>
            </w:r>
          </w:p>
          <w:p w14:paraId="19DD393D" w14:textId="77777777" w:rsidR="00A31F0B" w:rsidRDefault="00A31F0B" w:rsidP="00A31F0B">
            <w:pPr>
              <w:rPr>
                <w:b/>
              </w:rPr>
            </w:pPr>
          </w:p>
          <w:p w14:paraId="56E986DE" w14:textId="77777777" w:rsidR="00A31F0B" w:rsidRPr="00A31F0B" w:rsidRDefault="00A31F0B" w:rsidP="00A31F0B">
            <w:r w:rsidRPr="00A31F0B">
              <w:t xml:space="preserve">Kandidaat heeft al meer dan twee jaar een Participatiewet-uitkering en krijgt contract van </w:t>
            </w:r>
          </w:p>
          <w:p w14:paraId="57E7C4D8" w14:textId="77777777" w:rsidR="00A31F0B" w:rsidRPr="00A31F0B" w:rsidRDefault="00A31F0B" w:rsidP="00A31F0B">
            <w:r w:rsidRPr="00A31F0B">
              <w:t xml:space="preserve">1 februari tot en met 31 juli (180 dagen) voor 24 uur per week. De berekening gaat dan als </w:t>
            </w:r>
          </w:p>
          <w:p w14:paraId="71777645" w14:textId="77777777" w:rsidR="00A31F0B" w:rsidRDefault="00A31F0B" w:rsidP="00A31F0B">
            <w:r w:rsidRPr="00A31F0B">
              <w:t>volgt:</w:t>
            </w:r>
          </w:p>
          <w:p w14:paraId="0F01332D" w14:textId="77777777" w:rsidR="00A31F0B" w:rsidRDefault="00A31F0B" w:rsidP="00A31F0B"/>
          <w:p w14:paraId="3C14ED6F" w14:textId="77777777" w:rsidR="00A31F0B" w:rsidRPr="00A31F0B" w:rsidRDefault="00A31F0B" w:rsidP="00A31F0B">
            <w:r>
              <w:rPr>
                <w:b/>
              </w:rPr>
              <w:t xml:space="preserve">                </w:t>
            </w:r>
            <w:r w:rsidRPr="00A31F0B">
              <w:t xml:space="preserve">180 dagen X 24 uur x €35.000,- = € 11.506,85 </w:t>
            </w:r>
          </w:p>
          <w:p w14:paraId="09E59BFC" w14:textId="77777777" w:rsidR="00A31F0B" w:rsidRPr="00A31F0B" w:rsidRDefault="00A31F0B" w:rsidP="00A31F0B">
            <w:pPr>
              <w:rPr>
                <w:b/>
              </w:rPr>
            </w:pPr>
            <w:r w:rsidRPr="00A31F0B">
              <w:t xml:space="preserve">                365 dagen 36 uur</w:t>
            </w:r>
          </w:p>
        </w:tc>
      </w:tr>
    </w:tbl>
    <w:p w14:paraId="699450E6" w14:textId="043BB963" w:rsidR="00014759" w:rsidRDefault="00A31F0B" w:rsidP="00A04E10">
      <w:r>
        <w:t xml:space="preserve">Om de gewogen </w:t>
      </w:r>
      <w:r w:rsidR="00950E0F">
        <w:t>SROI</w:t>
      </w:r>
      <w:r>
        <w:t xml:space="preserve"> waarde te kunnen vaststellen dient de opdrachtnemer per </w:t>
      </w:r>
      <w:r w:rsidR="00597FBB">
        <w:t xml:space="preserve">SROI verplichting </w:t>
      </w:r>
      <w:r w:rsidR="003479FF">
        <w:t xml:space="preserve"> een</w:t>
      </w:r>
      <w:r w:rsidR="00597FBB">
        <w:t xml:space="preserve"> verantwoordingsdocument in te vullen. Dit document is als bijlage toegevoegd.</w:t>
      </w:r>
    </w:p>
    <w:p w14:paraId="79F077DE" w14:textId="5E11CF42" w:rsidR="00014759" w:rsidRPr="00014759" w:rsidRDefault="007E314C" w:rsidP="00014759">
      <w:pPr>
        <w:rPr>
          <w:b/>
          <w:color w:val="00B050"/>
          <w:sz w:val="24"/>
        </w:rPr>
      </w:pPr>
      <w:r>
        <w:rPr>
          <w:b/>
          <w:color w:val="00B050"/>
          <w:sz w:val="24"/>
        </w:rPr>
        <w:t>4</w:t>
      </w:r>
      <w:r w:rsidR="00014759" w:rsidRPr="00014759">
        <w:rPr>
          <w:b/>
          <w:color w:val="00B050"/>
          <w:sz w:val="24"/>
        </w:rPr>
        <w:t xml:space="preserve">.  Inzet van werkgeversinstrumenten </w:t>
      </w:r>
    </w:p>
    <w:p w14:paraId="19338A91" w14:textId="77777777" w:rsidR="00C31493" w:rsidRPr="00C31493" w:rsidRDefault="00C31493" w:rsidP="00014759">
      <w:r>
        <w:t xml:space="preserve">De inzet van reguliere instrumenten van werkgeversdienstverlening, </w:t>
      </w:r>
      <w:r w:rsidR="00F60678">
        <w:t>bijvoorbeeld</w:t>
      </w:r>
      <w:r>
        <w:t xml:space="preserve"> loonkostensubsidie e.d. kunnen ook in geval van SROI gewoon worden ingezet.</w:t>
      </w:r>
    </w:p>
    <w:p w14:paraId="6957AD85" w14:textId="480E73C9" w:rsidR="00014759" w:rsidRPr="00F51C49" w:rsidRDefault="007E314C" w:rsidP="00014759">
      <w:pPr>
        <w:rPr>
          <w:b/>
          <w:color w:val="00B050"/>
          <w:sz w:val="24"/>
        </w:rPr>
      </w:pPr>
      <w:r>
        <w:rPr>
          <w:b/>
          <w:color w:val="00B050"/>
          <w:sz w:val="24"/>
        </w:rPr>
        <w:t>5</w:t>
      </w:r>
      <w:r w:rsidR="00014759" w:rsidRPr="00F51C49">
        <w:rPr>
          <w:b/>
          <w:color w:val="00B050"/>
          <w:sz w:val="24"/>
        </w:rPr>
        <w:t>.  Verantwoordelijkheid opdrachtnemer en opdrachtgever</w:t>
      </w:r>
    </w:p>
    <w:p w14:paraId="63A8C724" w14:textId="595D26DF" w:rsidR="00F51C49" w:rsidRDefault="00014759" w:rsidP="00014759">
      <w:r>
        <w:t>De opdrachtnemer is te allen tijde zelf verantwoordelijk voor de in</w:t>
      </w:r>
      <w:r w:rsidR="00F51C49">
        <w:t xml:space="preserve">vulling van zijn </w:t>
      </w:r>
      <w:r w:rsidR="00950E0F">
        <w:t>SROI</w:t>
      </w:r>
      <w:r w:rsidR="00F51C49">
        <w:t xml:space="preserve"> </w:t>
      </w:r>
      <w:r>
        <w:t>verplichting. Er is sprake van een contractuele verplichting om aan d</w:t>
      </w:r>
      <w:r w:rsidR="00F51C49">
        <w:t xml:space="preserve">e eis te voldoen. De adviseurs </w:t>
      </w:r>
      <w:r>
        <w:t xml:space="preserve">van de gemeente kunnen de opdrachtnemer adviseren en ondersteunen </w:t>
      </w:r>
      <w:r w:rsidR="00F51C49">
        <w:t xml:space="preserve">bij de invulling van de </w:t>
      </w:r>
      <w:r w:rsidR="00950E0F">
        <w:t>SROI</w:t>
      </w:r>
      <w:r>
        <w:t xml:space="preserve"> verplichting. De gemeente heeft echter uitdrukkelijk </w:t>
      </w:r>
      <w:r w:rsidR="00F51C49">
        <w:t xml:space="preserve">geen leveringsverplichting van </w:t>
      </w:r>
      <w:r>
        <w:t>kandidaten. Advies en ondersteuning betekent onder</w:t>
      </w:r>
      <w:r w:rsidR="00F51C49">
        <w:t xml:space="preserve"> meer dat de gemeente (via het </w:t>
      </w:r>
      <w:r w:rsidR="00E22BC6">
        <w:t>Werkgeversservicepunt</w:t>
      </w:r>
      <w:r w:rsidR="00313655">
        <w:t xml:space="preserve"> Noord-Holland Noord</w:t>
      </w:r>
      <w:r>
        <w:t>) kandidaten kan select</w:t>
      </w:r>
      <w:r w:rsidR="00F51C49">
        <w:t xml:space="preserve">eren en voorstellen, een speed </w:t>
      </w:r>
      <w:r>
        <w:t>date tussen werkgever/- opdrachtnemer en kandidaten</w:t>
      </w:r>
      <w:r w:rsidR="00F60678">
        <w:t xml:space="preserve"> </w:t>
      </w:r>
      <w:r>
        <w:t>kan organi</w:t>
      </w:r>
      <w:r w:rsidR="00F51C49">
        <w:t xml:space="preserve">seren en kan adviseren bij een </w:t>
      </w:r>
      <w:r>
        <w:t xml:space="preserve">passende maatwerkinvulling. </w:t>
      </w:r>
    </w:p>
    <w:p w14:paraId="5CECABA2" w14:textId="63554990" w:rsidR="00014759" w:rsidRPr="00F51C49" w:rsidRDefault="00C31493" w:rsidP="00014759">
      <w:pPr>
        <w:rPr>
          <w:b/>
          <w:color w:val="00B050"/>
          <w:sz w:val="24"/>
        </w:rPr>
      </w:pP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sidR="007E314C" w:rsidRPr="00E22BC6">
        <w:rPr>
          <w:b/>
          <w:color w:val="00B050"/>
        </w:rPr>
        <w:t>6</w:t>
      </w:r>
      <w:r w:rsidR="00014759" w:rsidRPr="00E22BC6">
        <w:rPr>
          <w:b/>
          <w:color w:val="00B050"/>
          <w:sz w:val="24"/>
        </w:rPr>
        <w:t>.</w:t>
      </w:r>
      <w:r w:rsidR="00014759" w:rsidRPr="00F51C49">
        <w:rPr>
          <w:b/>
          <w:color w:val="00B050"/>
          <w:sz w:val="24"/>
        </w:rPr>
        <w:t xml:space="preserve">  Geen </w:t>
      </w:r>
      <w:proofErr w:type="spellStart"/>
      <w:r w:rsidR="00014759" w:rsidRPr="00F51C49">
        <w:rPr>
          <w:b/>
          <w:color w:val="00B050"/>
          <w:sz w:val="24"/>
        </w:rPr>
        <w:t>dubbelingen</w:t>
      </w:r>
      <w:proofErr w:type="spellEnd"/>
      <w:r w:rsidR="00014759" w:rsidRPr="00F51C49">
        <w:rPr>
          <w:b/>
          <w:color w:val="00B050"/>
          <w:sz w:val="24"/>
        </w:rPr>
        <w:t xml:space="preserve">, geen verdringing </w:t>
      </w:r>
    </w:p>
    <w:p w14:paraId="7E8153D8" w14:textId="5675FA5E" w:rsidR="00014759" w:rsidRDefault="00014759" w:rsidP="00014759">
      <w:r>
        <w:t>Het is niet toegestaan om kandidaten die elders zijn meegerekend vo</w:t>
      </w:r>
      <w:r w:rsidR="00F51C49">
        <w:t xml:space="preserve">or de invulling van een </w:t>
      </w:r>
      <w:r w:rsidR="00950E0F">
        <w:t>SROI</w:t>
      </w:r>
      <w:r>
        <w:t xml:space="preserve"> verplichting bij één van de</w:t>
      </w:r>
      <w:r w:rsidR="00F60678">
        <w:t xml:space="preserve"> gemeenten in de regio Noord-Holland Noord </w:t>
      </w:r>
      <w:r w:rsidR="00F51C49">
        <w:t xml:space="preserve">op te voeren om zo </w:t>
      </w:r>
      <w:r>
        <w:t xml:space="preserve">te voldoen aan de </w:t>
      </w:r>
      <w:r w:rsidR="00950E0F">
        <w:t>SROI</w:t>
      </w:r>
      <w:r>
        <w:t xml:space="preserve"> verplichting. Verplichtingen voortvloe</w:t>
      </w:r>
      <w:r w:rsidR="00F51C49">
        <w:t xml:space="preserve">iend uit opdrachten bij andere </w:t>
      </w:r>
      <w:r>
        <w:t xml:space="preserve">opdrachtgevers dienen gescheiden te worden en hierin mag geen </w:t>
      </w:r>
      <w:r w:rsidR="00F51C49">
        <w:t xml:space="preserve">overlap zitten. Ook mag </w:t>
      </w:r>
      <w:r w:rsidR="00950E0F">
        <w:t>SROI</w:t>
      </w:r>
      <w:r>
        <w:t xml:space="preserve"> niet leiden tot verdringing van bestaande arbeidsplaatsen, lee</w:t>
      </w:r>
      <w:r w:rsidR="00F51C49">
        <w:t xml:space="preserve">rwerkplekken of stageplaatsen. </w:t>
      </w:r>
    </w:p>
    <w:p w14:paraId="427A782F" w14:textId="751EDEC9" w:rsidR="00014759" w:rsidRPr="00F51C49" w:rsidRDefault="007E314C" w:rsidP="00014759">
      <w:pPr>
        <w:rPr>
          <w:b/>
          <w:color w:val="00B050"/>
          <w:sz w:val="24"/>
        </w:rPr>
      </w:pPr>
      <w:r>
        <w:rPr>
          <w:b/>
          <w:color w:val="00B050"/>
          <w:sz w:val="24"/>
        </w:rPr>
        <w:t>7</w:t>
      </w:r>
      <w:r w:rsidR="00014759" w:rsidRPr="00F51C49">
        <w:rPr>
          <w:b/>
          <w:color w:val="00B050"/>
          <w:sz w:val="24"/>
        </w:rPr>
        <w:t xml:space="preserve">.  Niet-naleving van de </w:t>
      </w:r>
      <w:r w:rsidR="00950E0F">
        <w:rPr>
          <w:b/>
          <w:color w:val="00B050"/>
          <w:sz w:val="24"/>
        </w:rPr>
        <w:t>SROI</w:t>
      </w:r>
      <w:r w:rsidR="00014759" w:rsidRPr="00F51C49">
        <w:rPr>
          <w:b/>
          <w:color w:val="00B050"/>
          <w:sz w:val="24"/>
        </w:rPr>
        <w:t xml:space="preserve"> verplichting </w:t>
      </w:r>
    </w:p>
    <w:p w14:paraId="6F618082" w14:textId="65A90FA0" w:rsidR="00014759" w:rsidRDefault="00950E0F" w:rsidP="00014759">
      <w:r>
        <w:t>SROI</w:t>
      </w:r>
      <w:r w:rsidR="00014759">
        <w:t xml:space="preserve"> is een contractuele verplichting en dus niet vrijblijvend</w:t>
      </w:r>
      <w:r w:rsidR="00F51C49">
        <w:t xml:space="preserve">. De </w:t>
      </w:r>
      <w:r>
        <w:t>SROI</w:t>
      </w:r>
      <w:r w:rsidR="00F51C49">
        <w:t xml:space="preserve"> verplichting </w:t>
      </w:r>
      <w:r w:rsidR="00014759">
        <w:t>dient, net als alle andere contractuele verplichtingen, geheel nageko</w:t>
      </w:r>
      <w:r w:rsidR="00F51C49">
        <w:t xml:space="preserve">men te zijn vóór het einde van </w:t>
      </w:r>
      <w:r w:rsidR="00014759">
        <w:t>de opdracht. Heeft de opdrachtnemer aan het einde van de looptijd va</w:t>
      </w:r>
      <w:r w:rsidR="00F51C49">
        <w:t xml:space="preserve">n de opdracht de </w:t>
      </w:r>
      <w:r>
        <w:t>SROI</w:t>
      </w:r>
      <w:r w:rsidR="00F51C49">
        <w:t xml:space="preserve"> </w:t>
      </w:r>
      <w:r w:rsidR="00014759">
        <w:t>verplichting niet volledig ingevuld, dan heeft de gemeente van rechtswege een direct opeis</w:t>
      </w:r>
      <w:r w:rsidR="00F51C49">
        <w:t xml:space="preserve">bare </w:t>
      </w:r>
      <w:r w:rsidR="00014759">
        <w:t>vordering op de opdrachtnemer heeft ten bedrage van</w:t>
      </w:r>
      <w:r w:rsidR="00F60678">
        <w:t xml:space="preserve"> </w:t>
      </w:r>
      <w:r w:rsidR="00014759">
        <w:t xml:space="preserve">de openstaande </w:t>
      </w:r>
      <w:r>
        <w:t>SROI</w:t>
      </w:r>
      <w:r w:rsidR="00F51C49">
        <w:t xml:space="preserve"> verplichting. Dit </w:t>
      </w:r>
      <w:r w:rsidR="00014759">
        <w:t>bedrag zal door de gemeente worden ingehouden op nog te betalen</w:t>
      </w:r>
      <w:r w:rsidR="00F51C49">
        <w:t xml:space="preserve"> facturen aan de opdrachtnemer </w:t>
      </w:r>
      <w:r w:rsidR="00014759">
        <w:t>of op an</w:t>
      </w:r>
      <w:r w:rsidR="00F51C49">
        <w:t xml:space="preserve">dere wijze ingevorderd worden. </w:t>
      </w:r>
      <w:r w:rsidR="00014759">
        <w:t xml:space="preserve">Het niet of onvolledig nakomen van de </w:t>
      </w:r>
      <w:r>
        <w:t>SROI</w:t>
      </w:r>
      <w:r w:rsidR="00E22BC6">
        <w:t>-</w:t>
      </w:r>
      <w:r w:rsidR="00014759">
        <w:t>verplichting ka</w:t>
      </w:r>
      <w:r w:rsidR="00F51C49">
        <w:t xml:space="preserve">n tevens tot gevolg hebben dat </w:t>
      </w:r>
      <w:r w:rsidR="00014759">
        <w:t xml:space="preserve">de opdrachtnemer </w:t>
      </w:r>
      <w:r w:rsidR="007E314C">
        <w:t xml:space="preserve">een boete wordt opgelegd tot ten hoogste 50 % van de aanneemsom. </w:t>
      </w:r>
    </w:p>
    <w:p w14:paraId="34623D81" w14:textId="223F369C" w:rsidR="00F51C49" w:rsidRDefault="007E314C" w:rsidP="00014759">
      <w:pPr>
        <w:rPr>
          <w:b/>
          <w:color w:val="00B050"/>
          <w:sz w:val="24"/>
        </w:rPr>
      </w:pPr>
      <w:r>
        <w:rPr>
          <w:b/>
          <w:color w:val="00B050"/>
          <w:sz w:val="24"/>
        </w:rPr>
        <w:t>8</w:t>
      </w:r>
      <w:r w:rsidR="00014759" w:rsidRPr="00F51C49">
        <w:rPr>
          <w:b/>
          <w:color w:val="00B050"/>
          <w:sz w:val="24"/>
        </w:rPr>
        <w:t>.  Proces na gunning</w:t>
      </w:r>
    </w:p>
    <w:p w14:paraId="6ABF94CD" w14:textId="77777777" w:rsidR="007E314C" w:rsidRDefault="00C31493" w:rsidP="00C31493">
      <w:pPr>
        <w:numPr>
          <w:ilvl w:val="0"/>
          <w:numId w:val="3"/>
        </w:numPr>
        <w:spacing w:after="0"/>
        <w:rPr>
          <w:rFonts w:ascii="Calibri" w:eastAsia="Times New Roman" w:hAnsi="Calibri" w:cs="Times New Roman"/>
        </w:rPr>
      </w:pPr>
      <w:r w:rsidRPr="00C31493">
        <w:rPr>
          <w:rFonts w:ascii="Calibri" w:eastAsia="Times New Roman" w:hAnsi="Calibri" w:cs="Times New Roman"/>
        </w:rPr>
        <w:t xml:space="preserve">De contractbeheerder / projectleider neemt een x percentage SROI op in het contract. </w:t>
      </w:r>
      <w:r w:rsidR="007E314C">
        <w:rPr>
          <w:rFonts w:ascii="Calibri" w:eastAsia="Times New Roman" w:hAnsi="Calibri" w:cs="Times New Roman"/>
        </w:rPr>
        <w:t xml:space="preserve">Hoe hoog dit percentage is, hangt af van de verschillende aspecten van de aanbesteding zoals ratio loonsom/aanneemsom. Het is handig hierover vooraf af te stemmen met de coördinator SROI. </w:t>
      </w:r>
    </w:p>
    <w:p w14:paraId="37DE45A5" w14:textId="7EDB4A32" w:rsidR="00C31493" w:rsidRPr="00C31493" w:rsidRDefault="007E314C" w:rsidP="00C31493">
      <w:pPr>
        <w:numPr>
          <w:ilvl w:val="0"/>
          <w:numId w:val="3"/>
        </w:numPr>
        <w:spacing w:after="0"/>
        <w:rPr>
          <w:rFonts w:ascii="Calibri" w:eastAsia="Times New Roman" w:hAnsi="Calibri" w:cs="Times New Roman"/>
        </w:rPr>
      </w:pPr>
      <w:r>
        <w:rPr>
          <w:rFonts w:ascii="Calibri" w:eastAsia="Times New Roman" w:hAnsi="Calibri" w:cs="Times New Roman"/>
        </w:rPr>
        <w:t>Er is</w:t>
      </w:r>
      <w:r w:rsidR="00C31493" w:rsidRPr="00C31493">
        <w:rPr>
          <w:rFonts w:ascii="Calibri" w:eastAsia="Times New Roman" w:hAnsi="Calibri" w:cs="Times New Roman"/>
        </w:rPr>
        <w:t xml:space="preserve"> een standaard contracttekst beschikbaar (zie bijlage). </w:t>
      </w:r>
    </w:p>
    <w:p w14:paraId="6522A53A" w14:textId="77777777" w:rsidR="00C31493" w:rsidRPr="00C31493" w:rsidRDefault="00C2247D" w:rsidP="00C31493">
      <w:pPr>
        <w:numPr>
          <w:ilvl w:val="0"/>
          <w:numId w:val="3"/>
        </w:numPr>
        <w:spacing w:after="0"/>
        <w:rPr>
          <w:rFonts w:ascii="Calibri" w:eastAsia="Times New Roman" w:hAnsi="Calibri" w:cs="Times New Roman"/>
        </w:rPr>
      </w:pPr>
      <w:r>
        <w:rPr>
          <w:rFonts w:ascii="Calibri" w:eastAsia="Times New Roman" w:hAnsi="Calibri" w:cs="Times New Roman"/>
        </w:rPr>
        <w:t>Op de website van RPA-NHN is alle informatie over SROI beschikbaar.</w:t>
      </w:r>
    </w:p>
    <w:p w14:paraId="7D299D8C" w14:textId="0B61A51E" w:rsidR="00C31493" w:rsidRPr="00C31493" w:rsidRDefault="00C31493" w:rsidP="00C31493">
      <w:pPr>
        <w:numPr>
          <w:ilvl w:val="0"/>
          <w:numId w:val="3"/>
        </w:numPr>
        <w:spacing w:after="0"/>
        <w:rPr>
          <w:rFonts w:ascii="Calibri" w:eastAsia="Times New Roman" w:hAnsi="Calibri" w:cs="Times New Roman"/>
        </w:rPr>
      </w:pPr>
      <w:r w:rsidRPr="00C31493">
        <w:rPr>
          <w:rFonts w:ascii="Calibri" w:eastAsia="Times New Roman" w:hAnsi="Calibri" w:cs="Times New Roman"/>
        </w:rPr>
        <w:t xml:space="preserve">De aanbesteding wordt gegund aan een opdrachtnemer. De opdrachtnemer verplicht zich hiermee aan de </w:t>
      </w:r>
      <w:r w:rsidR="00950E0F">
        <w:rPr>
          <w:rFonts w:ascii="Calibri" w:eastAsia="Times New Roman" w:hAnsi="Calibri" w:cs="Times New Roman"/>
        </w:rPr>
        <w:t>SROI</w:t>
      </w:r>
      <w:r w:rsidRPr="00C31493">
        <w:rPr>
          <w:rFonts w:ascii="Calibri" w:eastAsia="Times New Roman" w:hAnsi="Calibri" w:cs="Times New Roman"/>
        </w:rPr>
        <w:t xml:space="preserve">-verplichting te voldoen. </w:t>
      </w:r>
    </w:p>
    <w:p w14:paraId="4A09E1E7" w14:textId="3AA91BC5" w:rsidR="00AD4EA5" w:rsidRDefault="00AD4EA5" w:rsidP="00C31493">
      <w:pPr>
        <w:numPr>
          <w:ilvl w:val="0"/>
          <w:numId w:val="3"/>
        </w:numPr>
        <w:spacing w:after="0"/>
        <w:rPr>
          <w:rFonts w:ascii="Calibri" w:eastAsia="Times New Roman" w:hAnsi="Calibri" w:cs="Times New Roman"/>
        </w:rPr>
      </w:pPr>
      <w:r>
        <w:rPr>
          <w:rFonts w:ascii="Calibri" w:eastAsia="Times New Roman" w:hAnsi="Calibri" w:cs="Times New Roman"/>
        </w:rPr>
        <w:t xml:space="preserve">De opdrachtnemer neemt </w:t>
      </w:r>
      <w:r w:rsidR="007C799D">
        <w:rPr>
          <w:rFonts w:ascii="Calibri" w:eastAsia="Times New Roman" w:hAnsi="Calibri" w:cs="Times New Roman"/>
        </w:rPr>
        <w:t xml:space="preserve">tijdig </w:t>
      </w:r>
      <w:r>
        <w:rPr>
          <w:rFonts w:ascii="Calibri" w:eastAsia="Times New Roman" w:hAnsi="Calibri" w:cs="Times New Roman"/>
        </w:rPr>
        <w:t xml:space="preserve"> contact op met de SROI </w:t>
      </w:r>
      <w:r w:rsidR="007C799D">
        <w:rPr>
          <w:rFonts w:ascii="Calibri" w:eastAsia="Times New Roman" w:hAnsi="Calibri" w:cs="Times New Roman"/>
        </w:rPr>
        <w:t>coördinator</w:t>
      </w:r>
      <w:r>
        <w:rPr>
          <w:rFonts w:ascii="Calibri" w:eastAsia="Times New Roman" w:hAnsi="Calibri" w:cs="Times New Roman"/>
        </w:rPr>
        <w:t>.</w:t>
      </w:r>
    </w:p>
    <w:p w14:paraId="408E1140" w14:textId="240E0CB3" w:rsidR="00C31493" w:rsidRPr="00C31493" w:rsidRDefault="00C31493" w:rsidP="00C31493">
      <w:pPr>
        <w:numPr>
          <w:ilvl w:val="0"/>
          <w:numId w:val="3"/>
        </w:numPr>
        <w:spacing w:after="0"/>
        <w:rPr>
          <w:rFonts w:ascii="Calibri" w:eastAsia="Times New Roman" w:hAnsi="Calibri" w:cs="Times New Roman"/>
        </w:rPr>
      </w:pPr>
      <w:r w:rsidRPr="00C31493">
        <w:rPr>
          <w:rFonts w:ascii="Calibri" w:eastAsia="Times New Roman" w:hAnsi="Calibri" w:cs="Times New Roman"/>
        </w:rPr>
        <w:t>De contractbeheerder / projectleider voorziet de coördinator SROI van informatie m.b.t. wie de opdrachtnemer is geworden, wie contractbeheerder is, welke levering, werk of dienst het betreft, de aanneemsom en het percentage SROI.</w:t>
      </w:r>
    </w:p>
    <w:p w14:paraId="253894CD" w14:textId="76D4E443" w:rsidR="00C31493" w:rsidRPr="00C31493" w:rsidRDefault="00862293" w:rsidP="00C31493">
      <w:pPr>
        <w:numPr>
          <w:ilvl w:val="0"/>
          <w:numId w:val="3"/>
        </w:numPr>
        <w:spacing w:after="0"/>
        <w:rPr>
          <w:rFonts w:ascii="Calibri" w:eastAsia="Times New Roman" w:hAnsi="Calibri" w:cs="Times New Roman"/>
        </w:rPr>
      </w:pPr>
      <w:r>
        <w:rPr>
          <w:rFonts w:ascii="Calibri" w:eastAsia="Times New Roman" w:hAnsi="Calibri" w:cs="Times New Roman"/>
        </w:rPr>
        <w:t>D</w:t>
      </w:r>
      <w:r w:rsidR="00C31493" w:rsidRPr="00C31493">
        <w:rPr>
          <w:rFonts w:ascii="Calibri" w:eastAsia="Times New Roman" w:hAnsi="Calibri" w:cs="Times New Roman"/>
        </w:rPr>
        <w:t>e opdrachtnemer is verplicht het initiatief te nemen voor de concrete invulling van SROI.</w:t>
      </w:r>
    </w:p>
    <w:p w14:paraId="06B13A11" w14:textId="77777777" w:rsidR="00C31493" w:rsidRPr="00C31493" w:rsidRDefault="00C31493" w:rsidP="00C31493">
      <w:pPr>
        <w:numPr>
          <w:ilvl w:val="0"/>
          <w:numId w:val="3"/>
        </w:numPr>
        <w:spacing w:after="0"/>
        <w:rPr>
          <w:rFonts w:ascii="Calibri" w:eastAsia="Times New Roman" w:hAnsi="Calibri" w:cs="Times New Roman"/>
        </w:rPr>
      </w:pPr>
      <w:r w:rsidRPr="00C31493">
        <w:rPr>
          <w:rFonts w:ascii="Calibri" w:eastAsia="Times New Roman" w:hAnsi="Calibri" w:cs="Times New Roman"/>
        </w:rPr>
        <w:t>Voor advies en hulp bij deze concretisering kan contact opgenomen worden met de coördinator SROI van de betreffende regio. Onderaan dit document en in de brochure voor werkgevers treft u de contactgegevens van de coördinatoren SROI.</w:t>
      </w:r>
    </w:p>
    <w:p w14:paraId="580D5D7D" w14:textId="77777777" w:rsidR="00C31493" w:rsidRPr="00C31493" w:rsidRDefault="00C31493" w:rsidP="00C31493">
      <w:pPr>
        <w:numPr>
          <w:ilvl w:val="0"/>
          <w:numId w:val="3"/>
        </w:numPr>
        <w:spacing w:after="0"/>
        <w:rPr>
          <w:rFonts w:ascii="Calibri" w:eastAsia="Times New Roman" w:hAnsi="Calibri" w:cs="Times New Roman"/>
        </w:rPr>
      </w:pPr>
      <w:r w:rsidRPr="00C31493">
        <w:rPr>
          <w:rFonts w:ascii="Calibri" w:eastAsia="Times New Roman" w:hAnsi="Calibri" w:cs="Times New Roman"/>
        </w:rPr>
        <w:t>De gegevens met betrekking tot de invulling SROI worden opgenomen in een verantwoordingsdocument.</w:t>
      </w:r>
    </w:p>
    <w:p w14:paraId="13C870E9" w14:textId="77777777" w:rsidR="00C31493" w:rsidRPr="00C31493" w:rsidRDefault="00C31493" w:rsidP="00C31493">
      <w:pPr>
        <w:numPr>
          <w:ilvl w:val="0"/>
          <w:numId w:val="3"/>
        </w:numPr>
        <w:spacing w:after="0"/>
        <w:rPr>
          <w:rFonts w:ascii="Calibri" w:eastAsia="Times New Roman" w:hAnsi="Calibri" w:cs="Times New Roman"/>
        </w:rPr>
      </w:pPr>
      <w:r w:rsidRPr="00C31493">
        <w:rPr>
          <w:rFonts w:ascii="Calibri" w:eastAsia="Times New Roman" w:hAnsi="Calibri" w:cs="Times New Roman"/>
        </w:rPr>
        <w:t>De coördinator SROI controleert de gegevens uit dit document en geeft zijn akkoord.</w:t>
      </w:r>
    </w:p>
    <w:p w14:paraId="0BA04EB9" w14:textId="7D2C85AC" w:rsidR="00C31493" w:rsidRPr="00C31493" w:rsidRDefault="00C31493" w:rsidP="00C31493">
      <w:pPr>
        <w:numPr>
          <w:ilvl w:val="0"/>
          <w:numId w:val="3"/>
        </w:numPr>
        <w:spacing w:after="0"/>
        <w:rPr>
          <w:rFonts w:ascii="Calibri" w:eastAsia="Times New Roman" w:hAnsi="Calibri" w:cs="Times New Roman"/>
        </w:rPr>
      </w:pPr>
      <w:r w:rsidRPr="00C31493">
        <w:rPr>
          <w:rFonts w:ascii="Calibri" w:eastAsia="Times New Roman" w:hAnsi="Calibri" w:cs="Times New Roman"/>
        </w:rPr>
        <w:t>Het geaccordeerde document gaat retour naar opdrachtnemer zodat deze aan de contractbeheerder / projectleider van de gemeente aan kan tonen voldaan te hebben aan zijn SROI-verplichting.</w:t>
      </w:r>
    </w:p>
    <w:p w14:paraId="1FF8CBE7" w14:textId="7A66A99E" w:rsidR="00C31493" w:rsidRDefault="00C31493" w:rsidP="00C31493">
      <w:pPr>
        <w:numPr>
          <w:ilvl w:val="0"/>
          <w:numId w:val="3"/>
        </w:numPr>
        <w:spacing w:after="0"/>
        <w:rPr>
          <w:rFonts w:ascii="Calibri" w:eastAsia="Times New Roman" w:hAnsi="Calibri" w:cs="Times New Roman"/>
        </w:rPr>
      </w:pPr>
      <w:r w:rsidRPr="00C31493">
        <w:rPr>
          <w:rFonts w:ascii="Calibri" w:eastAsia="Times New Roman" w:hAnsi="Calibri" w:cs="Times New Roman"/>
        </w:rPr>
        <w:t>De coördinator SROI houdt in een overzicht bij wat er aan verschillende SROI-verplichtingen in de regio is uitgevoerd.</w:t>
      </w:r>
    </w:p>
    <w:p w14:paraId="4F860304" w14:textId="52108947" w:rsidR="00AD4EA5" w:rsidRPr="00C31493" w:rsidRDefault="00AD4EA5" w:rsidP="00C31493">
      <w:pPr>
        <w:numPr>
          <w:ilvl w:val="0"/>
          <w:numId w:val="3"/>
        </w:numPr>
        <w:spacing w:after="0"/>
        <w:rPr>
          <w:rFonts w:ascii="Calibri" w:eastAsia="Times New Roman" w:hAnsi="Calibri" w:cs="Times New Roman"/>
        </w:rPr>
      </w:pPr>
      <w:r>
        <w:rPr>
          <w:rFonts w:ascii="Calibri" w:eastAsia="Times New Roman" w:hAnsi="Calibri" w:cs="Times New Roman"/>
        </w:rPr>
        <w:t xml:space="preserve">Opdrachtnemer levert jaarlijks en of na voltooiing van de opdracht zijn gegevens aan bij de SROI </w:t>
      </w:r>
      <w:r w:rsidR="007C799D">
        <w:rPr>
          <w:rFonts w:ascii="Calibri" w:eastAsia="Times New Roman" w:hAnsi="Calibri" w:cs="Times New Roman"/>
        </w:rPr>
        <w:t>coördinator</w:t>
      </w:r>
      <w:r>
        <w:rPr>
          <w:rFonts w:ascii="Calibri" w:eastAsia="Times New Roman" w:hAnsi="Calibri" w:cs="Times New Roman"/>
        </w:rPr>
        <w:t>.</w:t>
      </w:r>
    </w:p>
    <w:p w14:paraId="3F467BD4" w14:textId="77777777" w:rsidR="00C31493" w:rsidRPr="00C31493" w:rsidRDefault="00C31493" w:rsidP="00C31493">
      <w:pPr>
        <w:numPr>
          <w:ilvl w:val="0"/>
          <w:numId w:val="3"/>
        </w:numPr>
        <w:spacing w:after="0"/>
        <w:rPr>
          <w:rFonts w:ascii="Calibri" w:eastAsia="Times New Roman" w:hAnsi="Calibri" w:cs="Times New Roman"/>
        </w:rPr>
      </w:pPr>
      <w:r w:rsidRPr="00C31493">
        <w:rPr>
          <w:rFonts w:ascii="Calibri" w:eastAsia="Times New Roman" w:hAnsi="Calibri" w:cs="Times New Roman"/>
        </w:rPr>
        <w:t xml:space="preserve">Indien de opdrachtnemer niet heeft voldaan aan de SROI-verplichting, wordt een gesprek tussen opdrachtnemer en opdrachtgever aangegaan. </w:t>
      </w:r>
    </w:p>
    <w:p w14:paraId="0E0949F6" w14:textId="558EBC4A" w:rsidR="00C31493" w:rsidRPr="00C31493" w:rsidRDefault="00C31493" w:rsidP="00C31493">
      <w:pPr>
        <w:numPr>
          <w:ilvl w:val="0"/>
          <w:numId w:val="3"/>
        </w:numPr>
        <w:spacing w:after="0"/>
        <w:rPr>
          <w:rFonts w:ascii="Calibri" w:eastAsia="Times New Roman" w:hAnsi="Calibri" w:cs="Times New Roman"/>
        </w:rPr>
      </w:pPr>
      <w:r w:rsidRPr="00C31493">
        <w:rPr>
          <w:rFonts w:ascii="Calibri" w:eastAsia="Times New Roman" w:hAnsi="Calibri" w:cs="Times New Roman"/>
        </w:rPr>
        <w:t xml:space="preserve">Indien opdrachtnemer toch niet voldoet of kan voldoen aan zijn SROI-verplichting, </w:t>
      </w:r>
      <w:r w:rsidR="007C799D">
        <w:rPr>
          <w:rFonts w:ascii="Calibri" w:eastAsia="Times New Roman" w:hAnsi="Calibri" w:cs="Times New Roman"/>
        </w:rPr>
        <w:t xml:space="preserve">kan </w:t>
      </w:r>
      <w:r w:rsidRPr="00C31493">
        <w:rPr>
          <w:rFonts w:ascii="Calibri" w:eastAsia="Times New Roman" w:hAnsi="Calibri" w:cs="Times New Roman"/>
        </w:rPr>
        <w:t xml:space="preserve"> een boete </w:t>
      </w:r>
      <w:r w:rsidR="007C799D">
        <w:rPr>
          <w:rFonts w:ascii="Calibri" w:eastAsia="Times New Roman" w:hAnsi="Calibri" w:cs="Times New Roman"/>
        </w:rPr>
        <w:t xml:space="preserve">worden </w:t>
      </w:r>
      <w:r w:rsidRPr="00C31493">
        <w:rPr>
          <w:rFonts w:ascii="Calibri" w:eastAsia="Times New Roman" w:hAnsi="Calibri" w:cs="Times New Roman"/>
        </w:rPr>
        <w:t xml:space="preserve">opgelegd. </w:t>
      </w:r>
    </w:p>
    <w:p w14:paraId="156722F5" w14:textId="77777777" w:rsidR="00C31493" w:rsidRPr="00C31493" w:rsidRDefault="00C31493" w:rsidP="00C31493">
      <w:pPr>
        <w:numPr>
          <w:ilvl w:val="0"/>
          <w:numId w:val="3"/>
        </w:numPr>
        <w:spacing w:after="0"/>
        <w:rPr>
          <w:rFonts w:ascii="Calibri" w:eastAsia="Times New Roman" w:hAnsi="Calibri" w:cs="Times New Roman"/>
        </w:rPr>
      </w:pPr>
      <w:r w:rsidRPr="00C31493">
        <w:rPr>
          <w:rFonts w:ascii="Calibri" w:eastAsia="Times New Roman" w:hAnsi="Calibri" w:cs="Times New Roman"/>
        </w:rPr>
        <w:t>De boete betreft vijftig procent van het nog resterende SROI-bedrag. Daarnaast moet ook het nog niet ingevulde SROI-bedrag zelf worden vergoed.</w:t>
      </w:r>
    </w:p>
    <w:p w14:paraId="30B4DA83" w14:textId="77777777" w:rsidR="00C31493" w:rsidRPr="00C31493" w:rsidRDefault="00C31493" w:rsidP="00C31493">
      <w:pPr>
        <w:numPr>
          <w:ilvl w:val="0"/>
          <w:numId w:val="3"/>
        </w:numPr>
        <w:spacing w:after="0"/>
        <w:rPr>
          <w:rFonts w:ascii="Calibri" w:eastAsia="Times New Roman" w:hAnsi="Calibri" w:cs="Times New Roman"/>
        </w:rPr>
      </w:pPr>
      <w:r w:rsidRPr="00C31493">
        <w:rPr>
          <w:rFonts w:ascii="Calibri" w:eastAsia="Times New Roman" w:hAnsi="Calibri" w:cs="Times New Roman"/>
        </w:rPr>
        <w:t>Het opleggen van de boete is een verantwoordelijkheid van de contractbeheerder / projectleider, maar de coördinator SROI dient hiervan altijd op de hoogte te worden gesteld.</w:t>
      </w:r>
    </w:p>
    <w:p w14:paraId="252F8E56" w14:textId="77777777" w:rsidR="00C31493" w:rsidRPr="00C31493" w:rsidRDefault="00C31493" w:rsidP="00C31493">
      <w:pPr>
        <w:spacing w:after="0"/>
        <w:ind w:left="720"/>
        <w:rPr>
          <w:rFonts w:ascii="Calibri" w:eastAsia="Times New Roman" w:hAnsi="Calibri" w:cs="Times New Roman"/>
        </w:rPr>
      </w:pPr>
    </w:p>
    <w:p w14:paraId="2C743C4E" w14:textId="77777777" w:rsidR="00C31493" w:rsidRDefault="00C31493" w:rsidP="00014759">
      <w:pPr>
        <w:rPr>
          <w:b/>
          <w:color w:val="00B050"/>
          <w:sz w:val="24"/>
        </w:rPr>
      </w:pPr>
    </w:p>
    <w:p w14:paraId="023A459F" w14:textId="77777777" w:rsidR="00FB2A1E" w:rsidRDefault="00FB2A1E" w:rsidP="00F51C49">
      <w:pPr>
        <w:rPr>
          <w:b/>
          <w:color w:val="00B050"/>
          <w:sz w:val="24"/>
          <w:szCs w:val="24"/>
        </w:rPr>
      </w:pPr>
    </w:p>
    <w:p w14:paraId="026602C7" w14:textId="56604873" w:rsidR="00F51C49" w:rsidRPr="00C31493" w:rsidRDefault="007C799D" w:rsidP="00F51C49">
      <w:pPr>
        <w:rPr>
          <w:b/>
          <w:sz w:val="24"/>
          <w:szCs w:val="24"/>
        </w:rPr>
      </w:pPr>
      <w:r>
        <w:rPr>
          <w:b/>
          <w:color w:val="00B050"/>
          <w:sz w:val="24"/>
          <w:szCs w:val="24"/>
        </w:rPr>
        <w:t>9</w:t>
      </w:r>
      <w:r w:rsidR="00F51C49" w:rsidRPr="00C31493">
        <w:rPr>
          <w:b/>
          <w:color w:val="00B050"/>
          <w:sz w:val="24"/>
          <w:szCs w:val="24"/>
        </w:rPr>
        <w:t xml:space="preserve">.  Communicatie over </w:t>
      </w:r>
      <w:r w:rsidR="00950E0F">
        <w:rPr>
          <w:b/>
          <w:color w:val="00B050"/>
          <w:sz w:val="24"/>
          <w:szCs w:val="24"/>
        </w:rPr>
        <w:t>SROI</w:t>
      </w:r>
      <w:r w:rsidR="00F51C49" w:rsidRPr="00C31493">
        <w:rPr>
          <w:b/>
          <w:color w:val="00B050"/>
          <w:sz w:val="24"/>
          <w:szCs w:val="24"/>
        </w:rPr>
        <w:t xml:space="preserve"> na gunning van de opdracht </w:t>
      </w:r>
    </w:p>
    <w:p w14:paraId="1E854EC2" w14:textId="02CC9C47" w:rsidR="00906CE1" w:rsidRDefault="00F51C49" w:rsidP="00F51C49">
      <w:r>
        <w:t>Heef</w:t>
      </w:r>
      <w:r w:rsidR="00906CE1">
        <w:t xml:space="preserve"> </w:t>
      </w:r>
      <w:r w:rsidR="00C31493">
        <w:t xml:space="preserve">u </w:t>
      </w:r>
      <w:r w:rsidR="00906CE1">
        <w:t xml:space="preserve">vragen, advies of hulp nodig? Over </w:t>
      </w:r>
      <w:r>
        <w:t xml:space="preserve">de invulling van </w:t>
      </w:r>
      <w:r w:rsidR="00220E45">
        <w:t>uw</w:t>
      </w:r>
      <w:r>
        <w:t xml:space="preserve"> </w:t>
      </w:r>
      <w:r w:rsidR="00950E0F">
        <w:t>SROI</w:t>
      </w:r>
      <w:r>
        <w:t xml:space="preserve"> verplichting, dan kunt u deze stellen </w:t>
      </w:r>
      <w:r w:rsidR="00906CE1">
        <w:t xml:space="preserve">aan de SROI </w:t>
      </w:r>
      <w:r w:rsidR="00F60678">
        <w:t>coördinatoren</w:t>
      </w:r>
      <w:r w:rsidR="00906CE1">
        <w:t xml:space="preserve"> in uw </w:t>
      </w:r>
      <w:proofErr w:type="spellStart"/>
      <w:r w:rsidR="00906CE1">
        <w:t>subregio</w:t>
      </w:r>
      <w:proofErr w:type="spellEnd"/>
      <w:r w:rsidR="00906CE1">
        <w:t xml:space="preserve">. </w:t>
      </w:r>
    </w:p>
    <w:tbl>
      <w:tblPr>
        <w:tblStyle w:val="Tabelraster"/>
        <w:tblW w:w="0" w:type="auto"/>
        <w:tblLook w:val="04A0" w:firstRow="1" w:lastRow="0" w:firstColumn="1" w:lastColumn="0" w:noHBand="0" w:noVBand="1"/>
      </w:tblPr>
      <w:tblGrid>
        <w:gridCol w:w="4501"/>
        <w:gridCol w:w="4561"/>
      </w:tblGrid>
      <w:tr w:rsidR="00F51C49" w14:paraId="6B09834C" w14:textId="77777777" w:rsidTr="00A31F0B">
        <w:trPr>
          <w:trHeight w:val="432"/>
        </w:trPr>
        <w:tc>
          <w:tcPr>
            <w:tcW w:w="4606" w:type="dxa"/>
            <w:shd w:val="clear" w:color="auto" w:fill="D9D9D9" w:themeFill="background1" w:themeFillShade="D9"/>
          </w:tcPr>
          <w:p w14:paraId="7B2B205F" w14:textId="77777777" w:rsidR="00F51C49" w:rsidRPr="00F51C49" w:rsidRDefault="00C31493" w:rsidP="00F51C49">
            <w:proofErr w:type="spellStart"/>
            <w:r>
              <w:t>Subregio</w:t>
            </w:r>
            <w:proofErr w:type="spellEnd"/>
          </w:p>
        </w:tc>
        <w:tc>
          <w:tcPr>
            <w:tcW w:w="4606" w:type="dxa"/>
            <w:shd w:val="clear" w:color="auto" w:fill="D9D9D9" w:themeFill="background1" w:themeFillShade="D9"/>
          </w:tcPr>
          <w:p w14:paraId="4085E0AF" w14:textId="77777777" w:rsidR="00F51C49" w:rsidRDefault="00F51C49" w:rsidP="00F51C49">
            <w:r>
              <w:t>Emailadres</w:t>
            </w:r>
          </w:p>
        </w:tc>
      </w:tr>
      <w:tr w:rsidR="00F51C49" w:rsidRPr="00C2247D" w14:paraId="231D7766" w14:textId="77777777" w:rsidTr="00F51C49">
        <w:tc>
          <w:tcPr>
            <w:tcW w:w="4606" w:type="dxa"/>
          </w:tcPr>
          <w:p w14:paraId="66FEDFC3" w14:textId="471F346F" w:rsidR="00F51C49" w:rsidRDefault="00E22BC6" w:rsidP="00F51C49">
            <w:r>
              <w:t>Regio Alkmaar; HAL</w:t>
            </w:r>
          </w:p>
        </w:tc>
        <w:tc>
          <w:tcPr>
            <w:tcW w:w="4606" w:type="dxa"/>
          </w:tcPr>
          <w:p w14:paraId="5ADB1E12" w14:textId="77777777" w:rsidR="00F51C49" w:rsidRPr="00C2247D" w:rsidRDefault="00C2247D" w:rsidP="00F51C49">
            <w:r>
              <w:t>Kaat Kroon (K</w:t>
            </w:r>
            <w:r w:rsidRPr="00220E45">
              <w:t>.kroon@haltewerk.nl)</w:t>
            </w:r>
          </w:p>
        </w:tc>
      </w:tr>
      <w:tr w:rsidR="00F51C49" w14:paraId="36083D15" w14:textId="77777777" w:rsidTr="00F51C49">
        <w:tc>
          <w:tcPr>
            <w:tcW w:w="4606" w:type="dxa"/>
          </w:tcPr>
          <w:p w14:paraId="3C7A5C3F" w14:textId="68C49DA0" w:rsidR="00F51C49" w:rsidRPr="00E22BC6" w:rsidRDefault="00E22BC6" w:rsidP="00F51C49">
            <w:r>
              <w:t>BUCH</w:t>
            </w:r>
          </w:p>
        </w:tc>
        <w:tc>
          <w:tcPr>
            <w:tcW w:w="4606" w:type="dxa"/>
          </w:tcPr>
          <w:p w14:paraId="3D31AEB5" w14:textId="19E5DA7E" w:rsidR="00F51C49" w:rsidRPr="00E22BC6" w:rsidRDefault="00E22BC6" w:rsidP="00F51C49">
            <w:r>
              <w:t>nog in te vullen</w:t>
            </w:r>
          </w:p>
        </w:tc>
      </w:tr>
      <w:tr w:rsidR="00F51C49" w14:paraId="75754E24" w14:textId="77777777" w:rsidTr="00F51C49">
        <w:tc>
          <w:tcPr>
            <w:tcW w:w="4606" w:type="dxa"/>
          </w:tcPr>
          <w:p w14:paraId="751C149C" w14:textId="77777777" w:rsidR="00F51C49" w:rsidRDefault="00C2247D" w:rsidP="00F51C49">
            <w:r>
              <w:t>KOP</w:t>
            </w:r>
          </w:p>
        </w:tc>
        <w:tc>
          <w:tcPr>
            <w:tcW w:w="4606" w:type="dxa"/>
          </w:tcPr>
          <w:p w14:paraId="514F9789" w14:textId="77777777" w:rsidR="00F51C49" w:rsidRDefault="00C2247D" w:rsidP="00F51C49">
            <w:r>
              <w:t>Marlies Mooij (M.mooij@denhelder.nl)</w:t>
            </w:r>
          </w:p>
        </w:tc>
      </w:tr>
      <w:tr w:rsidR="00F51C49" w:rsidRPr="00C2247D" w14:paraId="01269A19" w14:textId="77777777" w:rsidTr="00F51C49">
        <w:tc>
          <w:tcPr>
            <w:tcW w:w="4606" w:type="dxa"/>
          </w:tcPr>
          <w:p w14:paraId="3043A015" w14:textId="1ED412AC" w:rsidR="00F51C49" w:rsidRDefault="00E060D7" w:rsidP="00E060D7">
            <w:r>
              <w:t>West-Friesland</w:t>
            </w:r>
          </w:p>
        </w:tc>
        <w:tc>
          <w:tcPr>
            <w:tcW w:w="4606" w:type="dxa"/>
          </w:tcPr>
          <w:p w14:paraId="2D6119C6" w14:textId="77777777" w:rsidR="00F51C49" w:rsidRPr="00C2247D" w:rsidRDefault="00C2247D" w:rsidP="00F51C49">
            <w:r w:rsidRPr="00C2247D">
              <w:t>Jose Tiessing (Jose.Tiessing@Werksaamwf.nl)</w:t>
            </w:r>
          </w:p>
        </w:tc>
      </w:tr>
    </w:tbl>
    <w:p w14:paraId="40F26A67" w14:textId="77777777" w:rsidR="00F51C49" w:rsidRPr="00C2247D" w:rsidRDefault="00F51C49" w:rsidP="00F51C49"/>
    <w:p w14:paraId="124E266D" w14:textId="77777777" w:rsidR="00220E45" w:rsidRDefault="00220E45" w:rsidP="00220E45"/>
    <w:p w14:paraId="1473307A" w14:textId="7B077AD1" w:rsidR="007C799D" w:rsidRDefault="007C799D" w:rsidP="007C799D">
      <w:pPr>
        <w:rPr>
          <w:b/>
          <w:color w:val="00B050"/>
          <w:sz w:val="24"/>
        </w:rPr>
      </w:pPr>
      <w:r>
        <w:rPr>
          <w:b/>
          <w:color w:val="00B050"/>
          <w:sz w:val="24"/>
        </w:rPr>
        <w:t>10.  Toepassing van de Toolkit 2017-2019</w:t>
      </w:r>
    </w:p>
    <w:p w14:paraId="68FF9C42" w14:textId="066932E0" w:rsidR="007C799D" w:rsidRDefault="007C799D" w:rsidP="007C799D">
      <w:r>
        <w:t xml:space="preserve">Besproken in het </w:t>
      </w:r>
      <w:proofErr w:type="spellStart"/>
      <w:r>
        <w:t>managersoverleg</w:t>
      </w:r>
      <w:proofErr w:type="spellEnd"/>
      <w:r>
        <w:t xml:space="preserve"> RPA  </w:t>
      </w:r>
      <w:r>
        <w:tab/>
        <w:t xml:space="preserve">d.d.: </w:t>
      </w:r>
    </w:p>
    <w:p w14:paraId="1DF14DB8" w14:textId="05A153AF" w:rsidR="00C31493" w:rsidRDefault="00C31493" w:rsidP="007C799D">
      <w:r>
        <w:t xml:space="preserve">Vastgesteld door de Stuurgroep RPA </w:t>
      </w:r>
      <w:r w:rsidR="007C799D">
        <w:tab/>
      </w:r>
      <w:r w:rsidR="007C799D">
        <w:tab/>
      </w:r>
      <w:r>
        <w:t>d.d.</w:t>
      </w:r>
      <w:r w:rsidR="007C799D">
        <w:t>:</w:t>
      </w:r>
    </w:p>
    <w:p w14:paraId="4D3F3AD3" w14:textId="77777777" w:rsidR="00C31493" w:rsidRDefault="00C31493" w:rsidP="00C31493">
      <w:pPr>
        <w:pStyle w:val="Lijstalinea"/>
      </w:pPr>
    </w:p>
    <w:p w14:paraId="0DC08639" w14:textId="77777777" w:rsidR="00906CE1" w:rsidRPr="00906CE1" w:rsidRDefault="00F51C49" w:rsidP="00C31493">
      <w:pPr>
        <w:pStyle w:val="Lijstalinea"/>
        <w:numPr>
          <w:ilvl w:val="0"/>
          <w:numId w:val="4"/>
        </w:numPr>
      </w:pPr>
      <w:r>
        <w:t>Vastgesteld door het college van B&amp;W in</w:t>
      </w:r>
      <w:r w:rsidR="00C31493">
        <w:t xml:space="preserve"> de onderstaande </w:t>
      </w:r>
      <w:r>
        <w:t xml:space="preserve"> </w:t>
      </w:r>
      <w:r w:rsidR="00220E45">
        <w:t>gemeenten:</w:t>
      </w:r>
    </w:p>
    <w:p w14:paraId="2DE9FCD1" w14:textId="77777777" w:rsidR="00EB77E4" w:rsidRDefault="00C31493" w:rsidP="00F51C49">
      <w:pPr>
        <w:rPr>
          <w:b/>
          <w:sz w:val="24"/>
          <w:szCs w:val="24"/>
        </w:rPr>
      </w:pPr>
      <w:r>
        <w:rPr>
          <w:b/>
          <w:sz w:val="24"/>
          <w:szCs w:val="24"/>
        </w:rPr>
        <w:t>West-F</w:t>
      </w:r>
      <w:r w:rsidR="00EB77E4" w:rsidRPr="00EB77E4">
        <w:rPr>
          <w:b/>
          <w:sz w:val="24"/>
          <w:szCs w:val="24"/>
        </w:rPr>
        <w:t>riesland:</w:t>
      </w:r>
      <w:r w:rsidR="00EB77E4">
        <w:rPr>
          <w:b/>
          <w:sz w:val="24"/>
          <w:szCs w:val="24"/>
        </w:rPr>
        <w:t xml:space="preserve"> </w:t>
      </w:r>
    </w:p>
    <w:p w14:paraId="0494BC0A" w14:textId="5FD8F730" w:rsidR="00EB77E4" w:rsidRPr="00EB77E4" w:rsidRDefault="00EB77E4" w:rsidP="00EB77E4">
      <w:pPr>
        <w:pStyle w:val="Lijstalinea"/>
        <w:numPr>
          <w:ilvl w:val="0"/>
          <w:numId w:val="2"/>
        </w:numPr>
        <w:rPr>
          <w:sz w:val="24"/>
          <w:szCs w:val="24"/>
        </w:rPr>
      </w:pPr>
      <w:r w:rsidRPr="00EB77E4">
        <w:rPr>
          <w:sz w:val="24"/>
          <w:szCs w:val="24"/>
        </w:rPr>
        <w:t>Drechterland</w:t>
      </w:r>
    </w:p>
    <w:p w14:paraId="58FE8481" w14:textId="218FD2CB" w:rsidR="00EB77E4" w:rsidRPr="00EB77E4" w:rsidRDefault="00EB77E4" w:rsidP="00EB77E4">
      <w:pPr>
        <w:pStyle w:val="Lijstalinea"/>
        <w:numPr>
          <w:ilvl w:val="0"/>
          <w:numId w:val="2"/>
        </w:numPr>
        <w:rPr>
          <w:sz w:val="24"/>
          <w:szCs w:val="24"/>
        </w:rPr>
      </w:pPr>
      <w:r w:rsidRPr="00EB77E4">
        <w:rPr>
          <w:sz w:val="24"/>
          <w:szCs w:val="24"/>
        </w:rPr>
        <w:t>Enkhuizen</w:t>
      </w:r>
    </w:p>
    <w:p w14:paraId="372E1D88" w14:textId="25966DDF" w:rsidR="00EB77E4" w:rsidRPr="00EB77E4" w:rsidRDefault="00EB77E4" w:rsidP="00EB77E4">
      <w:pPr>
        <w:pStyle w:val="Lijstalinea"/>
        <w:numPr>
          <w:ilvl w:val="0"/>
          <w:numId w:val="2"/>
        </w:numPr>
        <w:rPr>
          <w:sz w:val="24"/>
          <w:szCs w:val="24"/>
        </w:rPr>
      </w:pPr>
      <w:r w:rsidRPr="00EB77E4">
        <w:rPr>
          <w:sz w:val="24"/>
          <w:szCs w:val="24"/>
        </w:rPr>
        <w:t>Hoorn</w:t>
      </w:r>
    </w:p>
    <w:p w14:paraId="7F2FCDFB" w14:textId="1701B95D" w:rsidR="00EB77E4" w:rsidRPr="00EB77E4" w:rsidRDefault="00EB77E4" w:rsidP="00EB77E4">
      <w:pPr>
        <w:pStyle w:val="Lijstalinea"/>
        <w:numPr>
          <w:ilvl w:val="0"/>
          <w:numId w:val="2"/>
        </w:numPr>
        <w:rPr>
          <w:sz w:val="24"/>
          <w:szCs w:val="24"/>
        </w:rPr>
      </w:pPr>
      <w:r w:rsidRPr="00EB77E4">
        <w:rPr>
          <w:sz w:val="24"/>
          <w:szCs w:val="24"/>
        </w:rPr>
        <w:t>Koggenland</w:t>
      </w:r>
    </w:p>
    <w:p w14:paraId="67FE25BE" w14:textId="3830E4DA" w:rsidR="00EB77E4" w:rsidRPr="00EB77E4" w:rsidRDefault="00EB77E4" w:rsidP="00EB77E4">
      <w:pPr>
        <w:pStyle w:val="Lijstalinea"/>
        <w:numPr>
          <w:ilvl w:val="0"/>
          <w:numId w:val="2"/>
        </w:numPr>
        <w:rPr>
          <w:sz w:val="24"/>
          <w:szCs w:val="24"/>
        </w:rPr>
      </w:pPr>
      <w:r w:rsidRPr="00EB77E4">
        <w:rPr>
          <w:sz w:val="24"/>
          <w:szCs w:val="24"/>
        </w:rPr>
        <w:t>Medemblik</w:t>
      </w:r>
    </w:p>
    <w:p w14:paraId="1BFAEB21" w14:textId="46C83E49" w:rsidR="00EB77E4" w:rsidRPr="00EB77E4" w:rsidRDefault="00EB77E4" w:rsidP="00EB77E4">
      <w:pPr>
        <w:pStyle w:val="Lijstalinea"/>
        <w:numPr>
          <w:ilvl w:val="0"/>
          <w:numId w:val="2"/>
        </w:numPr>
        <w:rPr>
          <w:sz w:val="24"/>
          <w:szCs w:val="24"/>
        </w:rPr>
      </w:pPr>
      <w:r w:rsidRPr="00EB77E4">
        <w:rPr>
          <w:sz w:val="24"/>
          <w:szCs w:val="24"/>
        </w:rPr>
        <w:t>Opmeer</w:t>
      </w:r>
    </w:p>
    <w:p w14:paraId="041B0332" w14:textId="0B0A4E1D" w:rsidR="00EB77E4" w:rsidRDefault="00EB77E4" w:rsidP="00EB77E4">
      <w:pPr>
        <w:pStyle w:val="Lijstalinea"/>
        <w:numPr>
          <w:ilvl w:val="0"/>
          <w:numId w:val="2"/>
        </w:numPr>
        <w:rPr>
          <w:sz w:val="24"/>
          <w:szCs w:val="24"/>
        </w:rPr>
      </w:pPr>
      <w:r w:rsidRPr="00EB77E4">
        <w:rPr>
          <w:sz w:val="24"/>
          <w:szCs w:val="24"/>
        </w:rPr>
        <w:t>Stede Broec</w:t>
      </w:r>
    </w:p>
    <w:p w14:paraId="1B563D1A" w14:textId="77777777" w:rsidR="00C31493" w:rsidRDefault="00C31493" w:rsidP="00C31493">
      <w:pPr>
        <w:rPr>
          <w:b/>
          <w:sz w:val="24"/>
          <w:szCs w:val="24"/>
        </w:rPr>
      </w:pPr>
      <w:r w:rsidRPr="00C31493">
        <w:rPr>
          <w:b/>
          <w:sz w:val="24"/>
          <w:szCs w:val="24"/>
        </w:rPr>
        <w:t>Kop</w:t>
      </w:r>
      <w:r>
        <w:rPr>
          <w:b/>
          <w:sz w:val="24"/>
          <w:szCs w:val="24"/>
        </w:rPr>
        <w:t>:</w:t>
      </w:r>
    </w:p>
    <w:p w14:paraId="5672E12A" w14:textId="77777777" w:rsidR="00CF716B" w:rsidRPr="00CF716B" w:rsidRDefault="00CF716B" w:rsidP="00CF716B">
      <w:pPr>
        <w:pStyle w:val="Lijstalinea"/>
        <w:numPr>
          <w:ilvl w:val="0"/>
          <w:numId w:val="2"/>
        </w:numPr>
        <w:rPr>
          <w:sz w:val="24"/>
          <w:szCs w:val="24"/>
        </w:rPr>
      </w:pPr>
      <w:r w:rsidRPr="00CF716B">
        <w:rPr>
          <w:sz w:val="24"/>
          <w:szCs w:val="24"/>
        </w:rPr>
        <w:t>Den Helder</w:t>
      </w:r>
    </w:p>
    <w:p w14:paraId="1034F67B" w14:textId="77777777" w:rsidR="00CF716B" w:rsidRPr="00CF716B" w:rsidRDefault="00CF716B" w:rsidP="00CF716B">
      <w:pPr>
        <w:pStyle w:val="Lijstalinea"/>
        <w:numPr>
          <w:ilvl w:val="0"/>
          <w:numId w:val="2"/>
        </w:numPr>
        <w:rPr>
          <w:sz w:val="24"/>
          <w:szCs w:val="24"/>
        </w:rPr>
      </w:pPr>
      <w:r w:rsidRPr="00CF716B">
        <w:rPr>
          <w:sz w:val="24"/>
          <w:szCs w:val="24"/>
        </w:rPr>
        <w:t>Hollands Kroon</w:t>
      </w:r>
    </w:p>
    <w:p w14:paraId="5AE08793" w14:textId="77777777" w:rsidR="00CF716B" w:rsidRPr="00CF716B" w:rsidRDefault="00CF716B" w:rsidP="00CF716B">
      <w:pPr>
        <w:pStyle w:val="Lijstalinea"/>
        <w:numPr>
          <w:ilvl w:val="0"/>
          <w:numId w:val="2"/>
        </w:numPr>
        <w:rPr>
          <w:sz w:val="24"/>
          <w:szCs w:val="24"/>
        </w:rPr>
      </w:pPr>
      <w:r w:rsidRPr="00CF716B">
        <w:rPr>
          <w:sz w:val="24"/>
          <w:szCs w:val="24"/>
        </w:rPr>
        <w:t>Schagen</w:t>
      </w:r>
    </w:p>
    <w:p w14:paraId="72BE09C3" w14:textId="77777777" w:rsidR="00CF716B" w:rsidRPr="00CF716B" w:rsidRDefault="00CF716B" w:rsidP="00CF716B">
      <w:pPr>
        <w:pStyle w:val="Lijstalinea"/>
        <w:numPr>
          <w:ilvl w:val="0"/>
          <w:numId w:val="2"/>
        </w:numPr>
        <w:rPr>
          <w:sz w:val="24"/>
          <w:szCs w:val="24"/>
        </w:rPr>
      </w:pPr>
      <w:r w:rsidRPr="00CF716B">
        <w:rPr>
          <w:sz w:val="24"/>
          <w:szCs w:val="24"/>
        </w:rPr>
        <w:t>Texel</w:t>
      </w:r>
    </w:p>
    <w:p w14:paraId="61BD7691" w14:textId="77777777" w:rsidR="00C31493" w:rsidRDefault="00C31493" w:rsidP="00C31493">
      <w:pPr>
        <w:rPr>
          <w:b/>
          <w:sz w:val="24"/>
          <w:szCs w:val="24"/>
        </w:rPr>
      </w:pPr>
      <w:r>
        <w:rPr>
          <w:b/>
          <w:sz w:val="24"/>
          <w:szCs w:val="24"/>
        </w:rPr>
        <w:t>HAL:</w:t>
      </w:r>
    </w:p>
    <w:p w14:paraId="3C7A956F" w14:textId="77777777" w:rsidR="00CF716B" w:rsidRDefault="00CF716B" w:rsidP="00CF716B">
      <w:pPr>
        <w:pStyle w:val="Lijstalinea"/>
        <w:numPr>
          <w:ilvl w:val="0"/>
          <w:numId w:val="2"/>
        </w:numPr>
        <w:rPr>
          <w:sz w:val="24"/>
          <w:szCs w:val="24"/>
        </w:rPr>
      </w:pPr>
      <w:r w:rsidRPr="00CF716B">
        <w:rPr>
          <w:sz w:val="24"/>
          <w:szCs w:val="24"/>
        </w:rPr>
        <w:t xml:space="preserve">Heerhugowaard </w:t>
      </w:r>
    </w:p>
    <w:p w14:paraId="45C3875C" w14:textId="77777777" w:rsidR="00FB2A1E" w:rsidRPr="00CF716B" w:rsidRDefault="00FB2A1E" w:rsidP="00CF716B">
      <w:pPr>
        <w:pStyle w:val="Lijstalinea"/>
        <w:numPr>
          <w:ilvl w:val="0"/>
          <w:numId w:val="2"/>
        </w:numPr>
        <w:rPr>
          <w:sz w:val="24"/>
          <w:szCs w:val="24"/>
        </w:rPr>
      </w:pPr>
      <w:r>
        <w:rPr>
          <w:sz w:val="24"/>
          <w:szCs w:val="24"/>
        </w:rPr>
        <w:t>Alkmaar</w:t>
      </w:r>
    </w:p>
    <w:p w14:paraId="792CAB8F" w14:textId="77777777" w:rsidR="00CF716B" w:rsidRPr="00CF716B" w:rsidRDefault="00CF716B" w:rsidP="00CF716B">
      <w:pPr>
        <w:pStyle w:val="Lijstalinea"/>
        <w:numPr>
          <w:ilvl w:val="0"/>
          <w:numId w:val="2"/>
        </w:numPr>
        <w:rPr>
          <w:sz w:val="24"/>
          <w:szCs w:val="24"/>
        </w:rPr>
      </w:pPr>
      <w:r w:rsidRPr="00CF716B">
        <w:rPr>
          <w:sz w:val="24"/>
          <w:szCs w:val="24"/>
        </w:rPr>
        <w:t xml:space="preserve">Langedijk </w:t>
      </w:r>
    </w:p>
    <w:p w14:paraId="41BE96AB" w14:textId="77777777" w:rsidR="00C31493" w:rsidRPr="00C31493" w:rsidRDefault="00C31493" w:rsidP="00C31493">
      <w:pPr>
        <w:rPr>
          <w:b/>
          <w:sz w:val="24"/>
          <w:szCs w:val="24"/>
        </w:rPr>
      </w:pPr>
      <w:r>
        <w:rPr>
          <w:b/>
          <w:sz w:val="24"/>
          <w:szCs w:val="24"/>
        </w:rPr>
        <w:t>BUCH:</w:t>
      </w:r>
    </w:p>
    <w:p w14:paraId="47A6F291" w14:textId="77777777" w:rsidR="00DE2059" w:rsidRDefault="00CF716B" w:rsidP="00CF716B">
      <w:pPr>
        <w:pStyle w:val="Lijstalinea"/>
        <w:numPr>
          <w:ilvl w:val="0"/>
          <w:numId w:val="2"/>
        </w:numPr>
        <w:rPr>
          <w:sz w:val="24"/>
          <w:szCs w:val="24"/>
        </w:rPr>
      </w:pPr>
      <w:r>
        <w:rPr>
          <w:sz w:val="24"/>
          <w:szCs w:val="24"/>
        </w:rPr>
        <w:t>Bergen</w:t>
      </w:r>
    </w:p>
    <w:p w14:paraId="6AB47359" w14:textId="77777777" w:rsidR="00CF716B" w:rsidRDefault="00CF716B" w:rsidP="00CF716B">
      <w:pPr>
        <w:pStyle w:val="Lijstalinea"/>
        <w:numPr>
          <w:ilvl w:val="0"/>
          <w:numId w:val="2"/>
        </w:numPr>
        <w:rPr>
          <w:sz w:val="24"/>
          <w:szCs w:val="24"/>
        </w:rPr>
      </w:pPr>
      <w:r>
        <w:rPr>
          <w:sz w:val="24"/>
          <w:szCs w:val="24"/>
        </w:rPr>
        <w:t>Castricum</w:t>
      </w:r>
    </w:p>
    <w:p w14:paraId="27BA12E5" w14:textId="77777777" w:rsidR="00CF716B" w:rsidRDefault="00CF716B" w:rsidP="00CF716B">
      <w:pPr>
        <w:pStyle w:val="Lijstalinea"/>
        <w:numPr>
          <w:ilvl w:val="0"/>
          <w:numId w:val="2"/>
        </w:numPr>
        <w:rPr>
          <w:sz w:val="24"/>
          <w:szCs w:val="24"/>
        </w:rPr>
      </w:pPr>
      <w:r>
        <w:rPr>
          <w:sz w:val="24"/>
          <w:szCs w:val="24"/>
        </w:rPr>
        <w:t>Uitgeest</w:t>
      </w:r>
    </w:p>
    <w:p w14:paraId="2873B4CF" w14:textId="77777777" w:rsidR="006E6DF8" w:rsidRPr="00CF716B" w:rsidRDefault="006E6DF8" w:rsidP="00CF716B">
      <w:pPr>
        <w:pStyle w:val="Lijstalinea"/>
        <w:numPr>
          <w:ilvl w:val="0"/>
          <w:numId w:val="2"/>
        </w:numPr>
        <w:rPr>
          <w:sz w:val="24"/>
          <w:szCs w:val="24"/>
        </w:rPr>
      </w:pPr>
      <w:r>
        <w:rPr>
          <w:sz w:val="24"/>
          <w:szCs w:val="24"/>
        </w:rPr>
        <w:t>Heiloo</w:t>
      </w:r>
    </w:p>
    <w:p w14:paraId="79EC25F6" w14:textId="77777777" w:rsidR="00EB77E4" w:rsidRPr="00EB77E4" w:rsidRDefault="00EB77E4" w:rsidP="00EB77E4">
      <w:pPr>
        <w:rPr>
          <w:sz w:val="24"/>
          <w:szCs w:val="24"/>
        </w:rPr>
      </w:pPr>
    </w:p>
    <w:sectPr w:rsidR="00EB77E4" w:rsidRPr="00EB77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65774" w14:textId="77777777" w:rsidR="00B7055F" w:rsidRDefault="00B7055F" w:rsidP="003479FF">
      <w:pPr>
        <w:spacing w:after="0" w:line="240" w:lineRule="auto"/>
      </w:pPr>
      <w:r>
        <w:separator/>
      </w:r>
    </w:p>
  </w:endnote>
  <w:endnote w:type="continuationSeparator" w:id="0">
    <w:p w14:paraId="72BB1207" w14:textId="77777777" w:rsidR="00B7055F" w:rsidRDefault="00B7055F" w:rsidP="00347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2C9C3" w14:textId="77777777" w:rsidR="00B7055F" w:rsidRDefault="00B7055F" w:rsidP="003479FF">
      <w:pPr>
        <w:spacing w:after="0" w:line="240" w:lineRule="auto"/>
      </w:pPr>
      <w:r>
        <w:separator/>
      </w:r>
    </w:p>
  </w:footnote>
  <w:footnote w:type="continuationSeparator" w:id="0">
    <w:p w14:paraId="1ABAC69C" w14:textId="77777777" w:rsidR="00B7055F" w:rsidRDefault="00B7055F" w:rsidP="003479FF">
      <w:pPr>
        <w:spacing w:after="0" w:line="240" w:lineRule="auto"/>
      </w:pPr>
      <w:r>
        <w:continuationSeparator/>
      </w:r>
    </w:p>
  </w:footnote>
  <w:footnote w:id="1">
    <w:p w14:paraId="0952A464" w14:textId="77777777" w:rsidR="00597FBB" w:rsidRPr="00597FBB" w:rsidRDefault="00597FBB">
      <w:pPr>
        <w:pStyle w:val="Voetnoottekst"/>
      </w:pPr>
      <w:r>
        <w:rPr>
          <w:rStyle w:val="Voetnootmarkering"/>
        </w:rPr>
        <w:footnoteRef/>
      </w:r>
      <w:r>
        <w:t xml:space="preserve"> </w:t>
      </w:r>
      <w:r w:rsidRPr="00597FBB">
        <w:t xml:space="preserve">Het moet altijd gaan om mensen met een afstand tot de arbeidsmarkt dichter bij betaalde arbeid te brengen. </w:t>
      </w:r>
      <w:r>
        <w:t>Twijfel? Neem contact op met de coördinator SROI.</w:t>
      </w:r>
    </w:p>
  </w:footnote>
  <w:footnote w:id="2">
    <w:p w14:paraId="427938DD" w14:textId="77777777" w:rsidR="00597FBB" w:rsidRPr="00597FBB" w:rsidRDefault="00597FBB">
      <w:pPr>
        <w:pStyle w:val="Voetnoottekst"/>
      </w:pPr>
      <w:r>
        <w:rPr>
          <w:rStyle w:val="Voetnootmarkering"/>
        </w:rPr>
        <w:footnoteRef/>
      </w: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Pr="00014759">
        <w:t>Er zijn in het land meerdere varianten van het bouwblokkenmodel in omloop. Bij aanbestedingen door de gemeenten i</w:t>
      </w:r>
      <w:r w:rsidR="00F60678">
        <w:t xml:space="preserve">n de regio Noord-Holland Noord </w:t>
      </w:r>
      <w:r w:rsidRPr="00014759">
        <w:t>gelden de bedragen zoals opgenomen in dit uitvoeringsprotocol.</w:t>
      </w:r>
    </w:p>
  </w:footnote>
  <w:footnote w:id="3">
    <w:p w14:paraId="3F875A64" w14:textId="77777777" w:rsidR="00597FBB" w:rsidRPr="00597FBB" w:rsidRDefault="00597FBB">
      <w:pPr>
        <w:pStyle w:val="Voetnoottekst"/>
      </w:pPr>
      <w:r>
        <w:rPr>
          <w:rStyle w:val="Voetnootmarkering"/>
        </w:rPr>
        <w:footnoteRef/>
      </w:r>
      <w:r>
        <w:t xml:space="preserve"> </w:t>
      </w:r>
      <w:r w:rsidRPr="00597FBB">
        <w:t>Onder de WIA/WAO vallen niet de kandidaten voor wie de we</w:t>
      </w:r>
      <w:r>
        <w:t>r</w:t>
      </w:r>
      <w:r w:rsidRPr="00597FBB">
        <w:t>kgevers ingevolge de Wet Verbetering Poortwachter een verplichting tot re-integratie h</w:t>
      </w:r>
      <w:r>
        <w:t>e</w:t>
      </w:r>
      <w:r w:rsidRPr="00597FBB">
        <w:t>eft.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C3F41"/>
    <w:multiLevelType w:val="hybridMultilevel"/>
    <w:tmpl w:val="E55818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2E578A"/>
    <w:multiLevelType w:val="hybridMultilevel"/>
    <w:tmpl w:val="301E64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024B05"/>
    <w:multiLevelType w:val="hybridMultilevel"/>
    <w:tmpl w:val="76A885B8"/>
    <w:lvl w:ilvl="0" w:tplc="45B6EA6A">
      <w:start w:val="1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D400D44"/>
    <w:multiLevelType w:val="hybridMultilevel"/>
    <w:tmpl w:val="69E63E5E"/>
    <w:lvl w:ilvl="0" w:tplc="3392CE14">
      <w:start w:val="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E10"/>
    <w:rsid w:val="00014759"/>
    <w:rsid w:val="000B36B8"/>
    <w:rsid w:val="00114771"/>
    <w:rsid w:val="00185614"/>
    <w:rsid w:val="0019400E"/>
    <w:rsid w:val="0020564C"/>
    <w:rsid w:val="00220E45"/>
    <w:rsid w:val="00251994"/>
    <w:rsid w:val="00313655"/>
    <w:rsid w:val="003479FF"/>
    <w:rsid w:val="003A47D7"/>
    <w:rsid w:val="003B4A90"/>
    <w:rsid w:val="003D1DC3"/>
    <w:rsid w:val="00597FBB"/>
    <w:rsid w:val="005A2CAE"/>
    <w:rsid w:val="00684302"/>
    <w:rsid w:val="006E6DF8"/>
    <w:rsid w:val="007032A9"/>
    <w:rsid w:val="007B69CC"/>
    <w:rsid w:val="007C1761"/>
    <w:rsid w:val="007C799D"/>
    <w:rsid w:val="007E314C"/>
    <w:rsid w:val="00862293"/>
    <w:rsid w:val="008B5A60"/>
    <w:rsid w:val="008C5CB7"/>
    <w:rsid w:val="00906CE1"/>
    <w:rsid w:val="00950E0F"/>
    <w:rsid w:val="00A04E10"/>
    <w:rsid w:val="00A06B0F"/>
    <w:rsid w:val="00A31A20"/>
    <w:rsid w:val="00A31F0B"/>
    <w:rsid w:val="00A804DD"/>
    <w:rsid w:val="00AD4EA5"/>
    <w:rsid w:val="00AF2E18"/>
    <w:rsid w:val="00B06FE4"/>
    <w:rsid w:val="00B5415E"/>
    <w:rsid w:val="00B6566F"/>
    <w:rsid w:val="00B7055F"/>
    <w:rsid w:val="00C2247D"/>
    <w:rsid w:val="00C31493"/>
    <w:rsid w:val="00C50EC8"/>
    <w:rsid w:val="00CF716B"/>
    <w:rsid w:val="00D57AD7"/>
    <w:rsid w:val="00DC0FF7"/>
    <w:rsid w:val="00DC1A17"/>
    <w:rsid w:val="00DE2059"/>
    <w:rsid w:val="00E060D7"/>
    <w:rsid w:val="00E22BC6"/>
    <w:rsid w:val="00E40504"/>
    <w:rsid w:val="00E71713"/>
    <w:rsid w:val="00EB77E4"/>
    <w:rsid w:val="00F06315"/>
    <w:rsid w:val="00F51C49"/>
    <w:rsid w:val="00F60678"/>
    <w:rsid w:val="00FB2A1E"/>
    <w:rsid w:val="00FF12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B802"/>
  <w15:docId w15:val="{8B5D5F13-2154-4F7C-B5E8-24DCCE78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B69CC"/>
    <w:pPr>
      <w:ind w:left="720"/>
      <w:contextualSpacing/>
    </w:pPr>
  </w:style>
  <w:style w:type="table" w:styleId="Tabelraster">
    <w:name w:val="Table Grid"/>
    <w:basedOn w:val="Standaardtabel"/>
    <w:uiPriority w:val="59"/>
    <w:rsid w:val="00014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479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79FF"/>
  </w:style>
  <w:style w:type="paragraph" w:styleId="Voettekst">
    <w:name w:val="footer"/>
    <w:basedOn w:val="Standaard"/>
    <w:link w:val="VoettekstChar"/>
    <w:uiPriority w:val="99"/>
    <w:unhideWhenUsed/>
    <w:rsid w:val="003479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79FF"/>
  </w:style>
  <w:style w:type="paragraph" w:styleId="Voetnoottekst">
    <w:name w:val="footnote text"/>
    <w:basedOn w:val="Standaard"/>
    <w:link w:val="VoetnoottekstChar"/>
    <w:uiPriority w:val="99"/>
    <w:semiHidden/>
    <w:unhideWhenUsed/>
    <w:rsid w:val="00597FB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97FBB"/>
    <w:rPr>
      <w:sz w:val="20"/>
      <w:szCs w:val="20"/>
    </w:rPr>
  </w:style>
  <w:style w:type="character" w:styleId="Voetnootmarkering">
    <w:name w:val="footnote reference"/>
    <w:basedOn w:val="Standaardalinea-lettertype"/>
    <w:uiPriority w:val="99"/>
    <w:semiHidden/>
    <w:unhideWhenUsed/>
    <w:rsid w:val="00597FBB"/>
    <w:rPr>
      <w:vertAlign w:val="superscript"/>
    </w:rPr>
  </w:style>
  <w:style w:type="paragraph" w:styleId="Ballontekst">
    <w:name w:val="Balloon Text"/>
    <w:basedOn w:val="Standaard"/>
    <w:link w:val="BallontekstChar"/>
    <w:uiPriority w:val="99"/>
    <w:semiHidden/>
    <w:unhideWhenUsed/>
    <w:rsid w:val="00E060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060D7"/>
    <w:rPr>
      <w:rFonts w:ascii="Tahoma" w:hAnsi="Tahoma" w:cs="Tahoma"/>
      <w:sz w:val="16"/>
      <w:szCs w:val="16"/>
    </w:rPr>
  </w:style>
  <w:style w:type="character" w:styleId="Verwijzingopmerking">
    <w:name w:val="annotation reference"/>
    <w:basedOn w:val="Standaardalinea-lettertype"/>
    <w:uiPriority w:val="99"/>
    <w:semiHidden/>
    <w:unhideWhenUsed/>
    <w:rsid w:val="00E060D7"/>
    <w:rPr>
      <w:sz w:val="16"/>
      <w:szCs w:val="16"/>
    </w:rPr>
  </w:style>
  <w:style w:type="paragraph" w:styleId="Tekstopmerking">
    <w:name w:val="annotation text"/>
    <w:basedOn w:val="Standaard"/>
    <w:link w:val="TekstopmerkingChar"/>
    <w:semiHidden/>
    <w:unhideWhenUsed/>
    <w:rsid w:val="00E060D7"/>
    <w:pPr>
      <w:spacing w:line="240" w:lineRule="auto"/>
    </w:pPr>
    <w:rPr>
      <w:sz w:val="20"/>
      <w:szCs w:val="20"/>
    </w:rPr>
  </w:style>
  <w:style w:type="character" w:customStyle="1" w:styleId="TekstopmerkingChar">
    <w:name w:val="Tekst opmerking Char"/>
    <w:basedOn w:val="Standaardalinea-lettertype"/>
    <w:link w:val="Tekstopmerking"/>
    <w:semiHidden/>
    <w:rsid w:val="00E060D7"/>
    <w:rPr>
      <w:sz w:val="20"/>
      <w:szCs w:val="20"/>
    </w:rPr>
  </w:style>
  <w:style w:type="paragraph" w:styleId="Onderwerpvanopmerking">
    <w:name w:val="annotation subject"/>
    <w:basedOn w:val="Tekstopmerking"/>
    <w:next w:val="Tekstopmerking"/>
    <w:link w:val="OnderwerpvanopmerkingChar"/>
    <w:uiPriority w:val="99"/>
    <w:semiHidden/>
    <w:unhideWhenUsed/>
    <w:rsid w:val="00E060D7"/>
    <w:rPr>
      <w:b/>
      <w:bCs/>
    </w:rPr>
  </w:style>
  <w:style w:type="character" w:customStyle="1" w:styleId="OnderwerpvanopmerkingChar">
    <w:name w:val="Onderwerp van opmerking Char"/>
    <w:basedOn w:val="TekstopmerkingChar"/>
    <w:link w:val="Onderwerpvanopmerking"/>
    <w:uiPriority w:val="99"/>
    <w:semiHidden/>
    <w:rsid w:val="00E060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7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2EB91-36DB-4A86-9210-49E35668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2053</Words>
  <Characters>11297</Characters>
  <Application>Microsoft Office Word</Application>
  <DocSecurity>4</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13324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aholsch</dc:creator>
  <cp:lastModifiedBy>Francesco Trovato</cp:lastModifiedBy>
  <cp:revision>2</cp:revision>
  <dcterms:created xsi:type="dcterms:W3CDTF">2020-06-04T13:50:00Z</dcterms:created>
  <dcterms:modified xsi:type="dcterms:W3CDTF">2020-06-04T13:50:00Z</dcterms:modified>
</cp:coreProperties>
</file>