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E5A" w:rsidRPr="00BA14F1" w:rsidRDefault="00EF5D9B" w:rsidP="00443E5A">
      <w:pPr>
        <w:keepNext/>
        <w:keepLines/>
        <w:pageBreakBefore/>
        <w:tabs>
          <w:tab w:val="left" w:pos="0"/>
        </w:tabs>
        <w:spacing w:after="240" w:line="360" w:lineRule="exact"/>
        <w:outlineLvl w:val="0"/>
        <w:rPr>
          <w:b/>
          <w:color w:val="004983"/>
          <w:kern w:val="36"/>
          <w:szCs w:val="19"/>
        </w:rPr>
      </w:pPr>
      <w:bookmarkStart w:id="0" w:name="_Toc479597989"/>
      <w:r>
        <w:rPr>
          <w:b/>
          <w:color w:val="004983"/>
          <w:kern w:val="36"/>
          <w:szCs w:val="19"/>
        </w:rPr>
        <w:t>Formulier 2 -</w:t>
      </w:r>
      <w:r w:rsidR="00443E5A" w:rsidRPr="00BA14F1">
        <w:rPr>
          <w:b/>
          <w:color w:val="004983"/>
          <w:kern w:val="36"/>
          <w:szCs w:val="19"/>
        </w:rPr>
        <w:t xml:space="preserve"> Verklaring betreffende de arbeidsbescherming en de arbeidsvoorwaarden</w:t>
      </w:r>
      <w:bookmarkEnd w:id="0"/>
    </w:p>
    <w:p w:rsidR="00443E5A" w:rsidRPr="00443E5A" w:rsidRDefault="00443E5A" w:rsidP="00443E5A">
      <w:pPr>
        <w:rPr>
          <w:rFonts w:cs="Arial"/>
          <w:sz w:val="19"/>
          <w:szCs w:val="19"/>
        </w:rPr>
      </w:pPr>
      <w:r w:rsidRPr="00443E5A">
        <w:rPr>
          <w:rFonts w:cs="Arial"/>
          <w:sz w:val="19"/>
          <w:szCs w:val="19"/>
        </w:rPr>
        <w:t>Ondergetekende verklaard dat bij het opstellen van de inschrijving rekening is gehouden met de verplichtingen uit hoofde van de bepalingen betreffende de arbeidsbescherming en de arbeidsvoorwaarden die gelden op de plaats waar de verrichting wordt uitgevoerd.</w:t>
      </w:r>
    </w:p>
    <w:p w:rsidR="00443E5A" w:rsidRPr="00443E5A" w:rsidRDefault="00443E5A" w:rsidP="00443E5A">
      <w:pPr>
        <w:rPr>
          <w:sz w:val="19"/>
          <w:szCs w:val="19"/>
        </w:rPr>
      </w:pPr>
      <w:r w:rsidRPr="00443E5A">
        <w:rPr>
          <w:rFonts w:cs="Arial"/>
          <w:i/>
          <w:sz w:val="19"/>
          <w:szCs w:val="19"/>
        </w:rPr>
        <w:t>Opmerking</w:t>
      </w:r>
      <w:r w:rsidRPr="00443E5A">
        <w:rPr>
          <w:rFonts w:cs="Arial"/>
          <w:sz w:val="19"/>
          <w:szCs w:val="19"/>
        </w:rPr>
        <w:t xml:space="preserve">: Informatie over verplichtingen ten aanzien van de bepalingen betreffende belastingen, milieubescherming, arbeidsbescherming en arbeidsvoorwaarden die gelden in Nederland, zoals bedoeld </w:t>
      </w:r>
      <w:r w:rsidRPr="003C76FE">
        <w:rPr>
          <w:rFonts w:cs="Arial"/>
          <w:sz w:val="19"/>
          <w:szCs w:val="19"/>
        </w:rPr>
        <w:t>in het ARW 201</w:t>
      </w:r>
      <w:r w:rsidR="003C76FE" w:rsidRPr="003C76FE">
        <w:rPr>
          <w:rFonts w:cs="Arial"/>
          <w:sz w:val="19"/>
          <w:szCs w:val="19"/>
        </w:rPr>
        <w:t>6</w:t>
      </w:r>
      <w:r w:rsidRPr="003C76FE">
        <w:rPr>
          <w:rFonts w:cs="Arial"/>
          <w:sz w:val="19"/>
          <w:szCs w:val="19"/>
        </w:rPr>
        <w:t xml:space="preserve"> artikel </w:t>
      </w:r>
      <w:r w:rsidR="0018711C">
        <w:rPr>
          <w:rFonts w:cs="Arial"/>
          <w:sz w:val="19"/>
          <w:szCs w:val="19"/>
        </w:rPr>
        <w:t>&lt;</w:t>
      </w:r>
      <w:r w:rsidRPr="003C76FE">
        <w:rPr>
          <w:rFonts w:cs="Arial"/>
          <w:sz w:val="19"/>
          <w:szCs w:val="19"/>
        </w:rPr>
        <w:t>2.</w:t>
      </w:r>
      <w:r w:rsidR="003C76FE" w:rsidRPr="003C76FE">
        <w:rPr>
          <w:rFonts w:cs="Arial"/>
          <w:sz w:val="19"/>
          <w:szCs w:val="19"/>
        </w:rPr>
        <w:t>13.7</w:t>
      </w:r>
      <w:r w:rsidR="0018711C">
        <w:rPr>
          <w:rFonts w:cs="Arial"/>
          <w:sz w:val="19"/>
          <w:szCs w:val="19"/>
        </w:rPr>
        <w:t>, &gt;</w:t>
      </w:r>
      <w:r w:rsidRPr="003C76FE">
        <w:rPr>
          <w:rFonts w:cs="Arial"/>
          <w:sz w:val="19"/>
          <w:szCs w:val="19"/>
        </w:rPr>
        <w:t>, zijn te verkrijgen bij de ministeries van respectievelijk Financiën</w:t>
      </w:r>
      <w:r w:rsidRPr="00443E5A">
        <w:rPr>
          <w:rFonts w:cs="Arial"/>
          <w:sz w:val="19"/>
          <w:szCs w:val="19"/>
        </w:rPr>
        <w:t>, Infrastructuur en Milieu, en Sociale Zaken en Werkgelegenheid</w:t>
      </w:r>
    </w:p>
    <w:p w:rsidR="003B533C" w:rsidRDefault="003B533C" w:rsidP="00443E5A">
      <w:pPr>
        <w:suppressAutoHyphens/>
        <w:rPr>
          <w:sz w:val="19"/>
          <w:szCs w:val="19"/>
          <w:lang w:eastAsia="en-US"/>
        </w:rPr>
      </w:pPr>
    </w:p>
    <w:p w:rsidR="00443E5A" w:rsidRPr="00443E5A" w:rsidRDefault="00443E5A" w:rsidP="00443E5A">
      <w:pPr>
        <w:suppressAutoHyphens/>
        <w:rPr>
          <w:sz w:val="19"/>
          <w:szCs w:val="19"/>
          <w:lang w:eastAsia="en-US"/>
        </w:rPr>
      </w:pPr>
      <w:r w:rsidRPr="00443E5A">
        <w:rPr>
          <w:sz w:val="19"/>
          <w:szCs w:val="19"/>
          <w:lang w:eastAsia="en-US"/>
        </w:rPr>
        <w:t>Aldus naar waarheid opgemaakt en rechtsgeldig ondertekend,</w:t>
      </w:r>
    </w:p>
    <w:p w:rsidR="00443E5A" w:rsidRPr="00443E5A" w:rsidRDefault="00443E5A" w:rsidP="00443E5A">
      <w:pPr>
        <w:suppressAutoHyphens/>
        <w:rPr>
          <w:sz w:val="19"/>
          <w:szCs w:val="19"/>
          <w:lang w:eastAsia="en-US"/>
        </w:rPr>
      </w:pPr>
    </w:p>
    <w:tbl>
      <w:tblPr>
        <w:tblpPr w:leftFromText="141" w:rightFromText="141" w:vertAnchor="page" w:horzAnchor="margin" w:tblpXSpec="right" w:tblpY="5939"/>
        <w:tblW w:w="5000" w:type="pct"/>
        <w:tblLook w:val="01E0" w:firstRow="1" w:lastRow="1" w:firstColumn="1" w:lastColumn="1" w:noHBand="0" w:noVBand="0"/>
      </w:tblPr>
      <w:tblGrid>
        <w:gridCol w:w="2093"/>
        <w:gridCol w:w="2697"/>
        <w:gridCol w:w="1332"/>
        <w:gridCol w:w="3165"/>
      </w:tblGrid>
      <w:tr w:rsidR="00443E5A" w:rsidRPr="00443E5A" w:rsidTr="001D50B0">
        <w:tc>
          <w:tcPr>
            <w:tcW w:w="1127" w:type="pct"/>
          </w:tcPr>
          <w:p w:rsidR="00443E5A" w:rsidRPr="00443E5A" w:rsidRDefault="00443E5A" w:rsidP="001D50B0">
            <w:pPr>
              <w:rPr>
                <w:rFonts w:cs="Arial"/>
                <w:sz w:val="19"/>
                <w:szCs w:val="19"/>
              </w:rPr>
            </w:pPr>
            <w:r w:rsidRPr="00443E5A">
              <w:rPr>
                <w:rFonts w:cs="Arial"/>
                <w:sz w:val="19"/>
                <w:szCs w:val="19"/>
              </w:rPr>
              <w:t>Datum:</w:t>
            </w:r>
          </w:p>
        </w:tc>
        <w:tc>
          <w:tcPr>
            <w:tcW w:w="1452" w:type="pct"/>
            <w:tcBorders>
              <w:bottom w:val="single" w:sz="4" w:space="0" w:color="auto"/>
            </w:tcBorders>
          </w:tcPr>
          <w:p w:rsidR="00443E5A" w:rsidRPr="00443E5A" w:rsidRDefault="00443E5A" w:rsidP="001D50B0">
            <w:pPr>
              <w:rPr>
                <w:rFonts w:cs="Arial"/>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c>
          <w:tcPr>
            <w:tcW w:w="717" w:type="pct"/>
          </w:tcPr>
          <w:p w:rsidR="00443E5A" w:rsidRPr="00443E5A" w:rsidRDefault="00443E5A" w:rsidP="001D50B0">
            <w:pPr>
              <w:rPr>
                <w:sz w:val="19"/>
                <w:szCs w:val="19"/>
              </w:rPr>
            </w:pPr>
            <w:r w:rsidRPr="00443E5A">
              <w:rPr>
                <w:sz w:val="19"/>
                <w:szCs w:val="19"/>
              </w:rPr>
              <w:t>Plaats:</w:t>
            </w:r>
          </w:p>
        </w:tc>
        <w:tc>
          <w:tcPr>
            <w:tcW w:w="1704" w:type="pct"/>
            <w:tcBorders>
              <w:bottom w:val="single" w:sz="4" w:space="0" w:color="auto"/>
            </w:tcBorders>
          </w:tcPr>
          <w:p w:rsidR="00443E5A" w:rsidRPr="00443E5A" w:rsidRDefault="00443E5A" w:rsidP="001D50B0">
            <w:pPr>
              <w:rPr>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r>
      <w:tr w:rsidR="00443E5A" w:rsidRPr="00443E5A" w:rsidTr="001D50B0">
        <w:tc>
          <w:tcPr>
            <w:tcW w:w="1127" w:type="pct"/>
          </w:tcPr>
          <w:p w:rsidR="00443E5A" w:rsidRPr="00443E5A" w:rsidRDefault="00443E5A" w:rsidP="001D50B0">
            <w:pPr>
              <w:rPr>
                <w:rFonts w:cs="Arial"/>
                <w:sz w:val="19"/>
                <w:szCs w:val="19"/>
              </w:rPr>
            </w:pPr>
          </w:p>
        </w:tc>
        <w:tc>
          <w:tcPr>
            <w:tcW w:w="1452" w:type="pct"/>
            <w:tcBorders>
              <w:top w:val="single" w:sz="4" w:space="0" w:color="auto"/>
            </w:tcBorders>
          </w:tcPr>
          <w:p w:rsidR="00443E5A" w:rsidRPr="00443E5A" w:rsidRDefault="00443E5A" w:rsidP="001D50B0">
            <w:pPr>
              <w:rPr>
                <w:rFonts w:cs="Arial"/>
                <w:sz w:val="19"/>
                <w:szCs w:val="19"/>
              </w:rPr>
            </w:pPr>
          </w:p>
        </w:tc>
        <w:tc>
          <w:tcPr>
            <w:tcW w:w="717" w:type="pct"/>
          </w:tcPr>
          <w:p w:rsidR="00443E5A" w:rsidRPr="00443E5A" w:rsidRDefault="00443E5A" w:rsidP="001D50B0">
            <w:pPr>
              <w:rPr>
                <w:rFonts w:cs="Arial"/>
                <w:sz w:val="19"/>
                <w:szCs w:val="19"/>
              </w:rPr>
            </w:pPr>
          </w:p>
        </w:tc>
        <w:tc>
          <w:tcPr>
            <w:tcW w:w="1704" w:type="pct"/>
            <w:tcBorders>
              <w:top w:val="single" w:sz="4" w:space="0" w:color="auto"/>
            </w:tcBorders>
          </w:tcPr>
          <w:p w:rsidR="00443E5A" w:rsidRPr="00443E5A" w:rsidRDefault="00443E5A" w:rsidP="001D50B0">
            <w:pPr>
              <w:rPr>
                <w:rFonts w:cs="Arial"/>
                <w:sz w:val="19"/>
                <w:szCs w:val="19"/>
              </w:rPr>
            </w:pPr>
          </w:p>
        </w:tc>
      </w:tr>
      <w:tr w:rsidR="00443E5A" w:rsidRPr="00443E5A" w:rsidTr="001D50B0">
        <w:tc>
          <w:tcPr>
            <w:tcW w:w="1127" w:type="pct"/>
          </w:tcPr>
          <w:p w:rsidR="00443E5A" w:rsidRPr="00443E5A" w:rsidRDefault="00443E5A" w:rsidP="001D50B0">
            <w:pPr>
              <w:rPr>
                <w:rFonts w:cs="Arial"/>
                <w:sz w:val="19"/>
                <w:szCs w:val="19"/>
              </w:rPr>
            </w:pPr>
            <w:r w:rsidRPr="00443E5A">
              <w:rPr>
                <w:rFonts w:cs="Arial"/>
                <w:sz w:val="19"/>
                <w:szCs w:val="19"/>
              </w:rPr>
              <w:t>Naam:</w:t>
            </w:r>
          </w:p>
        </w:tc>
        <w:tc>
          <w:tcPr>
            <w:tcW w:w="1452" w:type="pct"/>
          </w:tcPr>
          <w:p w:rsidR="00443E5A" w:rsidRPr="00443E5A" w:rsidRDefault="00443E5A" w:rsidP="001D50B0">
            <w:pPr>
              <w:rPr>
                <w:rFonts w:cs="Arial"/>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c>
          <w:tcPr>
            <w:tcW w:w="717" w:type="pct"/>
          </w:tcPr>
          <w:p w:rsidR="00443E5A" w:rsidRPr="00443E5A" w:rsidRDefault="00443E5A" w:rsidP="001D50B0">
            <w:pPr>
              <w:rPr>
                <w:sz w:val="19"/>
                <w:szCs w:val="19"/>
              </w:rPr>
            </w:pPr>
            <w:r w:rsidRPr="00443E5A">
              <w:rPr>
                <w:sz w:val="19"/>
                <w:szCs w:val="19"/>
              </w:rPr>
              <w:t>Functie:</w:t>
            </w:r>
          </w:p>
        </w:tc>
        <w:tc>
          <w:tcPr>
            <w:tcW w:w="1704" w:type="pct"/>
          </w:tcPr>
          <w:p w:rsidR="00443E5A" w:rsidRPr="00443E5A" w:rsidRDefault="00443E5A" w:rsidP="001D50B0">
            <w:pPr>
              <w:rPr>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r>
      <w:tr w:rsidR="00443E5A" w:rsidRPr="00443E5A" w:rsidTr="001D50B0">
        <w:tc>
          <w:tcPr>
            <w:tcW w:w="1127" w:type="pct"/>
          </w:tcPr>
          <w:p w:rsidR="00443E5A" w:rsidRPr="00443E5A" w:rsidRDefault="00443E5A" w:rsidP="001D50B0">
            <w:pPr>
              <w:rPr>
                <w:rFonts w:cs="Arial"/>
                <w:sz w:val="19"/>
                <w:szCs w:val="19"/>
              </w:rPr>
            </w:pPr>
          </w:p>
          <w:p w:rsidR="00443E5A" w:rsidRPr="00443E5A" w:rsidRDefault="00443E5A" w:rsidP="001D50B0">
            <w:pPr>
              <w:rPr>
                <w:rFonts w:cs="Arial"/>
                <w:sz w:val="19"/>
                <w:szCs w:val="19"/>
              </w:rPr>
            </w:pPr>
          </w:p>
          <w:p w:rsidR="00443E5A" w:rsidRPr="00443E5A" w:rsidRDefault="00443E5A" w:rsidP="001D50B0">
            <w:pPr>
              <w:rPr>
                <w:rFonts w:cs="Arial"/>
                <w:sz w:val="19"/>
                <w:szCs w:val="19"/>
              </w:rPr>
            </w:pPr>
            <w:r w:rsidRPr="00443E5A">
              <w:rPr>
                <w:rFonts w:cs="Arial"/>
                <w:sz w:val="19"/>
                <w:szCs w:val="19"/>
              </w:rPr>
              <w:t>Handtekening:</w:t>
            </w:r>
          </w:p>
        </w:tc>
        <w:tc>
          <w:tcPr>
            <w:tcW w:w="3873" w:type="pct"/>
            <w:gridSpan w:val="3"/>
            <w:tcBorders>
              <w:bottom w:val="single" w:sz="4" w:space="0" w:color="auto"/>
            </w:tcBorders>
          </w:tcPr>
          <w:p w:rsidR="00443E5A" w:rsidRPr="00443E5A" w:rsidRDefault="00443E5A" w:rsidP="001D50B0">
            <w:pPr>
              <w:rPr>
                <w:sz w:val="19"/>
                <w:szCs w:val="19"/>
              </w:rPr>
            </w:pPr>
          </w:p>
          <w:p w:rsidR="00443E5A" w:rsidRPr="00443E5A" w:rsidRDefault="00443E5A" w:rsidP="001D50B0">
            <w:pPr>
              <w:rPr>
                <w:sz w:val="19"/>
                <w:szCs w:val="19"/>
              </w:rPr>
            </w:pPr>
          </w:p>
          <w:p w:rsidR="00443E5A" w:rsidRPr="00443E5A" w:rsidRDefault="00443E5A" w:rsidP="001D50B0">
            <w:pPr>
              <w:rPr>
                <w:sz w:val="19"/>
                <w:szCs w:val="19"/>
              </w:rPr>
            </w:pPr>
            <w:r w:rsidRPr="00443E5A">
              <w:rPr>
                <w:sz w:val="19"/>
                <w:szCs w:val="19"/>
              </w:rPr>
              <w:fldChar w:fldCharType="begin">
                <w:ffData>
                  <w:name w:val="Text2"/>
                  <w:enabled/>
                  <w:calcOnExit w:val="0"/>
                  <w:textInput/>
                </w:ffData>
              </w:fldChar>
            </w:r>
            <w:r w:rsidRPr="00443E5A">
              <w:rPr>
                <w:sz w:val="19"/>
                <w:szCs w:val="19"/>
              </w:rPr>
              <w:instrText xml:space="preserve"> FORMTEXT </w:instrText>
            </w:r>
            <w:r w:rsidRPr="00443E5A">
              <w:rPr>
                <w:sz w:val="19"/>
                <w:szCs w:val="19"/>
              </w:rPr>
            </w:r>
            <w:r w:rsidRPr="00443E5A">
              <w:rPr>
                <w:sz w:val="19"/>
                <w:szCs w:val="19"/>
              </w:rPr>
              <w:fldChar w:fldCharType="separate"/>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noProof/>
                <w:sz w:val="19"/>
                <w:szCs w:val="19"/>
              </w:rPr>
              <w:t> </w:t>
            </w:r>
            <w:r w:rsidRPr="00443E5A">
              <w:rPr>
                <w:sz w:val="19"/>
                <w:szCs w:val="19"/>
              </w:rPr>
              <w:fldChar w:fldCharType="end"/>
            </w:r>
          </w:p>
        </w:tc>
      </w:tr>
    </w:tbl>
    <w:p w:rsidR="00443E5A" w:rsidRPr="00443E5A" w:rsidRDefault="00443E5A" w:rsidP="00443E5A">
      <w:pPr>
        <w:suppressAutoHyphens/>
        <w:rPr>
          <w:sz w:val="19"/>
          <w:szCs w:val="19"/>
          <w:lang w:eastAsia="en-US"/>
        </w:rPr>
      </w:pPr>
    </w:p>
    <w:p w:rsidR="00443E5A" w:rsidRPr="00443E5A" w:rsidRDefault="00443E5A" w:rsidP="00443E5A">
      <w:pPr>
        <w:spacing w:line="240" w:lineRule="auto"/>
        <w:rPr>
          <w:sz w:val="19"/>
          <w:szCs w:val="19"/>
          <w:lang w:eastAsia="en-US"/>
        </w:rPr>
      </w:pPr>
    </w:p>
    <w:p w:rsidR="005C41EC" w:rsidRPr="00443E5A" w:rsidRDefault="005C41EC" w:rsidP="00443E5A">
      <w:bookmarkStart w:id="1" w:name="_GoBack"/>
      <w:bookmarkEnd w:id="1"/>
    </w:p>
    <w:sectPr w:rsidR="005C41EC" w:rsidRPr="00443E5A" w:rsidSect="009F780D">
      <w:headerReference w:type="even" r:id="rId9"/>
      <w:headerReference w:type="default" r:id="rId10"/>
      <w:footerReference w:type="default" r:id="rId11"/>
      <w:headerReference w:type="first" r:id="rId12"/>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8AC" w:rsidRDefault="00B268AC">
      <w:r>
        <w:separator/>
      </w:r>
    </w:p>
    <w:p w:rsidR="00B268AC" w:rsidRDefault="00B268AC"/>
    <w:p w:rsidR="00B268AC" w:rsidRDefault="00B268AC"/>
  </w:endnote>
  <w:endnote w:type="continuationSeparator" w:id="0">
    <w:p w:rsidR="00B268AC" w:rsidRDefault="00B268AC">
      <w:r>
        <w:continuationSeparator/>
      </w:r>
    </w:p>
    <w:p w:rsidR="00B268AC" w:rsidRDefault="00B268AC"/>
    <w:p w:rsidR="00B268AC" w:rsidRDefault="00B26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Pr="00AB37D4" w:rsidRDefault="00E43F76" w:rsidP="00CB7A4F">
    <w:pPr>
      <w:tabs>
        <w:tab w:val="right" w:pos="9071"/>
      </w:tabs>
      <w:spacing w:after="0"/>
      <w:jc w:val="right"/>
      <w:rPr>
        <w:rFonts w:cs="Arial"/>
        <w:sz w:val="16"/>
        <w:szCs w:val="16"/>
      </w:rPr>
    </w:pPr>
    <w:r w:rsidRPr="00AB37D4">
      <w:rPr>
        <w:rFonts w:cs="Arial"/>
        <w:sz w:val="16"/>
        <w:szCs w:val="16"/>
      </w:rPr>
      <w:t>Hoogheemraadschap van Delfland</w:t>
    </w:r>
    <w:r w:rsidRPr="00AB37D4">
      <w:rPr>
        <w:rFonts w:cs="Arial"/>
        <w:sz w:val="16"/>
        <w:szCs w:val="16"/>
      </w:rPr>
      <w:tab/>
      <w:t xml:space="preserve">pagina </w:t>
    </w:r>
    <w:r w:rsidR="00246D21" w:rsidRPr="00AB37D4">
      <w:rPr>
        <w:rFonts w:cs="Arial"/>
        <w:sz w:val="16"/>
        <w:szCs w:val="16"/>
      </w:rPr>
      <w:fldChar w:fldCharType="begin"/>
    </w:r>
    <w:r w:rsidRPr="00AB37D4">
      <w:rPr>
        <w:rFonts w:cs="Arial"/>
        <w:sz w:val="16"/>
        <w:szCs w:val="16"/>
      </w:rPr>
      <w:instrText xml:space="preserve"> PAGE </w:instrText>
    </w:r>
    <w:r w:rsidR="00246D21" w:rsidRPr="00AB37D4">
      <w:rPr>
        <w:rFonts w:cs="Arial"/>
        <w:sz w:val="16"/>
        <w:szCs w:val="16"/>
      </w:rPr>
      <w:fldChar w:fldCharType="separate"/>
    </w:r>
    <w:r w:rsidR="0018711C">
      <w:rPr>
        <w:rFonts w:cs="Arial"/>
        <w:noProof/>
        <w:sz w:val="16"/>
        <w:szCs w:val="16"/>
      </w:rPr>
      <w:t>1</w:t>
    </w:r>
    <w:r w:rsidR="00246D21" w:rsidRPr="00AB37D4">
      <w:rPr>
        <w:rFonts w:cs="Arial"/>
        <w:sz w:val="16"/>
        <w:szCs w:val="16"/>
      </w:rPr>
      <w:fldChar w:fldCharType="end"/>
    </w:r>
    <w:r w:rsidRPr="00AB37D4">
      <w:rPr>
        <w:rFonts w:cs="Arial"/>
        <w:sz w:val="16"/>
        <w:szCs w:val="16"/>
      </w:rPr>
      <w:t xml:space="preserve"> van </w:t>
    </w:r>
    <w:r w:rsidR="00246D21" w:rsidRPr="00AB37D4">
      <w:rPr>
        <w:rFonts w:cs="Arial"/>
        <w:sz w:val="16"/>
        <w:szCs w:val="16"/>
      </w:rPr>
      <w:fldChar w:fldCharType="begin"/>
    </w:r>
    <w:r w:rsidRPr="00AB37D4">
      <w:rPr>
        <w:rFonts w:cs="Arial"/>
        <w:sz w:val="16"/>
        <w:szCs w:val="16"/>
      </w:rPr>
      <w:instrText xml:space="preserve"> NUMPAGES </w:instrText>
    </w:r>
    <w:r w:rsidR="00246D21" w:rsidRPr="00AB37D4">
      <w:rPr>
        <w:rFonts w:cs="Arial"/>
        <w:sz w:val="16"/>
        <w:szCs w:val="16"/>
      </w:rPr>
      <w:fldChar w:fldCharType="separate"/>
    </w:r>
    <w:r w:rsidR="0018711C">
      <w:rPr>
        <w:rFonts w:cs="Arial"/>
        <w:noProof/>
        <w:sz w:val="16"/>
        <w:szCs w:val="16"/>
      </w:rPr>
      <w:t>1</w:t>
    </w:r>
    <w:r w:rsidR="00246D21" w:rsidRPr="00AB37D4">
      <w:rPr>
        <w:rFonts w:cs="Arial"/>
        <w:sz w:val="16"/>
        <w:szCs w:val="16"/>
      </w:rPr>
      <w:fldChar w:fldCharType="end"/>
    </w:r>
  </w:p>
  <w:p w:rsidR="006D618D" w:rsidRPr="006D618D" w:rsidRDefault="006D618D" w:rsidP="006D618D">
    <w:pPr>
      <w:spacing w:after="0"/>
      <w:rPr>
        <w:rFonts w:cs="Arial"/>
        <w:sz w:val="16"/>
        <w:szCs w:val="16"/>
      </w:rPr>
    </w:pPr>
    <w:r>
      <w:rPr>
        <w:rFonts w:cs="Arial"/>
        <w:sz w:val="16"/>
        <w:szCs w:val="16"/>
      </w:rPr>
      <w:t xml:space="preserve">Aanbesteding </w:t>
    </w:r>
    <w:r w:rsidRPr="006D618D">
      <w:rPr>
        <w:rFonts w:cs="Arial"/>
        <w:sz w:val="16"/>
        <w:szCs w:val="16"/>
      </w:rPr>
      <w:t xml:space="preserve">RAW-Raamovereenkomst </w:t>
    </w:r>
  </w:p>
  <w:p w:rsidR="00E43F76" w:rsidRDefault="006D618D" w:rsidP="006D618D">
    <w:pPr>
      <w:spacing w:after="0"/>
      <w:rPr>
        <w:b/>
        <w:color w:val="00458D" w:themeColor="text2"/>
        <w:sz w:val="16"/>
        <w:szCs w:val="16"/>
      </w:rPr>
    </w:pPr>
    <w:r w:rsidRPr="006D618D">
      <w:rPr>
        <w:rFonts w:cs="Arial"/>
        <w:sz w:val="16"/>
        <w:szCs w:val="16"/>
      </w:rPr>
      <w:t>Kleine Waterbouwkundige Constructies 2020-2024</w:t>
    </w:r>
  </w:p>
  <w:p w:rsidR="00F02B1A" w:rsidRPr="00AB37D4" w:rsidRDefault="00F02B1A" w:rsidP="00A36E6A">
    <w:pPr>
      <w:spacing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8AC" w:rsidRDefault="00B268AC">
      <w:r>
        <w:separator/>
      </w:r>
    </w:p>
    <w:p w:rsidR="00B268AC" w:rsidRDefault="00B268AC"/>
    <w:p w:rsidR="00B268AC" w:rsidRDefault="00B268AC"/>
  </w:footnote>
  <w:footnote w:type="continuationSeparator" w:id="0">
    <w:p w:rsidR="00B268AC" w:rsidRDefault="00B268AC">
      <w:r>
        <w:continuationSeparator/>
      </w:r>
    </w:p>
    <w:p w:rsidR="00B268AC" w:rsidRDefault="00B268AC"/>
    <w:p w:rsidR="00B268AC" w:rsidRDefault="00B26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p w:rsidR="00E43F76" w:rsidRDefault="00E43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rsidP="00D0784F">
    <w:pPr>
      <w:jc w:val="right"/>
    </w:pPr>
    <w:r w:rsidRPr="00AE2FE2">
      <w:rPr>
        <w:noProof/>
      </w:rPr>
      <w:drawing>
        <wp:inline distT="0" distB="0" distL="0" distR="0">
          <wp:extent cx="1159200" cy="1159200"/>
          <wp:effectExtent l="0" t="0" r="0" b="0"/>
          <wp:docPr id="1" name="Afbeelding 1"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r>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51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7"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9"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0"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1"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7"/>
  </w:num>
  <w:num w:numId="4">
    <w:abstractNumId w:val="1"/>
  </w:num>
  <w:num w:numId="5">
    <w:abstractNumId w:val="8"/>
  </w:num>
  <w:num w:numId="6">
    <w:abstractNumId w:val="17"/>
  </w:num>
  <w:num w:numId="7">
    <w:abstractNumId w:val="0"/>
  </w:num>
  <w:num w:numId="8">
    <w:abstractNumId w:val="25"/>
  </w:num>
  <w:num w:numId="9">
    <w:abstractNumId w:val="12"/>
  </w:num>
  <w:num w:numId="10">
    <w:abstractNumId w:val="9"/>
  </w:num>
  <w:num w:numId="11">
    <w:abstractNumId w:val="42"/>
  </w:num>
  <w:num w:numId="12">
    <w:abstractNumId w:val="30"/>
  </w:num>
  <w:num w:numId="13">
    <w:abstractNumId w:val="27"/>
  </w:num>
  <w:num w:numId="14">
    <w:abstractNumId w:val="5"/>
  </w:num>
  <w:num w:numId="15">
    <w:abstractNumId w:val="29"/>
  </w:num>
  <w:num w:numId="16">
    <w:abstractNumId w:val="15"/>
  </w:num>
  <w:num w:numId="17">
    <w:abstractNumId w:val="38"/>
  </w:num>
  <w:num w:numId="18">
    <w:abstractNumId w:val="18"/>
  </w:num>
  <w:num w:numId="19">
    <w:abstractNumId w:val="21"/>
  </w:num>
  <w:num w:numId="20">
    <w:abstractNumId w:val="39"/>
  </w:num>
  <w:num w:numId="21">
    <w:abstractNumId w:val="26"/>
  </w:num>
  <w:num w:numId="22">
    <w:abstractNumId w:val="16"/>
  </w:num>
  <w:num w:numId="23">
    <w:abstractNumId w:val="40"/>
  </w:num>
  <w:num w:numId="24">
    <w:abstractNumId w:val="34"/>
  </w:num>
  <w:num w:numId="25">
    <w:abstractNumId w:val="13"/>
  </w:num>
  <w:num w:numId="26">
    <w:abstractNumId w:val="6"/>
  </w:num>
  <w:num w:numId="27">
    <w:abstractNumId w:val="19"/>
  </w:num>
  <w:num w:numId="28">
    <w:abstractNumId w:val="2"/>
  </w:num>
  <w:num w:numId="29">
    <w:abstractNumId w:val="28"/>
  </w:num>
  <w:num w:numId="30">
    <w:abstractNumId w:val="33"/>
  </w:num>
  <w:num w:numId="31">
    <w:abstractNumId w:val="10"/>
  </w:num>
  <w:num w:numId="32">
    <w:abstractNumId w:val="31"/>
  </w:num>
  <w:num w:numId="33">
    <w:abstractNumId w:val="36"/>
  </w:num>
  <w:num w:numId="34">
    <w:abstractNumId w:val="3"/>
  </w:num>
  <w:num w:numId="35">
    <w:abstractNumId w:val="37"/>
  </w:num>
  <w:num w:numId="36">
    <w:abstractNumId w:val="24"/>
  </w:num>
  <w:num w:numId="37">
    <w:abstractNumId w:val="35"/>
  </w:num>
  <w:num w:numId="38">
    <w:abstractNumId w:val="20"/>
  </w:num>
  <w:num w:numId="39">
    <w:abstractNumId w:val="32"/>
  </w:num>
  <w:num w:numId="40">
    <w:abstractNumId w:val="14"/>
  </w:num>
  <w:num w:numId="41">
    <w:abstractNumId w:val="41"/>
  </w:num>
  <w:num w:numId="42">
    <w:abstractNumId w:val="9"/>
  </w:num>
  <w:num w:numId="43">
    <w:abstractNumId w:val="9"/>
  </w:num>
  <w:num w:numId="44">
    <w:abstractNumId w:val="11"/>
  </w:num>
  <w:num w:numId="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03D2"/>
    <w:rsid w:val="0006245E"/>
    <w:rsid w:val="00064E59"/>
    <w:rsid w:val="0006569A"/>
    <w:rsid w:val="000658B5"/>
    <w:rsid w:val="00065D9A"/>
    <w:rsid w:val="00066B4D"/>
    <w:rsid w:val="00073CE0"/>
    <w:rsid w:val="000758D3"/>
    <w:rsid w:val="0007661F"/>
    <w:rsid w:val="00076793"/>
    <w:rsid w:val="00076EAF"/>
    <w:rsid w:val="000812CA"/>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E2104"/>
    <w:rsid w:val="000E29ED"/>
    <w:rsid w:val="000E5B3A"/>
    <w:rsid w:val="000E6B9E"/>
    <w:rsid w:val="000E7482"/>
    <w:rsid w:val="000F0CAD"/>
    <w:rsid w:val="000F17E6"/>
    <w:rsid w:val="000F3A03"/>
    <w:rsid w:val="000F408C"/>
    <w:rsid w:val="001018CC"/>
    <w:rsid w:val="00106F23"/>
    <w:rsid w:val="0011071A"/>
    <w:rsid w:val="00110AAF"/>
    <w:rsid w:val="00110EA5"/>
    <w:rsid w:val="001124CD"/>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DF"/>
    <w:rsid w:val="0018711C"/>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D21"/>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3DAC"/>
    <w:rsid w:val="00286D73"/>
    <w:rsid w:val="00294539"/>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4BDC"/>
    <w:rsid w:val="002F645D"/>
    <w:rsid w:val="002F7B75"/>
    <w:rsid w:val="0030015D"/>
    <w:rsid w:val="00301589"/>
    <w:rsid w:val="0030422F"/>
    <w:rsid w:val="00304DF5"/>
    <w:rsid w:val="00305770"/>
    <w:rsid w:val="00305BB6"/>
    <w:rsid w:val="00306C8A"/>
    <w:rsid w:val="003102F4"/>
    <w:rsid w:val="00312397"/>
    <w:rsid w:val="0032000B"/>
    <w:rsid w:val="0032080E"/>
    <w:rsid w:val="0032156F"/>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533C"/>
    <w:rsid w:val="003B7EF0"/>
    <w:rsid w:val="003C1FC7"/>
    <w:rsid w:val="003C2020"/>
    <w:rsid w:val="003C209A"/>
    <w:rsid w:val="003C224F"/>
    <w:rsid w:val="003C3458"/>
    <w:rsid w:val="003C6A7F"/>
    <w:rsid w:val="003C76FE"/>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3E5A"/>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479C"/>
    <w:rsid w:val="00490DA2"/>
    <w:rsid w:val="004918BB"/>
    <w:rsid w:val="00493A8D"/>
    <w:rsid w:val="004940C0"/>
    <w:rsid w:val="0049515E"/>
    <w:rsid w:val="00495D7B"/>
    <w:rsid w:val="00497186"/>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4F7A32"/>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38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491"/>
    <w:rsid w:val="0059492C"/>
    <w:rsid w:val="00596D0C"/>
    <w:rsid w:val="005B6832"/>
    <w:rsid w:val="005C33D5"/>
    <w:rsid w:val="005C387C"/>
    <w:rsid w:val="005C41EC"/>
    <w:rsid w:val="005C4311"/>
    <w:rsid w:val="005D34E9"/>
    <w:rsid w:val="005D3B6B"/>
    <w:rsid w:val="005D52D7"/>
    <w:rsid w:val="005D7891"/>
    <w:rsid w:val="005D7F60"/>
    <w:rsid w:val="005E09B5"/>
    <w:rsid w:val="005E12FF"/>
    <w:rsid w:val="005E3DA1"/>
    <w:rsid w:val="005E631D"/>
    <w:rsid w:val="005E6BDC"/>
    <w:rsid w:val="005F0218"/>
    <w:rsid w:val="005F24E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67F"/>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74CF"/>
    <w:rsid w:val="006A751D"/>
    <w:rsid w:val="006B0666"/>
    <w:rsid w:val="006B6375"/>
    <w:rsid w:val="006C2C78"/>
    <w:rsid w:val="006C4F3E"/>
    <w:rsid w:val="006C58C6"/>
    <w:rsid w:val="006D222F"/>
    <w:rsid w:val="006D3957"/>
    <w:rsid w:val="006D5CED"/>
    <w:rsid w:val="006D618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46ABE"/>
    <w:rsid w:val="00747BEA"/>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2BB2"/>
    <w:rsid w:val="00804558"/>
    <w:rsid w:val="008076A7"/>
    <w:rsid w:val="008109D0"/>
    <w:rsid w:val="00811108"/>
    <w:rsid w:val="00814C60"/>
    <w:rsid w:val="00820048"/>
    <w:rsid w:val="00820FB7"/>
    <w:rsid w:val="00822EAD"/>
    <w:rsid w:val="00826320"/>
    <w:rsid w:val="00826B6C"/>
    <w:rsid w:val="00831FD5"/>
    <w:rsid w:val="00833A2B"/>
    <w:rsid w:val="00835345"/>
    <w:rsid w:val="00841BB4"/>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128B"/>
    <w:rsid w:val="008B2CF3"/>
    <w:rsid w:val="008B4D93"/>
    <w:rsid w:val="008B646D"/>
    <w:rsid w:val="008B64D4"/>
    <w:rsid w:val="008C0677"/>
    <w:rsid w:val="008C2126"/>
    <w:rsid w:val="008C4159"/>
    <w:rsid w:val="008C5FF0"/>
    <w:rsid w:val="008C7D91"/>
    <w:rsid w:val="008D2A06"/>
    <w:rsid w:val="008D5D7B"/>
    <w:rsid w:val="008D6259"/>
    <w:rsid w:val="008D7972"/>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4AE8"/>
    <w:rsid w:val="00A36E6A"/>
    <w:rsid w:val="00A408E8"/>
    <w:rsid w:val="00A4359F"/>
    <w:rsid w:val="00A4580C"/>
    <w:rsid w:val="00A45882"/>
    <w:rsid w:val="00A45981"/>
    <w:rsid w:val="00A46406"/>
    <w:rsid w:val="00A47F6B"/>
    <w:rsid w:val="00A520A9"/>
    <w:rsid w:val="00A52965"/>
    <w:rsid w:val="00A557D9"/>
    <w:rsid w:val="00A56AA0"/>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5BFA"/>
    <w:rsid w:val="00A96EDD"/>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A2A"/>
    <w:rsid w:val="00B2411E"/>
    <w:rsid w:val="00B24D24"/>
    <w:rsid w:val="00B259DD"/>
    <w:rsid w:val="00B2642C"/>
    <w:rsid w:val="00B268AC"/>
    <w:rsid w:val="00B26FB3"/>
    <w:rsid w:val="00B32AEA"/>
    <w:rsid w:val="00B330F8"/>
    <w:rsid w:val="00B3755C"/>
    <w:rsid w:val="00B410C2"/>
    <w:rsid w:val="00B420F1"/>
    <w:rsid w:val="00B46115"/>
    <w:rsid w:val="00B465C5"/>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518"/>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B3F7C"/>
    <w:rsid w:val="00CB5974"/>
    <w:rsid w:val="00CB60C7"/>
    <w:rsid w:val="00CB7A4F"/>
    <w:rsid w:val="00CB7F07"/>
    <w:rsid w:val="00CC3336"/>
    <w:rsid w:val="00CC58EA"/>
    <w:rsid w:val="00CC7B05"/>
    <w:rsid w:val="00CD1545"/>
    <w:rsid w:val="00CD1A10"/>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F3727"/>
    <w:rsid w:val="00EF3BBD"/>
    <w:rsid w:val="00EF44D7"/>
    <w:rsid w:val="00EF5D9B"/>
    <w:rsid w:val="00EF7C81"/>
    <w:rsid w:val="00F00D4B"/>
    <w:rsid w:val="00F0210E"/>
    <w:rsid w:val="00F02B1A"/>
    <w:rsid w:val="00F03213"/>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5FD"/>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AA4F10"/>
  <w15:docId w15:val="{45D5EAC2-B392-438B-AD67-5F2AEE73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sid w:val="00B50AAD"/>
    <w:rPr>
      <w:position w:val="6"/>
      <w:sz w:val="16"/>
    </w:rPr>
  </w:style>
  <w:style w:type="paragraph" w:styleId="Voetnoottekst">
    <w:name w:val="footnote text"/>
    <w:basedOn w:val="Standaard"/>
    <w:link w:val="VoetnoottekstChar"/>
    <w:uiPriority w:val="99"/>
    <w:semiHidden/>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5FE674-ED98-4D30-B181-00DA386A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13</TotalTime>
  <Pages>1</Pages>
  <Words>108</Words>
  <Characters>819</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NIC B.V.</Company>
  <LinksUpToDate>false</LinksUpToDate>
  <CharactersWithSpaces>926</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Rifai, Dobby</cp:lastModifiedBy>
  <cp:revision>10</cp:revision>
  <cp:lastPrinted>2013-11-08T11:03:00Z</cp:lastPrinted>
  <dcterms:created xsi:type="dcterms:W3CDTF">2017-04-19T08:09:00Z</dcterms:created>
  <dcterms:modified xsi:type="dcterms:W3CDTF">2020-08-26T12:19:00Z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y fmtid="{D5CDD505-2E9C-101B-9397-08002B2CF9AE}" pid="8" name="_AdHocReviewCycleID">
    <vt:i4>-2124271430</vt:i4>
  </property>
  <property fmtid="{D5CDD505-2E9C-101B-9397-08002B2CF9AE}" pid="9" name="_EmailSubject">
    <vt:lpwstr>Review RAW - ROK </vt:lpwstr>
  </property>
  <property fmtid="{D5CDD505-2E9C-101B-9397-08002B2CF9AE}" pid="10" name="_AuthorEmail">
    <vt:lpwstr>tduinkerken@hhdelfland.nl</vt:lpwstr>
  </property>
  <property fmtid="{D5CDD505-2E9C-101B-9397-08002B2CF9AE}" pid="11" name="_AuthorEmailDisplayName">
    <vt:lpwstr>Duinkerken, Tina</vt:lpwstr>
  </property>
  <property fmtid="{D5CDD505-2E9C-101B-9397-08002B2CF9AE}" pid="12" name="_PreviousAdHocReviewCycleID">
    <vt:i4>467375782</vt:i4>
  </property>
  <property fmtid="{D5CDD505-2E9C-101B-9397-08002B2CF9AE}" pid="13" name="_ReviewingToolsShownOnce">
    <vt:lpwstr/>
  </property>
</Properties>
</file>