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6D" w:rsidRDefault="00DF4F54">
      <w:r>
        <w:t>Bijlage 1 Algemene eisen</w:t>
      </w:r>
    </w:p>
    <w:p w:rsidR="00DF4F54" w:rsidRDefault="00DF4F54"/>
    <w:p w:rsidR="00DF4F54" w:rsidRPr="00F55C37" w:rsidRDefault="00DF4F54" w:rsidP="00DF4F54">
      <w:pPr>
        <w:rPr>
          <w:b/>
          <w:bCs/>
          <w:color w:val="FF0000"/>
        </w:rPr>
      </w:pPr>
      <w:r>
        <w:rPr>
          <w:b/>
          <w:bCs/>
        </w:rPr>
        <w:t>Overzicht van eisen</w:t>
      </w:r>
      <w:r w:rsidRPr="00F55C37">
        <w:rPr>
          <w:b/>
          <w:bCs/>
        </w:rPr>
        <w:t>:</w:t>
      </w:r>
    </w:p>
    <w:p w:rsidR="00DF4F54" w:rsidRDefault="00DF4F54" w:rsidP="00DF4F54">
      <w:pPr>
        <w:pStyle w:val="Lijstalinea"/>
        <w:numPr>
          <w:ilvl w:val="0"/>
          <w:numId w:val="1"/>
        </w:numPr>
      </w:pPr>
      <w:r>
        <w:t xml:space="preserve">Moet </w:t>
      </w:r>
      <w:r w:rsidR="000855AF">
        <w:t>een geïntegreerde</w:t>
      </w:r>
      <w:bookmarkStart w:id="0" w:name="_GoBack"/>
      <w:bookmarkEnd w:id="0"/>
      <w:r w:rsidR="000855AF">
        <w:t xml:space="preserve"> bestelmodule hebben en die moet </w:t>
      </w:r>
      <w:r>
        <w:t>te koppelen zijn met het huidige bestelsysteem (</w:t>
      </w:r>
      <w:r>
        <w:rPr>
          <w:i/>
        </w:rPr>
        <w:t>S4Hana</w:t>
      </w:r>
      <w:r>
        <w:t>)</w:t>
      </w:r>
      <w:r>
        <w:br/>
      </w:r>
      <w:r w:rsidRPr="00F40F6E">
        <w:rPr>
          <w:i/>
          <w:sz w:val="18"/>
          <w:szCs w:val="22"/>
        </w:rPr>
        <w:t>Om te garanderen dat iedere gekochte stof daadwerkelijk (en volledig automatisch) geregistreerd wordt dient de databasesoftware een kop</w:t>
      </w:r>
      <w:r>
        <w:rPr>
          <w:i/>
          <w:sz w:val="18"/>
          <w:szCs w:val="22"/>
        </w:rPr>
        <w:t>peling te hebben met het</w:t>
      </w:r>
      <w:r w:rsidRPr="00F40F6E">
        <w:rPr>
          <w:i/>
          <w:sz w:val="18"/>
          <w:szCs w:val="22"/>
        </w:rPr>
        <w:t xml:space="preserve"> bestelsysteem.</w:t>
      </w:r>
      <w:r>
        <w:br/>
      </w:r>
    </w:p>
    <w:p w:rsidR="00DF4F54" w:rsidRDefault="00DF4F54" w:rsidP="00DF4F54">
      <w:pPr>
        <w:pStyle w:val="Lijstalinea"/>
        <w:numPr>
          <w:ilvl w:val="0"/>
          <w:numId w:val="1"/>
        </w:numPr>
      </w:pPr>
      <w:r>
        <w:t>Goedkeuringsflow van bestellingen</w:t>
      </w:r>
      <w:r>
        <w:br/>
      </w:r>
      <w:proofErr w:type="spellStart"/>
      <w:r w:rsidRPr="00F40F6E">
        <w:rPr>
          <w:i/>
          <w:sz w:val="18"/>
          <w:szCs w:val="22"/>
        </w:rPr>
        <w:t>Bestellingen</w:t>
      </w:r>
      <w:proofErr w:type="spellEnd"/>
      <w:r w:rsidRPr="00F40F6E">
        <w:rPr>
          <w:i/>
          <w:sz w:val="18"/>
          <w:szCs w:val="22"/>
        </w:rPr>
        <w:t xml:space="preserve"> van risicovolle stoffen (CMR, radioactief, e.d.) dienen eerst te worden goedgekeurd door de betreffende stoffen expert / veiligheidscoördinator.</w:t>
      </w:r>
      <w:r>
        <w:br/>
      </w:r>
    </w:p>
    <w:p w:rsidR="00DF4F54" w:rsidRDefault="00DF4F54" w:rsidP="00DF4F54">
      <w:pPr>
        <w:pStyle w:val="Lijstalinea"/>
        <w:numPr>
          <w:ilvl w:val="0"/>
          <w:numId w:val="1"/>
        </w:numPr>
      </w:pPr>
      <w:r>
        <w:t xml:space="preserve">Integratie met S4HANA </w:t>
      </w:r>
      <w:r>
        <w:br/>
      </w:r>
      <w:r w:rsidRPr="00F40F6E">
        <w:rPr>
          <w:i/>
          <w:sz w:val="18"/>
          <w:szCs w:val="22"/>
        </w:rPr>
        <w:t>Iedere gebruiker dient een eigen account te hebben dat gekoppeld is aan SAP, zodat blootstelling berekend kan worden. Om te voldoen aan de AVG dienen persoonlijke gegevens te worden gemaskeerd (door bijv. enkel het personeelsnummer weer te geven) op moment van uitdiensttreding.</w:t>
      </w:r>
      <w:r w:rsidRPr="00F40F6E">
        <w:rPr>
          <w:sz w:val="18"/>
          <w:szCs w:val="22"/>
        </w:rPr>
        <w:t xml:space="preserve"> Idealiter kunnen gebruikers inloggen volgens </w:t>
      </w:r>
      <w:proofErr w:type="spellStart"/>
      <w:r w:rsidRPr="00F40F6E">
        <w:rPr>
          <w:sz w:val="18"/>
          <w:szCs w:val="22"/>
        </w:rPr>
        <w:t>z.g.n</w:t>
      </w:r>
      <w:proofErr w:type="spellEnd"/>
      <w:r w:rsidRPr="00F40F6E">
        <w:rPr>
          <w:sz w:val="18"/>
          <w:szCs w:val="22"/>
        </w:rPr>
        <w:t xml:space="preserve">. Single </w:t>
      </w:r>
      <w:proofErr w:type="spellStart"/>
      <w:r w:rsidRPr="00F40F6E">
        <w:rPr>
          <w:sz w:val="18"/>
          <w:szCs w:val="22"/>
        </w:rPr>
        <w:t>Sign</w:t>
      </w:r>
      <w:proofErr w:type="spellEnd"/>
      <w:r w:rsidRPr="00F40F6E">
        <w:rPr>
          <w:sz w:val="18"/>
          <w:szCs w:val="22"/>
        </w:rPr>
        <w:t xml:space="preserve"> on (SSO) met behulp van hun </w:t>
      </w:r>
      <w:proofErr w:type="spellStart"/>
      <w:r w:rsidRPr="00F40F6E">
        <w:rPr>
          <w:sz w:val="18"/>
          <w:szCs w:val="22"/>
        </w:rPr>
        <w:t>VUnet</w:t>
      </w:r>
      <w:proofErr w:type="spellEnd"/>
      <w:r w:rsidRPr="00F40F6E">
        <w:rPr>
          <w:sz w:val="18"/>
          <w:szCs w:val="22"/>
        </w:rPr>
        <w:t xml:space="preserve"> ID (i.c.m. </w:t>
      </w:r>
      <w:proofErr w:type="spellStart"/>
      <w:r>
        <w:rPr>
          <w:sz w:val="18"/>
          <w:szCs w:val="22"/>
        </w:rPr>
        <w:t>t</w:t>
      </w:r>
      <w:r w:rsidRPr="00F40F6E">
        <w:rPr>
          <w:sz w:val="18"/>
          <w:szCs w:val="22"/>
        </w:rPr>
        <w:t>iqr</w:t>
      </w:r>
      <w:proofErr w:type="spellEnd"/>
      <w:r w:rsidRPr="00F40F6E">
        <w:rPr>
          <w:sz w:val="18"/>
          <w:szCs w:val="22"/>
        </w:rPr>
        <w:t>).</w:t>
      </w:r>
      <w:r>
        <w:br/>
      </w:r>
    </w:p>
    <w:p w:rsidR="00DF4F54" w:rsidRDefault="00DF4F54" w:rsidP="00DF4F54">
      <w:pPr>
        <w:pStyle w:val="Lijstalinea"/>
        <w:numPr>
          <w:ilvl w:val="0"/>
          <w:numId w:val="1"/>
        </w:numPr>
      </w:pPr>
      <w:r>
        <w:t>Gebruikersrollen:</w:t>
      </w:r>
      <w:r>
        <w:br/>
      </w:r>
      <w:r w:rsidRPr="00F40F6E">
        <w:rPr>
          <w:i/>
          <w:sz w:val="18"/>
          <w:szCs w:val="22"/>
        </w:rPr>
        <w:t>Onderscheid in budgethouder, laborant, student, e.d.</w:t>
      </w:r>
      <w:r w:rsidRPr="00110666">
        <w:rPr>
          <w:i/>
        </w:rPr>
        <w:br/>
      </w:r>
    </w:p>
    <w:p w:rsidR="00DF4F54" w:rsidRDefault="00DF4F54" w:rsidP="00DF4F54">
      <w:pPr>
        <w:pStyle w:val="Lijstalinea"/>
        <w:numPr>
          <w:ilvl w:val="0"/>
          <w:numId w:val="1"/>
        </w:numPr>
      </w:pPr>
      <w:r>
        <w:t>Beschikbaarheid van informatie voor autoriteiten (BHV, brandweer, EHBO, etc.)</w:t>
      </w:r>
      <w:r>
        <w:br/>
      </w:r>
    </w:p>
    <w:p w:rsidR="00DF4F54" w:rsidRDefault="00DF4F54" w:rsidP="00DF4F54">
      <w:pPr>
        <w:pStyle w:val="Lijstalinea"/>
        <w:numPr>
          <w:ilvl w:val="0"/>
          <w:numId w:val="1"/>
        </w:numPr>
      </w:pPr>
      <w:r>
        <w:t>Export en automatische back-up van data</w:t>
      </w:r>
      <w:r>
        <w:br/>
      </w:r>
    </w:p>
    <w:p w:rsidR="00DF4F54" w:rsidRDefault="00DF4F54" w:rsidP="00DF4F54">
      <w:pPr>
        <w:pStyle w:val="Lijstalinea"/>
        <w:numPr>
          <w:ilvl w:val="0"/>
          <w:numId w:val="1"/>
        </w:numPr>
        <w:rPr>
          <w:i/>
        </w:rPr>
      </w:pPr>
      <w:r>
        <w:t>Volgen van chemicaliën met barcodes:</w:t>
      </w:r>
      <w:r>
        <w:br/>
      </w:r>
      <w:r w:rsidRPr="00F40F6E">
        <w:rPr>
          <w:i/>
          <w:sz w:val="18"/>
          <w:szCs w:val="22"/>
        </w:rPr>
        <w:t>Vanaf het moment dat chemicaliën (bestellingen) binnenkomen, dienen deze te kunnen worden gevolgd met behulp van barcodes en handscanners. Vervolgens dient de ontvanger (op afdeling) de stof op z’n plek te zetten en te bevestigen door de stof(</w:t>
      </w:r>
      <w:proofErr w:type="spellStart"/>
      <w:r w:rsidRPr="00F40F6E">
        <w:rPr>
          <w:i/>
          <w:sz w:val="18"/>
          <w:szCs w:val="22"/>
        </w:rPr>
        <w:t>fen</w:t>
      </w:r>
      <w:proofErr w:type="spellEnd"/>
      <w:r w:rsidRPr="00F40F6E">
        <w:rPr>
          <w:i/>
          <w:sz w:val="18"/>
          <w:szCs w:val="22"/>
        </w:rPr>
        <w:t>) nogmaals te scannen. Voor iedere pot dient een unieke barcode gegenereerd te zijn. Wanneer een verpakking leeg is, dient deze te worden “</w:t>
      </w:r>
      <w:proofErr w:type="spellStart"/>
      <w:r w:rsidRPr="00F40F6E">
        <w:rPr>
          <w:i/>
          <w:sz w:val="18"/>
          <w:szCs w:val="22"/>
        </w:rPr>
        <w:t>uitgescand</w:t>
      </w:r>
      <w:proofErr w:type="spellEnd"/>
      <w:r w:rsidRPr="00F40F6E">
        <w:rPr>
          <w:i/>
          <w:sz w:val="18"/>
          <w:szCs w:val="22"/>
        </w:rPr>
        <w:t>” met de handscanner.</w:t>
      </w:r>
      <w:r>
        <w:rPr>
          <w:i/>
        </w:rPr>
        <w:br/>
      </w:r>
    </w:p>
    <w:p w:rsidR="00DF4F54" w:rsidRPr="00E473E4" w:rsidRDefault="00DF4F54" w:rsidP="00DF4F54">
      <w:pPr>
        <w:pStyle w:val="Lijstalinea"/>
        <w:numPr>
          <w:ilvl w:val="0"/>
          <w:numId w:val="1"/>
        </w:numPr>
        <w:rPr>
          <w:i/>
        </w:rPr>
      </w:pPr>
      <w:r>
        <w:t>Zoekmogelijkheid op structuurformule (“(sub)</w:t>
      </w:r>
      <w:proofErr w:type="spellStart"/>
      <w:r>
        <w:t>structure</w:t>
      </w:r>
      <w:proofErr w:type="spellEnd"/>
      <w:r>
        <w:t xml:space="preserve"> search”):</w:t>
      </w:r>
      <w:r>
        <w:br/>
      </w:r>
      <w:r w:rsidRPr="00F40F6E">
        <w:rPr>
          <w:i/>
          <w:sz w:val="18"/>
          <w:szCs w:val="22"/>
        </w:rPr>
        <w:t xml:space="preserve">Voor de afdelingen Organische Chemie en </w:t>
      </w:r>
      <w:proofErr w:type="spellStart"/>
      <w:r w:rsidRPr="00F40F6E">
        <w:rPr>
          <w:i/>
          <w:sz w:val="18"/>
          <w:szCs w:val="22"/>
        </w:rPr>
        <w:t>MedChem</w:t>
      </w:r>
      <w:proofErr w:type="spellEnd"/>
      <w:r w:rsidRPr="00F40F6E">
        <w:rPr>
          <w:i/>
          <w:sz w:val="18"/>
          <w:szCs w:val="22"/>
        </w:rPr>
        <w:t xml:space="preserve"> is het van belang dat gezocht kan worden op (delen van) een chemische structuur.</w:t>
      </w:r>
      <w:r w:rsidRPr="00F40F6E">
        <w:rPr>
          <w:sz w:val="18"/>
          <w:szCs w:val="22"/>
        </w:rPr>
        <w:t xml:space="preserve"> </w:t>
      </w:r>
      <w:r>
        <w:br/>
      </w:r>
    </w:p>
    <w:p w:rsidR="00DF4F54" w:rsidRDefault="00DF4F54" w:rsidP="00DF4F54">
      <w:pPr>
        <w:pStyle w:val="Lijstalinea"/>
        <w:numPr>
          <w:ilvl w:val="0"/>
          <w:numId w:val="1"/>
        </w:numPr>
        <w:rPr>
          <w:i/>
        </w:rPr>
      </w:pPr>
      <w:r>
        <w:t>Onderscheid in radioactieve verbindingen:</w:t>
      </w:r>
      <w:r>
        <w:br/>
      </w:r>
      <w:r w:rsidRPr="00F40F6E">
        <w:rPr>
          <w:i/>
          <w:sz w:val="18"/>
          <w:szCs w:val="22"/>
        </w:rPr>
        <w:t>Omdat radioactieve verbindingen doorgaans hetzelfde CAS-nummer hebben als niet-radioactieve verbindingen dient er duidelijk onderscheid gemaakt te kunnen worden in de database. Ook moet de software een waarschuwing geven bij pogingen tot het bestellen van radioactieve verbindingen en moeten deze bestellingen eerst worden goedgekeurd door de betrokken veiligheidsexpert.</w:t>
      </w:r>
      <w:r>
        <w:rPr>
          <w:i/>
        </w:rPr>
        <w:br/>
      </w:r>
    </w:p>
    <w:p w:rsidR="00DF4F54" w:rsidRPr="005D07B5" w:rsidRDefault="00DF4F54" w:rsidP="00DF4F54">
      <w:pPr>
        <w:pStyle w:val="Lijstalinea"/>
        <w:numPr>
          <w:ilvl w:val="0"/>
          <w:numId w:val="1"/>
        </w:numPr>
        <w:rPr>
          <w:i/>
        </w:rPr>
      </w:pPr>
      <w:r w:rsidRPr="005D07B5">
        <w:t>Minimale te registreren eigenschappen:</w:t>
      </w:r>
      <w:r>
        <w:br/>
      </w:r>
      <w:r w:rsidRPr="00F40F6E">
        <w:rPr>
          <w:i/>
          <w:sz w:val="18"/>
          <w:szCs w:val="22"/>
        </w:rPr>
        <w:t>stofnaam, CAS-nummer, molecuulformule, molaire massa, dichtheid, leverancier, artikelnummer, MSDS</w:t>
      </w:r>
      <w:r>
        <w:rPr>
          <w:i/>
          <w:sz w:val="18"/>
          <w:szCs w:val="22"/>
        </w:rPr>
        <w:t>-veiligheidsinformatie</w:t>
      </w:r>
      <w:r w:rsidRPr="00F40F6E">
        <w:rPr>
          <w:i/>
          <w:sz w:val="18"/>
          <w:szCs w:val="22"/>
        </w:rPr>
        <w:t xml:space="preserve">, </w:t>
      </w:r>
      <w:r>
        <w:rPr>
          <w:i/>
          <w:sz w:val="18"/>
          <w:szCs w:val="22"/>
        </w:rPr>
        <w:t xml:space="preserve">persoonlijke beschermingsmaatregelen (PBM), </w:t>
      </w:r>
      <w:r w:rsidRPr="00F40F6E">
        <w:rPr>
          <w:i/>
          <w:sz w:val="18"/>
          <w:szCs w:val="22"/>
        </w:rPr>
        <w:t>verpakkingsgrootte, gevarensymbolen, categorie (opiaten, cat. I, precursors, CMR, radioactief, e.d.), datum van ontvangst, datum van opening, besteller, locatie (gebouw, onderzoeksgroep, lab, kast, plank), datum van verwijdering.</w:t>
      </w:r>
      <w:r>
        <w:br/>
      </w:r>
    </w:p>
    <w:p w:rsidR="00DF4F54" w:rsidRDefault="00DF4F54" w:rsidP="00DF4F54">
      <w:pPr>
        <w:pStyle w:val="Lijstalinea"/>
        <w:numPr>
          <w:ilvl w:val="0"/>
          <w:numId w:val="1"/>
        </w:numPr>
        <w:rPr>
          <w:i/>
        </w:rPr>
      </w:pPr>
      <w:r>
        <w:t xml:space="preserve">Registratie van </w:t>
      </w:r>
      <w:proofErr w:type="spellStart"/>
      <w:r>
        <w:t>bioagentia</w:t>
      </w:r>
      <w:proofErr w:type="spellEnd"/>
      <w:r>
        <w:t xml:space="preserve"> (o.a. vectoren):</w:t>
      </w:r>
      <w:r>
        <w:br/>
      </w:r>
      <w:r w:rsidRPr="00F40F6E">
        <w:rPr>
          <w:i/>
          <w:sz w:val="18"/>
          <w:szCs w:val="22"/>
        </w:rPr>
        <w:t xml:space="preserve">Ondersteuning voor het registreren van vectoren en bijbehorende vector </w:t>
      </w:r>
      <w:proofErr w:type="spellStart"/>
      <w:r w:rsidRPr="00F40F6E">
        <w:rPr>
          <w:i/>
          <w:sz w:val="18"/>
          <w:szCs w:val="22"/>
        </w:rPr>
        <w:t>maps</w:t>
      </w:r>
      <w:proofErr w:type="spellEnd"/>
      <w:r w:rsidRPr="00F40F6E">
        <w:rPr>
          <w:i/>
          <w:sz w:val="18"/>
          <w:szCs w:val="22"/>
        </w:rPr>
        <w:t>.</w:t>
      </w:r>
      <w:r>
        <w:rPr>
          <w:i/>
          <w:sz w:val="18"/>
          <w:szCs w:val="22"/>
        </w:rPr>
        <w:t xml:space="preserve"> En regelgeving omtrent het registreren van zowel commercieel verkregen als huisgemaakte </w:t>
      </w:r>
      <w:proofErr w:type="spellStart"/>
      <w:r>
        <w:rPr>
          <w:i/>
          <w:sz w:val="18"/>
          <w:szCs w:val="22"/>
        </w:rPr>
        <w:t>GGO’s</w:t>
      </w:r>
      <w:proofErr w:type="spellEnd"/>
      <w:r>
        <w:rPr>
          <w:i/>
          <w:sz w:val="18"/>
          <w:szCs w:val="22"/>
        </w:rPr>
        <w:t>.</w:t>
      </w:r>
      <w:r>
        <w:rPr>
          <w:i/>
        </w:rPr>
        <w:br/>
      </w:r>
    </w:p>
    <w:p w:rsidR="00DF4F54" w:rsidRPr="005D07B5" w:rsidRDefault="00DF4F54" w:rsidP="00DF4F54">
      <w:pPr>
        <w:pStyle w:val="Lijstalinea"/>
        <w:numPr>
          <w:ilvl w:val="0"/>
          <w:numId w:val="1"/>
        </w:numPr>
        <w:rPr>
          <w:i/>
        </w:rPr>
      </w:pPr>
      <w:r>
        <w:t>Registratie en certificering vervoer van chemicaliën over openbare weg met aanduiding van ADR en/of UN-nummers)</w:t>
      </w:r>
    </w:p>
    <w:p w:rsidR="00DF4F54" w:rsidRPr="00FF4197" w:rsidRDefault="00DF4F54" w:rsidP="00DF4F54">
      <w:pPr>
        <w:rPr>
          <w:i/>
        </w:rPr>
      </w:pPr>
      <w:r>
        <w:br w:type="page"/>
      </w:r>
    </w:p>
    <w:p w:rsidR="00DF4F54" w:rsidRDefault="00DF4F54"/>
    <w:sectPr w:rsidR="00DF4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B0982"/>
    <w:multiLevelType w:val="hybridMultilevel"/>
    <w:tmpl w:val="EF04087C"/>
    <w:lvl w:ilvl="0" w:tplc="D52233C0">
      <w:start w:val="20"/>
      <w:numFmt w:val="bullet"/>
      <w:lvlText w:val=""/>
      <w:lvlJc w:val="left"/>
      <w:pPr>
        <w:ind w:left="360" w:hanging="360"/>
      </w:pPr>
      <w:rPr>
        <w:rFonts w:ascii="Symbol" w:eastAsia="Times New Roman" w:hAnsi="Symbol"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54"/>
    <w:rsid w:val="000855AF"/>
    <w:rsid w:val="00A26D6D"/>
    <w:rsid w:val="00DF4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EB4D"/>
  <w15:chartTrackingRefBased/>
  <w15:docId w15:val="{5FE1669C-7429-4617-95CD-86EF4728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4F54"/>
    <w:pPr>
      <w:spacing w:after="0" w:line="240" w:lineRule="auto"/>
      <w:ind w:left="720"/>
      <w:contextualSpacing/>
    </w:pPr>
    <w:rPr>
      <w:rFonts w:asciiTheme="majorHAnsi" w:eastAsia="Times New Roman" w:hAnsiTheme="majorHAnsi" w:cstheme="majorHAnsi"/>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vu\rsl520</dc:creator>
  <cp:keywords/>
  <dc:description/>
  <cp:lastModifiedBy>vu\rsl520</cp:lastModifiedBy>
  <cp:revision>2</cp:revision>
  <dcterms:created xsi:type="dcterms:W3CDTF">2020-08-24T07:19:00Z</dcterms:created>
  <dcterms:modified xsi:type="dcterms:W3CDTF">2020-08-24T07:32:00Z</dcterms:modified>
</cp:coreProperties>
</file>