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4.xml" ContentType="application/vnd.openxmlformats-officedocument.wordprocessingml.header+xml"/>
  <Override PartName="/word/header15.xml" ContentType="application/vnd.openxmlformats-officedocument.wordprocessingml.header+xml"/>
  <Override PartName="/word/header14.xml" ContentType="application/vnd.openxmlformats-officedocument.wordprocessingml.header+xml"/>
  <Override PartName="/word/header13.xml" ContentType="application/vnd.openxmlformats-officedocument.wordprocessingml.header+xml"/>
  <Override PartName="/word/header12.xml" ContentType="application/vnd.openxmlformats-officedocument.wordprocessingml.header+xml"/>
  <Override PartName="/word/header11.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3.xml" ContentType="application/vnd.openxmlformats-officedocument.wordprocessingml.header+xml"/>
  <Override PartName="/word/header22.xml" ContentType="application/vnd.openxmlformats-officedocument.wordprocessingml.header+xml"/>
  <Override PartName="/word/header21.xml" ContentType="application/vnd.openxmlformats-officedocument.wordprocessingml.header+xml"/>
  <Override PartName="/word/header20.xml" ContentType="application/vnd.openxmlformats-officedocument.wordprocessingml.header+xml"/>
  <Override PartName="/word/header19.xml" ContentType="application/vnd.openxmlformats-officedocument.wordprocessingml.header+xml"/>
  <Override PartName="/word/header10.xml" ContentType="application/vnd.openxmlformats-officedocument.wordprocessingml.header+xml"/>
  <Override PartName="/word/header9.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5029CA" w:rsidRDefault="005029CA" w:rsidP="00225E8A">
      <w:pPr>
        <w:tabs>
          <w:tab w:val="left" w:pos="4416"/>
        </w:tabs>
        <w:rPr>
          <w:b/>
          <w:sz w:val="48"/>
        </w:rPr>
      </w:pPr>
      <w:r>
        <w:rPr>
          <w:b/>
          <w:sz w:val="48"/>
        </w:rPr>
        <w:t>ABAA DNR 2011</w:t>
      </w:r>
      <w:r w:rsidR="00225E8A">
        <w:rPr>
          <w:b/>
          <w:sz w:val="48"/>
        </w:rPr>
        <w:tab/>
      </w:r>
    </w:p>
    <w:p w:rsidR="005029CA" w:rsidRDefault="005029CA" w:rsidP="00D33E55">
      <w:pPr>
        <w:rPr>
          <w:b/>
          <w:sz w:val="48"/>
        </w:rPr>
      </w:pPr>
    </w:p>
    <w:p w:rsidR="006A5713" w:rsidRPr="005029CA" w:rsidRDefault="00B40049" w:rsidP="00D33E55">
      <w:pPr>
        <w:rPr>
          <w:sz w:val="48"/>
        </w:rPr>
      </w:pPr>
      <w:r w:rsidRPr="005029CA">
        <w:rPr>
          <w:sz w:val="44"/>
        </w:rPr>
        <w:t xml:space="preserve">Algemene Bepalingen van het </w:t>
      </w:r>
      <w:r w:rsidR="0080798F" w:rsidRPr="005029CA">
        <w:rPr>
          <w:sz w:val="44"/>
        </w:rPr>
        <w:t>Rijksvastgoedbedrijf</w:t>
      </w:r>
      <w:r w:rsidRPr="005029CA">
        <w:rPr>
          <w:sz w:val="44"/>
        </w:rPr>
        <w:t xml:space="preserve"> voor opdrachten aan Architecten en Adviseu</w:t>
      </w:r>
      <w:r w:rsidR="005029CA">
        <w:rPr>
          <w:sz w:val="44"/>
        </w:rPr>
        <w:t>rs</w:t>
      </w:r>
    </w:p>
    <w:p w:rsidR="006A5713" w:rsidRPr="005029CA" w:rsidRDefault="006A5713" w:rsidP="00D33E55">
      <w:pPr>
        <w:rPr>
          <w:b/>
          <w:sz w:val="48"/>
        </w:rPr>
      </w:pPr>
    </w:p>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6A5713" w:rsidRPr="005029CA" w:rsidRDefault="00E01AD8" w:rsidP="00D33E55">
      <w:pPr>
        <w:rPr>
          <w:sz w:val="44"/>
        </w:rPr>
      </w:pPr>
      <w:r w:rsidRPr="005029CA">
        <w:rPr>
          <w:sz w:val="44"/>
        </w:rPr>
        <w:t>Definitief</w:t>
      </w:r>
    </w:p>
    <w:p w:rsidR="006A5713" w:rsidRDefault="00B40049" w:rsidP="00D33E55">
      <w:r w:rsidRPr="005029CA">
        <w:rPr>
          <w:sz w:val="44"/>
        </w:rPr>
        <w:t>20</w:t>
      </w:r>
      <w:r w:rsidR="00B8610E">
        <w:rPr>
          <w:sz w:val="44"/>
        </w:rPr>
        <w:t>20</w:t>
      </w:r>
      <w:r w:rsidR="004475C4">
        <w:rPr>
          <w:sz w:val="44"/>
        </w:rPr>
        <w:t>-1</w:t>
      </w:r>
    </w:p>
    <w:p w:rsidR="006A5713" w:rsidRDefault="006A5713" w:rsidP="00D33E55"/>
    <w:p w:rsidR="006A5713" w:rsidRDefault="006A5713" w:rsidP="00D33E55"/>
    <w:p w:rsidR="00D33E55" w:rsidRDefault="00D33E55" w:rsidP="00D33E55">
      <w:pPr>
        <w:sectPr w:rsidR="00D33E55">
          <w:headerReference w:type="default" r:id="rId8"/>
          <w:footerReference w:type="default" r:id="rId9"/>
          <w:pgSz w:w="11906" w:h="16838"/>
          <w:pgMar w:top="1418" w:right="454" w:bottom="1418" w:left="3119" w:header="709" w:footer="709" w:gutter="0"/>
          <w:cols w:space="708"/>
          <w:docGrid w:linePitch="360"/>
        </w:sectPr>
      </w:pPr>
    </w:p>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6A5713" w:rsidRDefault="006A5713" w:rsidP="00D33E55"/>
    <w:p w:rsidR="00D33E55" w:rsidRDefault="00D33E55" w:rsidP="00D33E55">
      <w:pPr>
        <w:sectPr w:rsidR="00D33E55">
          <w:headerReference w:type="default" r:id="rId10"/>
          <w:pgSz w:w="11906" w:h="16838"/>
          <w:pgMar w:top="1418" w:right="454" w:bottom="1418" w:left="3119" w:header="709" w:footer="709" w:gutter="0"/>
          <w:cols w:space="708"/>
          <w:docGrid w:linePitch="360"/>
        </w:sectPr>
      </w:pPr>
    </w:p>
    <w:p w:rsidR="006A5713" w:rsidRDefault="006A5713" w:rsidP="00D33E55"/>
    <w:tbl>
      <w:tblPr>
        <w:tblW w:w="0" w:type="auto"/>
        <w:tblBorders>
          <w:left w:val="single" w:sz="4" w:space="0" w:color="auto"/>
        </w:tblBorders>
        <w:tblLook w:val="01E0" w:firstRow="1" w:lastRow="1" w:firstColumn="1" w:lastColumn="1" w:noHBand="0" w:noVBand="0"/>
      </w:tblPr>
      <w:tblGrid>
        <w:gridCol w:w="2791"/>
        <w:gridCol w:w="5542"/>
      </w:tblGrid>
      <w:tr w:rsidR="00D33E55" w:rsidTr="00D33E55">
        <w:tc>
          <w:tcPr>
            <w:tcW w:w="2808" w:type="dxa"/>
            <w:tcBorders>
              <w:left w:val="nil"/>
            </w:tcBorders>
          </w:tcPr>
          <w:p w:rsidR="00D33E55" w:rsidRPr="00D33E55" w:rsidRDefault="00D33E55" w:rsidP="00D33E55">
            <w:r>
              <w:rPr>
                <w:b/>
              </w:rPr>
              <w:t>ABAA DNR 2011</w:t>
            </w:r>
          </w:p>
        </w:tc>
        <w:tc>
          <w:tcPr>
            <w:tcW w:w="5580" w:type="dxa"/>
          </w:tcPr>
          <w:p w:rsidR="00D33E55" w:rsidRDefault="00D33E55" w:rsidP="00D33E55">
            <w:r>
              <w:t>Deze ABAA DNR 2011 zijn de Algemene Bepalingen van het Rijksvastgoedbedrijf voor opdrachten aan architecten en</w:t>
            </w:r>
          </w:p>
          <w:p w:rsidR="00D33E55" w:rsidRDefault="00D33E55" w:rsidP="00D33E55">
            <w:r>
              <w:t>adviseurs. Deze bepalingen worden gehanteerd bij opdrachten die</w:t>
            </w:r>
          </w:p>
          <w:p w:rsidR="00D33E55" w:rsidRDefault="00D33E55" w:rsidP="00D33E55">
            <w:r>
              <w:t>worden verleend op basis van “De Nieuwe Regeling 2011,</w:t>
            </w:r>
          </w:p>
          <w:p w:rsidR="00D33E55" w:rsidRDefault="00D33E55" w:rsidP="00D33E55">
            <w:r>
              <w:t>Rechtsverhouding opdrachtgever – architect, ingenieur en adviseur” (DNR 2011</w:t>
            </w:r>
            <w:r w:rsidR="00ED5717">
              <w:t>, eerste herziening, juli  2013</w:t>
            </w:r>
            <w:r>
              <w:t xml:space="preserve">) van de Bond van Nederlandse Architecten (BNA) en NL Ingenieurs. </w:t>
            </w:r>
          </w:p>
          <w:p w:rsidR="00D33E55" w:rsidRDefault="00D33E55" w:rsidP="00D33E55"/>
          <w:p w:rsidR="00D33E55" w:rsidRDefault="00D33E55" w:rsidP="00051156">
            <w:r>
              <w:t xml:space="preserve">De ABAA DNR 2011 bevatten de standaard afwijkingen en aanvullingen die </w:t>
            </w:r>
            <w:r w:rsidR="00051156">
              <w:t>het Rijksvastgoedbedrijf</w:t>
            </w:r>
            <w:r>
              <w:t xml:space="preserve"> hanteert ten opzichte van de DNR 2011. De ABAA DNR 2011 moet dus altijd in combinatie met de DNR 2011 worden gehanteerd en gelezen.</w:t>
            </w:r>
          </w:p>
        </w:tc>
      </w:tr>
      <w:tr w:rsidR="00D33E55" w:rsidTr="00D33E55">
        <w:tc>
          <w:tcPr>
            <w:tcW w:w="2808" w:type="dxa"/>
            <w:tcBorders>
              <w:left w:val="nil"/>
            </w:tcBorders>
          </w:tcPr>
          <w:p w:rsidR="00D33E55" w:rsidRPr="00D33E55" w:rsidRDefault="00D33E55" w:rsidP="00D33E55"/>
          <w:p w:rsidR="00D33E55" w:rsidRPr="00D33E55" w:rsidRDefault="00EB01DD" w:rsidP="00D33E55">
            <w:r>
              <w:rPr>
                <w:b/>
                <w:noProof/>
              </w:rPr>
              <w:drawing>
                <wp:anchor distT="0" distB="0" distL="114300" distR="114300" simplePos="0" relativeHeight="251659264" behindDoc="1" locked="0" layoutInCell="1" allowOverlap="1">
                  <wp:simplePos x="0" y="0"/>
                  <wp:positionH relativeFrom="column">
                    <wp:posOffset>-599440</wp:posOffset>
                  </wp:positionH>
                  <wp:positionV relativeFrom="paragraph">
                    <wp:posOffset>2430780</wp:posOffset>
                  </wp:positionV>
                  <wp:extent cx="5753100" cy="2667000"/>
                  <wp:effectExtent l="1905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753100" cy="2667000"/>
                          </a:xfrm>
                          <a:prstGeom prst="rect">
                            <a:avLst/>
                          </a:prstGeom>
                          <a:noFill/>
                          <a:ln w="9525">
                            <a:noFill/>
                            <a:miter lim="800000"/>
                            <a:headEnd/>
                            <a:tailEnd/>
                          </a:ln>
                        </pic:spPr>
                      </pic:pic>
                    </a:graphicData>
                  </a:graphic>
                </wp:anchor>
              </w:drawing>
            </w:r>
            <w:r w:rsidR="00D33E55" w:rsidRPr="00D33E55">
              <w:rPr>
                <w:b/>
              </w:rPr>
              <w:t>Leeswijzer</w:t>
            </w:r>
          </w:p>
        </w:tc>
        <w:tc>
          <w:tcPr>
            <w:tcW w:w="5580" w:type="dxa"/>
          </w:tcPr>
          <w:p w:rsidR="00D33E55" w:rsidRDefault="00D33E55" w:rsidP="00D33E55"/>
          <w:p w:rsidR="00D33E55" w:rsidRDefault="00D33E55" w:rsidP="00D33E55">
            <w:pPr>
              <w:autoSpaceDE w:val="0"/>
              <w:autoSpaceDN w:val="0"/>
              <w:adjustRightInd w:val="0"/>
              <w:rPr>
                <w:rFonts w:cs="Arial"/>
                <w:szCs w:val="18"/>
              </w:rPr>
            </w:pPr>
            <w:r>
              <w:rPr>
                <w:rFonts w:cs="Arial"/>
                <w:szCs w:val="18"/>
              </w:rPr>
              <w:t>De indeling in hoofdstukken, artikelen en leden sluit aan bij de</w:t>
            </w:r>
          </w:p>
          <w:p w:rsidR="00D33E55" w:rsidRDefault="00D33E55" w:rsidP="00D33E55">
            <w:pPr>
              <w:autoSpaceDE w:val="0"/>
              <w:autoSpaceDN w:val="0"/>
              <w:adjustRightInd w:val="0"/>
              <w:rPr>
                <w:rFonts w:cs="Arial"/>
                <w:szCs w:val="18"/>
              </w:rPr>
            </w:pPr>
            <w:r>
              <w:rPr>
                <w:rFonts w:cs="Arial"/>
                <w:szCs w:val="18"/>
              </w:rPr>
              <w:t>DNR 2011. De artikelen van de DNR waarvoor het Rijksvastgoedbedrijf afwijkingen of aanvullingen heeft</w:t>
            </w:r>
          </w:p>
          <w:p w:rsidR="00D33E55" w:rsidRDefault="00D33E55" w:rsidP="00D33E55">
            <w:pPr>
              <w:autoSpaceDE w:val="0"/>
              <w:autoSpaceDN w:val="0"/>
              <w:adjustRightInd w:val="0"/>
              <w:rPr>
                <w:rFonts w:cs="Arial"/>
                <w:szCs w:val="18"/>
              </w:rPr>
            </w:pPr>
            <w:r>
              <w:rPr>
                <w:rFonts w:cs="Arial"/>
                <w:szCs w:val="18"/>
              </w:rPr>
              <w:t>geformuleerd, zijn aangeduid met ‘Ad Artikel #’.</w:t>
            </w:r>
          </w:p>
          <w:p w:rsidR="00D33E55" w:rsidRDefault="00D33E55" w:rsidP="00D33E55">
            <w:pPr>
              <w:autoSpaceDE w:val="0"/>
              <w:autoSpaceDN w:val="0"/>
              <w:adjustRightInd w:val="0"/>
              <w:rPr>
                <w:rFonts w:cs="Arial"/>
                <w:szCs w:val="18"/>
              </w:rPr>
            </w:pPr>
          </w:p>
          <w:p w:rsidR="00D33E55" w:rsidRDefault="00D33E55" w:rsidP="00D33E55">
            <w:pPr>
              <w:autoSpaceDE w:val="0"/>
              <w:autoSpaceDN w:val="0"/>
              <w:adjustRightInd w:val="0"/>
              <w:rPr>
                <w:rFonts w:cs="Arial"/>
                <w:szCs w:val="18"/>
              </w:rPr>
            </w:pPr>
            <w:r>
              <w:rPr>
                <w:rFonts w:cs="Arial"/>
                <w:szCs w:val="18"/>
              </w:rPr>
              <w:t>Bepalingen in de ABAA die ‘aanvullend zijn op’ of ‘afwijkend zijn</w:t>
            </w:r>
          </w:p>
          <w:p w:rsidR="00D33E55" w:rsidRDefault="00D33E55" w:rsidP="00D33E55">
            <w:pPr>
              <w:autoSpaceDE w:val="0"/>
              <w:autoSpaceDN w:val="0"/>
              <w:adjustRightInd w:val="0"/>
              <w:rPr>
                <w:rFonts w:cs="Arial"/>
                <w:szCs w:val="18"/>
              </w:rPr>
            </w:pPr>
            <w:r>
              <w:rPr>
                <w:rFonts w:cs="Arial"/>
                <w:szCs w:val="18"/>
              </w:rPr>
              <w:t>van’ een lid van een bepaald artikel in de DNR, zijn bijvoorbeeld als volgt genummerd: 1.1, 1.2, 1.3 enzovoort. Het cijfer vóór de punt correspondeert met het nummer van het betreffende lid in de DNR. Het cijfer ná de punt is het volgnummer van de afwijkende of</w:t>
            </w:r>
          </w:p>
          <w:p w:rsidR="00D33E55" w:rsidRDefault="00D33E55" w:rsidP="00D33E55">
            <w:pPr>
              <w:autoSpaceDE w:val="0"/>
              <w:autoSpaceDN w:val="0"/>
              <w:adjustRightInd w:val="0"/>
              <w:rPr>
                <w:rFonts w:cs="Arial"/>
                <w:szCs w:val="18"/>
              </w:rPr>
            </w:pPr>
            <w:r>
              <w:rPr>
                <w:rFonts w:cs="Arial"/>
                <w:szCs w:val="18"/>
              </w:rPr>
              <w:t>aanvullende bepaling van de ABAA.</w:t>
            </w:r>
          </w:p>
          <w:p w:rsidR="00D33E55" w:rsidRDefault="00D33E55" w:rsidP="00D33E55">
            <w:pPr>
              <w:autoSpaceDE w:val="0"/>
              <w:autoSpaceDN w:val="0"/>
              <w:adjustRightInd w:val="0"/>
              <w:rPr>
                <w:rFonts w:cs="Arial"/>
                <w:szCs w:val="18"/>
              </w:rPr>
            </w:pPr>
            <w:r>
              <w:rPr>
                <w:rFonts w:cs="Arial"/>
                <w:szCs w:val="18"/>
              </w:rPr>
              <w:t>Wanneer het om aanvullingen of afwijkingen gaat die betrekking</w:t>
            </w:r>
          </w:p>
          <w:p w:rsidR="00D33E55" w:rsidRDefault="00D33E55" w:rsidP="00D33E55">
            <w:pPr>
              <w:autoSpaceDE w:val="0"/>
              <w:autoSpaceDN w:val="0"/>
              <w:adjustRightInd w:val="0"/>
              <w:rPr>
                <w:rFonts w:cs="Arial"/>
                <w:szCs w:val="18"/>
              </w:rPr>
            </w:pPr>
            <w:r>
              <w:rPr>
                <w:rFonts w:cs="Arial"/>
                <w:szCs w:val="18"/>
              </w:rPr>
              <w:t>hebben op een heel artikel uit de DNR (en dus niet op een specifiek lid van dat artikel), is de nummering als volgt: 0.1, 0.2, 0.3</w:t>
            </w:r>
          </w:p>
          <w:p w:rsidR="00D33E55" w:rsidRDefault="00D33E55" w:rsidP="00D33E55">
            <w:pPr>
              <w:autoSpaceDE w:val="0"/>
              <w:autoSpaceDN w:val="0"/>
              <w:adjustRightInd w:val="0"/>
              <w:rPr>
                <w:rFonts w:cs="Arial"/>
                <w:szCs w:val="18"/>
              </w:rPr>
            </w:pPr>
            <w:r>
              <w:rPr>
                <w:rFonts w:cs="Arial"/>
                <w:szCs w:val="18"/>
              </w:rPr>
              <w:t xml:space="preserve">enzovoort. </w:t>
            </w:r>
          </w:p>
          <w:p w:rsidR="00D33E55" w:rsidRDefault="00D33E55" w:rsidP="00D33E55">
            <w:pPr>
              <w:autoSpaceDE w:val="0"/>
              <w:autoSpaceDN w:val="0"/>
              <w:adjustRightInd w:val="0"/>
              <w:rPr>
                <w:rFonts w:cs="Arial"/>
                <w:szCs w:val="18"/>
              </w:rPr>
            </w:pPr>
          </w:p>
          <w:p w:rsidR="00D33E55" w:rsidRDefault="00D33E55" w:rsidP="00D33E55">
            <w:pPr>
              <w:autoSpaceDE w:val="0"/>
              <w:autoSpaceDN w:val="0"/>
              <w:adjustRightInd w:val="0"/>
            </w:pPr>
            <w:r>
              <w:rPr>
                <w:rFonts w:cs="Arial"/>
                <w:szCs w:val="18"/>
              </w:rPr>
              <w:t>In de teksten is per bepaling duidelijk gemaakt of het om een aanvulling dan wel om een afwijking gaat.</w:t>
            </w:r>
          </w:p>
          <w:p w:rsidR="00D33E55" w:rsidRDefault="00D33E55" w:rsidP="00D33E55"/>
        </w:tc>
      </w:tr>
      <w:tr w:rsidR="00EB01DD" w:rsidTr="00D33E55">
        <w:tc>
          <w:tcPr>
            <w:tcW w:w="2808" w:type="dxa"/>
            <w:tcBorders>
              <w:left w:val="nil"/>
            </w:tcBorders>
          </w:tcPr>
          <w:p w:rsidR="00EB01DD" w:rsidRPr="00EB01DD" w:rsidRDefault="00EB01DD" w:rsidP="00EB01DD">
            <w:pPr>
              <w:rPr>
                <w:b/>
              </w:rPr>
            </w:pPr>
            <w:r>
              <w:rPr>
                <w:b/>
              </w:rPr>
              <w:t>De codering in de ABAA DNR 2011 ter illustratie</w:t>
            </w:r>
          </w:p>
        </w:tc>
        <w:tc>
          <w:tcPr>
            <w:tcW w:w="5580" w:type="dxa"/>
          </w:tcPr>
          <w:p w:rsidR="00EB01DD" w:rsidRDefault="00EB01DD" w:rsidP="00D33E55"/>
        </w:tc>
      </w:tr>
      <w:tr w:rsidR="00D33E55" w:rsidTr="00D33E55">
        <w:tc>
          <w:tcPr>
            <w:tcW w:w="2808" w:type="dxa"/>
            <w:tcBorders>
              <w:left w:val="nil"/>
            </w:tcBorders>
          </w:tcPr>
          <w:p w:rsidR="00D33E55" w:rsidRPr="00D33E55" w:rsidRDefault="00D33E55" w:rsidP="00D33E55">
            <w:pPr>
              <w:rPr>
                <w:b/>
              </w:rPr>
            </w:pPr>
          </w:p>
        </w:tc>
        <w:tc>
          <w:tcPr>
            <w:tcW w:w="5580" w:type="dxa"/>
          </w:tcPr>
          <w:p w:rsidR="00D33E55" w:rsidRDefault="00D33E55" w:rsidP="00D33E55"/>
          <w:p w:rsidR="00D33E55" w:rsidRDefault="00D33E55" w:rsidP="00D33E55"/>
        </w:tc>
      </w:tr>
      <w:tr w:rsidR="00D33E55" w:rsidTr="00D33E55">
        <w:tc>
          <w:tcPr>
            <w:tcW w:w="2808" w:type="dxa"/>
            <w:tcBorders>
              <w:left w:val="nil"/>
            </w:tcBorders>
          </w:tcPr>
          <w:p w:rsidR="00D33E55" w:rsidRDefault="00D33E55" w:rsidP="00D33E55"/>
        </w:tc>
        <w:tc>
          <w:tcPr>
            <w:tcW w:w="5580" w:type="dxa"/>
            <w:tcBorders>
              <w:bottom w:val="nil"/>
            </w:tcBorders>
          </w:tcPr>
          <w:p w:rsidR="00D33E55" w:rsidRDefault="00D33E55" w:rsidP="00D33E55"/>
          <w:p w:rsidR="00D33E55" w:rsidRDefault="00D33E55" w:rsidP="00D33E55"/>
        </w:tc>
      </w:tr>
    </w:tbl>
    <w:p w:rsidR="00D33E55" w:rsidRDefault="00D33E55">
      <w:r>
        <w:br w:type="page"/>
      </w:r>
    </w:p>
    <w:tbl>
      <w:tblPr>
        <w:tblStyle w:val="Tabelrasterlicht1"/>
        <w:tblW w:w="0" w:type="auto"/>
        <w:tblLook w:val="01E0" w:firstRow="1" w:lastRow="1" w:firstColumn="1" w:lastColumn="1" w:noHBand="0" w:noVBand="0"/>
      </w:tblPr>
      <w:tblGrid>
        <w:gridCol w:w="2791"/>
        <w:gridCol w:w="5532"/>
      </w:tblGrid>
      <w:tr w:rsidR="00D33E55" w:rsidTr="00225E8A">
        <w:tc>
          <w:tcPr>
            <w:tcW w:w="2808" w:type="dxa"/>
          </w:tcPr>
          <w:p w:rsidR="00D33E55" w:rsidRPr="00D33E55" w:rsidRDefault="00D33E55" w:rsidP="00D33E55">
            <w:pPr>
              <w:rPr>
                <w:b/>
              </w:rPr>
            </w:pPr>
            <w:r>
              <w:rPr>
                <w:b/>
              </w:rPr>
              <w:lastRenderedPageBreak/>
              <w:t>Toegevoegde bepalingen</w:t>
            </w:r>
          </w:p>
        </w:tc>
        <w:tc>
          <w:tcPr>
            <w:tcW w:w="5580" w:type="dxa"/>
          </w:tcPr>
          <w:p w:rsidR="00D33E55" w:rsidRDefault="00D33E55" w:rsidP="00D33E55">
            <w:pPr>
              <w:autoSpaceDE w:val="0"/>
              <w:autoSpaceDN w:val="0"/>
              <w:adjustRightInd w:val="0"/>
              <w:rPr>
                <w:rFonts w:cs="Arial"/>
                <w:szCs w:val="18"/>
              </w:rPr>
            </w:pPr>
            <w:r>
              <w:rPr>
                <w:rFonts w:cs="Arial"/>
                <w:szCs w:val="18"/>
              </w:rPr>
              <w:t>In hoofdstuk 14 van deze ABAA DNR 2011 is een aantal artikelen</w:t>
            </w:r>
          </w:p>
          <w:p w:rsidR="00D33E55" w:rsidRDefault="00D33E55" w:rsidP="00D33E55">
            <w:pPr>
              <w:autoSpaceDE w:val="0"/>
              <w:autoSpaceDN w:val="0"/>
              <w:adjustRightInd w:val="0"/>
              <w:rPr>
                <w:rFonts w:cs="Arial"/>
                <w:szCs w:val="18"/>
              </w:rPr>
            </w:pPr>
            <w:r>
              <w:rPr>
                <w:rFonts w:cs="Arial"/>
                <w:szCs w:val="18"/>
              </w:rPr>
              <w:t>toegevoegd, waarin meer algemene bepalingen en ontwerpeisen</w:t>
            </w:r>
          </w:p>
          <w:p w:rsidR="00D33E55" w:rsidRDefault="00D33E55" w:rsidP="00D33E55">
            <w:pPr>
              <w:rPr>
                <w:rFonts w:cs="Arial"/>
                <w:szCs w:val="18"/>
              </w:rPr>
            </w:pPr>
            <w:r>
              <w:rPr>
                <w:rFonts w:cs="Arial"/>
                <w:szCs w:val="18"/>
              </w:rPr>
              <w:t>zijn ondergebracht.</w:t>
            </w:r>
          </w:p>
          <w:p w:rsidR="0027051E" w:rsidRDefault="0027051E" w:rsidP="00D33E55">
            <w:pPr>
              <w:rPr>
                <w:rFonts w:cs="Arial"/>
                <w:szCs w:val="18"/>
              </w:rPr>
            </w:pPr>
          </w:p>
          <w:p w:rsidR="0027051E" w:rsidRDefault="0027051E" w:rsidP="00D33E55"/>
          <w:p w:rsidR="00D33E55" w:rsidRDefault="00D33E55" w:rsidP="00D33E55"/>
          <w:p w:rsidR="00D33E55" w:rsidRDefault="00D33E55" w:rsidP="00D33E55"/>
        </w:tc>
      </w:tr>
      <w:tr w:rsidR="00D33E55" w:rsidTr="00225E8A">
        <w:tc>
          <w:tcPr>
            <w:tcW w:w="2808" w:type="dxa"/>
          </w:tcPr>
          <w:p w:rsidR="00D33E55" w:rsidRPr="005029CA" w:rsidRDefault="0027051E" w:rsidP="00D33E55">
            <w:pPr>
              <w:rPr>
                <w:b/>
              </w:rPr>
            </w:pPr>
            <w:r>
              <w:rPr>
                <w:b/>
              </w:rPr>
              <w:t>DNR 2011</w:t>
            </w:r>
          </w:p>
        </w:tc>
        <w:tc>
          <w:tcPr>
            <w:tcW w:w="5580" w:type="dxa"/>
          </w:tcPr>
          <w:p w:rsidR="005029CA" w:rsidRDefault="0027051E" w:rsidP="00D33E55">
            <w:r>
              <w:t>De DNR 2011, eerste herziening, juli 2013 is de basis voor deze ABAA_DNR 2011</w:t>
            </w:r>
          </w:p>
          <w:p w:rsidR="00D33E55" w:rsidRDefault="00D33E55" w:rsidP="005029CA"/>
        </w:tc>
      </w:tr>
    </w:tbl>
    <w:p w:rsidR="006A5713" w:rsidRDefault="006A5713" w:rsidP="00D33E55">
      <w:pPr>
        <w:sectPr w:rsidR="006A5713">
          <w:headerReference w:type="default" r:id="rId12"/>
          <w:pgSz w:w="11906" w:h="16838"/>
          <w:pgMar w:top="1418" w:right="454" w:bottom="1418" w:left="3119" w:header="709" w:footer="709" w:gutter="0"/>
          <w:cols w:space="708"/>
          <w:docGrid w:linePitch="360"/>
        </w:sectPr>
      </w:pPr>
    </w:p>
    <w:p w:rsidR="006A5713" w:rsidRDefault="006A5713" w:rsidP="00D33E55"/>
    <w:tbl>
      <w:tblPr>
        <w:tblW w:w="0" w:type="auto"/>
        <w:tblBorders>
          <w:left w:val="single" w:sz="4" w:space="0" w:color="auto"/>
        </w:tblBorders>
        <w:tblLook w:val="01E0" w:firstRow="1" w:lastRow="1" w:firstColumn="1" w:lastColumn="1" w:noHBand="0" w:noVBand="0"/>
      </w:tblPr>
      <w:tblGrid>
        <w:gridCol w:w="2795"/>
        <w:gridCol w:w="5538"/>
      </w:tblGrid>
      <w:tr w:rsidR="006A5713">
        <w:tc>
          <w:tcPr>
            <w:tcW w:w="2808" w:type="dxa"/>
            <w:tcBorders>
              <w:left w:val="nil"/>
            </w:tcBorders>
          </w:tcPr>
          <w:p w:rsidR="006A5713" w:rsidRDefault="00B40049" w:rsidP="00D33E55">
            <w:r>
              <w:t xml:space="preserve">Ad Artikel 1 </w:t>
            </w:r>
          </w:p>
          <w:p w:rsidR="006A5713" w:rsidRDefault="00B40049" w:rsidP="00D33E55">
            <w:r>
              <w:t>Begripsbepalingen</w:t>
            </w:r>
          </w:p>
        </w:tc>
        <w:tc>
          <w:tcPr>
            <w:tcW w:w="5580" w:type="dxa"/>
          </w:tcPr>
          <w:p w:rsidR="006A5713" w:rsidRDefault="00B40049" w:rsidP="00D33E55">
            <w:r>
              <w:t>In aanvulling op Artikel 1 van de DNR wordt verstaan onder:</w:t>
            </w:r>
          </w:p>
          <w:p w:rsidR="006A5713" w:rsidRDefault="006A5713" w:rsidP="00D33E55"/>
        </w:tc>
      </w:tr>
      <w:tr w:rsidR="006A5713">
        <w:tc>
          <w:tcPr>
            <w:tcW w:w="2808" w:type="dxa"/>
            <w:tcBorders>
              <w:left w:val="nil"/>
            </w:tcBorders>
          </w:tcPr>
          <w:p w:rsidR="006A5713" w:rsidRDefault="006A5713" w:rsidP="00D33E55"/>
        </w:tc>
        <w:tc>
          <w:tcPr>
            <w:tcW w:w="5580" w:type="dxa"/>
          </w:tcPr>
          <w:p w:rsidR="001B3A15" w:rsidRDefault="001B3A15" w:rsidP="00D33E55">
            <w:r>
              <w:t>0.1 Aanbieding</w:t>
            </w:r>
          </w:p>
          <w:p w:rsidR="001B3A15" w:rsidRDefault="000828D8" w:rsidP="00D33E55">
            <w:r w:rsidRPr="00A52D47">
              <w:t xml:space="preserve">contractdocument waarmee de </w:t>
            </w:r>
            <w:r>
              <w:t>adviseur</w:t>
            </w:r>
            <w:r w:rsidRPr="00A52D47">
              <w:t xml:space="preserve"> te kennen heeft gegeven </w:t>
            </w:r>
            <w:r>
              <w:t xml:space="preserve">de </w:t>
            </w:r>
            <w:r w:rsidR="009672A2">
              <w:t>opdracht</w:t>
            </w:r>
            <w:r w:rsidRPr="00A52D47">
              <w:t xml:space="preserve"> te willen </w:t>
            </w:r>
            <w:r>
              <w:t>vervullen</w:t>
            </w:r>
            <w:r w:rsidRPr="00A52D47">
              <w:t xml:space="preserve"> conform het bepaalde in</w:t>
            </w:r>
            <w:r>
              <w:t xml:space="preserve"> </w:t>
            </w:r>
            <w:r w:rsidRPr="00A52D47">
              <w:t xml:space="preserve">de </w:t>
            </w:r>
            <w:r>
              <w:t>o</w:t>
            </w:r>
            <w:r w:rsidRPr="00A52D47">
              <w:t>vereenkomst</w:t>
            </w:r>
            <w:r w:rsidR="009672A2">
              <w:t>.</w:t>
            </w:r>
          </w:p>
          <w:p w:rsidR="001B3A15" w:rsidRDefault="001B3A15" w:rsidP="00D33E55"/>
          <w:p w:rsidR="006A5713" w:rsidRDefault="00B40049" w:rsidP="00D33E55">
            <w:r>
              <w:t>0.</w:t>
            </w:r>
            <w:r w:rsidR="001B3A15">
              <w:t>2</w:t>
            </w:r>
          </w:p>
          <w:p w:rsidR="006A5713" w:rsidRDefault="00B40049" w:rsidP="00D33E55">
            <w:r>
              <w:t xml:space="preserve">ABAA DNR </w:t>
            </w:r>
            <w:r w:rsidR="0080798F">
              <w:t xml:space="preserve">2011 </w:t>
            </w:r>
          </w:p>
          <w:p w:rsidR="006A5713" w:rsidRDefault="00B40049" w:rsidP="00D33E55">
            <w:r>
              <w:t xml:space="preserve">Deze Algemene Bepalingen voor opdrachten aan Architecten en Adviseurs. Deze bepalingen gelden in aanvullingen op en in afwijking van de bepalingen uit De Nieuwe  Regeling </w:t>
            </w:r>
            <w:r w:rsidR="0080798F">
              <w:t>2011</w:t>
            </w:r>
            <w:r>
              <w:t xml:space="preserve">, Rechtsverhouding opdrachtgever – architect, ingenieur en adviseur DNR </w:t>
            </w:r>
            <w:r w:rsidR="0080798F">
              <w:t xml:space="preserve">2011 </w:t>
            </w:r>
            <w:r>
              <w:t xml:space="preserve">van de Bond van Nederlandse Architecten (BNA) en </w:t>
            </w:r>
            <w:r w:rsidR="0046244F">
              <w:t>NL Ingenieurs</w:t>
            </w:r>
          </w:p>
          <w:p w:rsidR="006A5713" w:rsidRDefault="006A5713" w:rsidP="00D33E55"/>
        </w:tc>
      </w:tr>
      <w:tr w:rsidR="006A5713">
        <w:tc>
          <w:tcPr>
            <w:tcW w:w="2808" w:type="dxa"/>
            <w:tcBorders>
              <w:left w:val="nil"/>
            </w:tcBorders>
          </w:tcPr>
          <w:p w:rsidR="006A5713" w:rsidRDefault="006A5713" w:rsidP="00D33E55"/>
        </w:tc>
        <w:tc>
          <w:tcPr>
            <w:tcW w:w="5580" w:type="dxa"/>
          </w:tcPr>
          <w:p w:rsidR="006A5713" w:rsidRDefault="00B40049" w:rsidP="00D33E55">
            <w:r>
              <w:t>0.</w:t>
            </w:r>
            <w:r w:rsidR="001B3A15">
              <w:t>3</w:t>
            </w:r>
          </w:p>
          <w:p w:rsidR="006A5713" w:rsidRDefault="00B40049" w:rsidP="00D33E55">
            <w:r>
              <w:t>Projectbevoegde</w:t>
            </w:r>
          </w:p>
          <w:p w:rsidR="006A5713" w:rsidRDefault="00B40049" w:rsidP="00D33E55">
            <w:r>
              <w:t xml:space="preserve">De door </w:t>
            </w:r>
            <w:r w:rsidR="00E610D0">
              <w:t>het</w:t>
            </w:r>
            <w:r>
              <w:t xml:space="preserve"> </w:t>
            </w:r>
            <w:r w:rsidR="0080798F">
              <w:t>Rijksvastgoedbedrijf</w:t>
            </w:r>
            <w:r w:rsidR="00E610D0">
              <w:t xml:space="preserve"> krachtens het Mandaatbesluit</w:t>
            </w:r>
            <w:r w:rsidR="009C0AF8">
              <w:t xml:space="preserve"> Rijksvastgoedbedrijf</w:t>
            </w:r>
            <w:r>
              <w:t>, die op het moment van opdrachtvers</w:t>
            </w:r>
            <w:r w:rsidR="00BC2144">
              <w:t xml:space="preserve">trekking geldend was, </w:t>
            </w:r>
            <w:r>
              <w:t>aangewezen persoon die als enige de bevoegdheid heeft om opdrachten te verstrekken en/of te wijzigen.</w:t>
            </w:r>
          </w:p>
          <w:p w:rsidR="006A5713" w:rsidRDefault="006A5713" w:rsidP="00D33E55"/>
        </w:tc>
      </w:tr>
      <w:tr w:rsidR="006A5713">
        <w:tc>
          <w:tcPr>
            <w:tcW w:w="2808" w:type="dxa"/>
            <w:tcBorders>
              <w:left w:val="nil"/>
            </w:tcBorders>
          </w:tcPr>
          <w:p w:rsidR="006A5713" w:rsidRDefault="006A5713" w:rsidP="00D33E55"/>
        </w:tc>
        <w:tc>
          <w:tcPr>
            <w:tcW w:w="5580" w:type="dxa"/>
            <w:tcBorders>
              <w:bottom w:val="nil"/>
            </w:tcBorders>
          </w:tcPr>
          <w:p w:rsidR="006A5713" w:rsidRDefault="00B40049" w:rsidP="00D33E55">
            <w:r>
              <w:t>0.</w:t>
            </w:r>
            <w:r w:rsidR="001B3A15">
              <w:t>4</w:t>
            </w:r>
          </w:p>
          <w:p w:rsidR="006A5713" w:rsidRDefault="00B40049" w:rsidP="00D33E55">
            <w:r>
              <w:t>Rijksbouwmeester</w:t>
            </w:r>
          </w:p>
          <w:p w:rsidR="006A5713" w:rsidRDefault="00B40049" w:rsidP="00D33E55">
            <w:r>
              <w:t xml:space="preserve">De verantwoordelijke voor de kwaliteit van de </w:t>
            </w:r>
            <w:proofErr w:type="spellStart"/>
            <w:r>
              <w:t>rijkshuisvesting</w:t>
            </w:r>
            <w:proofErr w:type="spellEnd"/>
            <w:r>
              <w:t xml:space="preserve"> op het gebied van stedenbouw en architectuur; tevens inhoudelijk verantwoordelijk voor het monumentenbeleid en beeldende kunst. De Rijksbouwmeester adviseert </w:t>
            </w:r>
            <w:r w:rsidR="00E610D0">
              <w:t>het Rijksvastgoedbedrijf</w:t>
            </w:r>
            <w:r>
              <w:t xml:space="preserve"> en andere </w:t>
            </w:r>
            <w:proofErr w:type="spellStart"/>
            <w:r>
              <w:t>opdrachtgevende</w:t>
            </w:r>
            <w:proofErr w:type="spellEnd"/>
            <w:r>
              <w:t xml:space="preserve"> ministeries, rijksdiensten en agentschappen over integrale kwaliteit van projecten.</w:t>
            </w:r>
          </w:p>
          <w:p w:rsidR="006A5713" w:rsidRDefault="006A5713" w:rsidP="00D33E55"/>
        </w:tc>
      </w:tr>
      <w:tr w:rsidR="006A5713">
        <w:tc>
          <w:tcPr>
            <w:tcW w:w="2808" w:type="dxa"/>
            <w:tcBorders>
              <w:left w:val="nil"/>
            </w:tcBorders>
          </w:tcPr>
          <w:p w:rsidR="006A5713" w:rsidRDefault="006A5713" w:rsidP="00D33E55"/>
        </w:tc>
        <w:tc>
          <w:tcPr>
            <w:tcW w:w="5580" w:type="dxa"/>
            <w:tcBorders>
              <w:bottom w:val="nil"/>
            </w:tcBorders>
          </w:tcPr>
          <w:p w:rsidR="006A5713" w:rsidRDefault="00B40049" w:rsidP="00D33E55">
            <w:r>
              <w:t>0.</w:t>
            </w:r>
            <w:r w:rsidR="001B3A15">
              <w:t>5</w:t>
            </w:r>
            <w:r>
              <w:t xml:space="preserve"> </w:t>
            </w:r>
          </w:p>
          <w:p w:rsidR="006A5713" w:rsidRDefault="00B40049" w:rsidP="00D33E55">
            <w:r>
              <w:t>Uitvoeringskosten</w:t>
            </w:r>
          </w:p>
          <w:p w:rsidR="006A5713" w:rsidRDefault="00B40049" w:rsidP="00D33E55">
            <w:r>
              <w:t>De term ‘uitvoeringskosten’ is niet van toepassing.</w:t>
            </w:r>
            <w:r w:rsidR="0080798F">
              <w:t xml:space="preserve"> In plaats daarvan hanteert het Rijksvastgoedbedrijf de term ‘bouwkosten’.</w:t>
            </w:r>
          </w:p>
          <w:p w:rsidR="006A5713" w:rsidRDefault="006A5713" w:rsidP="00D33E55"/>
        </w:tc>
      </w:tr>
      <w:tr w:rsidR="006A5713">
        <w:tc>
          <w:tcPr>
            <w:tcW w:w="2808" w:type="dxa"/>
            <w:tcBorders>
              <w:left w:val="nil"/>
              <w:right w:val="nil"/>
            </w:tcBorders>
          </w:tcPr>
          <w:p w:rsidR="006A5713" w:rsidRDefault="006A5713" w:rsidP="00D33E55"/>
        </w:tc>
        <w:tc>
          <w:tcPr>
            <w:tcW w:w="5580" w:type="dxa"/>
            <w:tcBorders>
              <w:left w:val="nil"/>
            </w:tcBorders>
          </w:tcPr>
          <w:p w:rsidR="006A5713" w:rsidRDefault="00B40049" w:rsidP="00D33E55">
            <w:r>
              <w:t>0.</w:t>
            </w:r>
            <w:r w:rsidR="001B3A15">
              <w:t>6</w:t>
            </w:r>
          </w:p>
          <w:p w:rsidR="006A5713" w:rsidRDefault="00B40049" w:rsidP="00D33E55">
            <w:r>
              <w:t>Taakstellend budget</w:t>
            </w:r>
          </w:p>
          <w:p w:rsidR="006A5713" w:rsidRDefault="00B40049" w:rsidP="00D33E55">
            <w:r>
              <w:t xml:space="preserve">Het maximale bedrag aan bouwkosten conform </w:t>
            </w:r>
            <w:r w:rsidR="006B14F9" w:rsidRPr="00FD346C">
              <w:t>NEN 26</w:t>
            </w:r>
            <w:r w:rsidR="00FD346C" w:rsidRPr="00FD346C">
              <w:t>99</w:t>
            </w:r>
            <w:r w:rsidR="006B14F9" w:rsidRPr="00FD346C">
              <w:t>,</w:t>
            </w:r>
            <w:r>
              <w:t xml:space="preserve"> </w:t>
            </w:r>
            <w:r w:rsidR="00892D63">
              <w:t>exclusief</w:t>
            </w:r>
            <w:r>
              <w:t xml:space="preserve"> BTW, dat met de uitvoering van het object gemoeid mag zijn</w:t>
            </w:r>
            <w:r w:rsidR="0080798F">
              <w:t>.</w:t>
            </w:r>
          </w:p>
          <w:p w:rsidR="006A5713" w:rsidRDefault="006A5713" w:rsidP="00D33E55"/>
        </w:tc>
      </w:tr>
      <w:tr w:rsidR="006A5713">
        <w:tc>
          <w:tcPr>
            <w:tcW w:w="2808" w:type="dxa"/>
            <w:tcBorders>
              <w:left w:val="nil"/>
              <w:right w:val="nil"/>
            </w:tcBorders>
          </w:tcPr>
          <w:p w:rsidR="006A5713" w:rsidRDefault="006A5713" w:rsidP="00D33E55"/>
        </w:tc>
        <w:tc>
          <w:tcPr>
            <w:tcW w:w="5580" w:type="dxa"/>
            <w:tcBorders>
              <w:left w:val="nil"/>
            </w:tcBorders>
          </w:tcPr>
          <w:p w:rsidR="006A5713" w:rsidRDefault="00B40049" w:rsidP="00D33E55">
            <w:r>
              <w:t>0.</w:t>
            </w:r>
            <w:r w:rsidR="001B3A15">
              <w:t>7</w:t>
            </w:r>
          </w:p>
          <w:p w:rsidR="006A5713" w:rsidRDefault="00B40049" w:rsidP="00D33E55">
            <w:r>
              <w:t>Taakstellend deelbudget</w:t>
            </w:r>
          </w:p>
          <w:p w:rsidR="006A5713" w:rsidRDefault="00B40049" w:rsidP="00D33E55">
            <w:r>
              <w:t xml:space="preserve">Het maximale bedrag aan bouwkosten conform </w:t>
            </w:r>
            <w:r w:rsidR="00FD346C" w:rsidRPr="00FD346C">
              <w:t>NEN 2699</w:t>
            </w:r>
            <w:r>
              <w:t xml:space="preserve">, </w:t>
            </w:r>
            <w:r w:rsidR="00892D63">
              <w:t>exclusief</w:t>
            </w:r>
            <w:r>
              <w:t xml:space="preserve"> BTW, dat gemoeid mag zijn met de uitvoering van het deel van het object waarop de opdracht betrekking heeft.</w:t>
            </w:r>
          </w:p>
          <w:p w:rsidR="006A5713" w:rsidRDefault="006A5713" w:rsidP="00D33E55"/>
          <w:p w:rsidR="006A5713" w:rsidRDefault="006A5713" w:rsidP="00D33E55"/>
        </w:tc>
      </w:tr>
      <w:tr w:rsidR="006A5713">
        <w:tc>
          <w:tcPr>
            <w:tcW w:w="2808" w:type="dxa"/>
            <w:tcBorders>
              <w:left w:val="nil"/>
            </w:tcBorders>
          </w:tcPr>
          <w:p w:rsidR="006A5713" w:rsidRDefault="006A5713" w:rsidP="00D33E55"/>
        </w:tc>
        <w:tc>
          <w:tcPr>
            <w:tcW w:w="5580" w:type="dxa"/>
            <w:tcBorders>
              <w:bottom w:val="nil"/>
            </w:tcBorders>
          </w:tcPr>
          <w:p w:rsidR="006A5713" w:rsidRDefault="00B40049" w:rsidP="00D33E55">
            <w:r>
              <w:t>In afwijking van Artikel 1 van de DNR wordt verstaan onder:</w:t>
            </w:r>
          </w:p>
          <w:p w:rsidR="006A5713" w:rsidRDefault="006A5713" w:rsidP="00D33E55"/>
        </w:tc>
      </w:tr>
      <w:tr w:rsidR="006A5713">
        <w:tc>
          <w:tcPr>
            <w:tcW w:w="2808" w:type="dxa"/>
            <w:tcBorders>
              <w:left w:val="nil"/>
              <w:right w:val="nil"/>
            </w:tcBorders>
          </w:tcPr>
          <w:p w:rsidR="006A5713" w:rsidRDefault="006A5713" w:rsidP="00D33E55"/>
        </w:tc>
        <w:tc>
          <w:tcPr>
            <w:tcW w:w="5580" w:type="dxa"/>
            <w:tcBorders>
              <w:left w:val="nil"/>
            </w:tcBorders>
          </w:tcPr>
          <w:p w:rsidR="006A5713" w:rsidRDefault="00B40049" w:rsidP="00D33E55">
            <w:r>
              <w:t>0.</w:t>
            </w:r>
            <w:r w:rsidR="001B3A15">
              <w:t>8</w:t>
            </w:r>
          </w:p>
          <w:p w:rsidR="006A5713" w:rsidRDefault="00B40049" w:rsidP="00D33E55">
            <w:r>
              <w:t>Opdrachtgever</w:t>
            </w:r>
          </w:p>
          <w:p w:rsidR="006A5713" w:rsidRDefault="00B40049" w:rsidP="00D33E55">
            <w:r>
              <w:t xml:space="preserve">De Staat der Nederlanden, te dezen vertegenwoordigd door de daartoe aangewezen projectbevoegde van </w:t>
            </w:r>
            <w:r w:rsidR="00E610D0">
              <w:t>het Rijksvastgoedbedrijf</w:t>
            </w:r>
            <w:r>
              <w:t xml:space="preserve">. </w:t>
            </w:r>
          </w:p>
          <w:p w:rsidR="006A5713" w:rsidRDefault="006A5713" w:rsidP="00D33E55"/>
        </w:tc>
      </w:tr>
      <w:tr w:rsidR="006A5713">
        <w:tc>
          <w:tcPr>
            <w:tcW w:w="2808" w:type="dxa"/>
            <w:tcBorders>
              <w:left w:val="nil"/>
              <w:right w:val="nil"/>
            </w:tcBorders>
          </w:tcPr>
          <w:p w:rsidR="006A5713" w:rsidRDefault="006A5713" w:rsidP="00D33E55"/>
        </w:tc>
        <w:tc>
          <w:tcPr>
            <w:tcW w:w="5580" w:type="dxa"/>
            <w:tcBorders>
              <w:left w:val="nil"/>
            </w:tcBorders>
          </w:tcPr>
          <w:p w:rsidR="006A5713" w:rsidRDefault="00B40049" w:rsidP="00D33E55">
            <w:r>
              <w:t>0.</w:t>
            </w:r>
            <w:r w:rsidR="001B3A15">
              <w:t>9</w:t>
            </w:r>
          </w:p>
          <w:p w:rsidR="006A5713" w:rsidRDefault="00B40049" w:rsidP="00D33E55">
            <w:r>
              <w:t>Toerekenbare tekortkoming</w:t>
            </w:r>
          </w:p>
          <w:p w:rsidR="006A5713" w:rsidRDefault="00B40049" w:rsidP="00D33E55">
            <w:r>
              <w:t>Een toerekenbare tekortkoming als gedefinieerd in het Burgerlijk Wetboek.</w:t>
            </w:r>
          </w:p>
        </w:tc>
      </w:tr>
    </w:tbl>
    <w:p w:rsidR="006A5713" w:rsidRDefault="006A5713" w:rsidP="00D33E55">
      <w:pPr>
        <w:sectPr w:rsidR="006A5713">
          <w:headerReference w:type="default" r:id="rId13"/>
          <w:pgSz w:w="11906" w:h="16838"/>
          <w:pgMar w:top="1418" w:right="454" w:bottom="1418" w:left="3119" w:header="709" w:footer="709" w:gutter="0"/>
          <w:cols w:space="708"/>
          <w:docGrid w:linePitch="360"/>
        </w:sectPr>
      </w:pPr>
      <w:bookmarkStart w:id="0" w:name="_GoBack"/>
      <w:bookmarkEnd w:id="0"/>
    </w:p>
    <w:tbl>
      <w:tblPr>
        <w:tblW w:w="0" w:type="auto"/>
        <w:tblLook w:val="01E0" w:firstRow="1" w:lastRow="1" w:firstColumn="1" w:lastColumn="1" w:noHBand="0" w:noVBand="0"/>
      </w:tblPr>
      <w:tblGrid>
        <w:gridCol w:w="2794"/>
        <w:gridCol w:w="5539"/>
      </w:tblGrid>
      <w:tr w:rsidR="006A5713">
        <w:tc>
          <w:tcPr>
            <w:tcW w:w="2808" w:type="dxa"/>
          </w:tcPr>
          <w:p w:rsidR="006A5713" w:rsidRDefault="00B40049" w:rsidP="00D33E55">
            <w:r>
              <w:lastRenderedPageBreak/>
              <w:t xml:space="preserve">Ad Artikel 2 </w:t>
            </w:r>
          </w:p>
          <w:p w:rsidR="006A5713" w:rsidRDefault="00B40049" w:rsidP="00D33E55">
            <w:r>
              <w:t>De opdracht</w:t>
            </w:r>
          </w:p>
        </w:tc>
        <w:tc>
          <w:tcPr>
            <w:tcW w:w="5580" w:type="dxa"/>
          </w:tcPr>
          <w:p w:rsidR="006A5713" w:rsidRDefault="00B40049" w:rsidP="00D33E55">
            <w:r>
              <w:t>0.1</w:t>
            </w:r>
          </w:p>
          <w:p w:rsidR="006A5713" w:rsidRDefault="00B40049" w:rsidP="00D33E55">
            <w:r>
              <w:t>Van toepassing zijnde bepalingen</w:t>
            </w:r>
          </w:p>
          <w:p w:rsidR="006A5713" w:rsidRDefault="00B40049" w:rsidP="00D33E55">
            <w:r>
              <w:t xml:space="preserve">Het bepaalde in de DNR </w:t>
            </w:r>
            <w:r w:rsidR="0080798F">
              <w:t xml:space="preserve">2011 </w:t>
            </w:r>
            <w:r>
              <w:t xml:space="preserve">en deze ABAA DNR </w:t>
            </w:r>
            <w:r w:rsidR="0080798F">
              <w:t xml:space="preserve">2011 </w:t>
            </w:r>
            <w:r>
              <w:t xml:space="preserve">maken deel uit van de opdracht als ware het daarin letterlijk opgenomen, tenzij daar in de schriftelijke opdracht uitdrukkelijk van wordt afgeweken. </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0.2</w:t>
            </w:r>
          </w:p>
          <w:p w:rsidR="006A5713" w:rsidRDefault="00B40049" w:rsidP="00D33E55">
            <w:r>
              <w:t>Voorrangsregeling</w:t>
            </w:r>
          </w:p>
          <w:p w:rsidR="006A5713" w:rsidRDefault="00B40049" w:rsidP="00D33E55">
            <w:r>
              <w:t xml:space="preserve">Daar waar bepalingen in de ABAA DNR </w:t>
            </w:r>
            <w:r w:rsidR="0080798F">
              <w:t>2011</w:t>
            </w:r>
            <w:r>
              <w:t xml:space="preserve">, de DNR </w:t>
            </w:r>
            <w:r w:rsidR="0080798F">
              <w:t>2011</w:t>
            </w:r>
            <w:r>
              <w:t xml:space="preserve"> of de schriftelijke opdracht van elkaar afwijken:</w:t>
            </w:r>
          </w:p>
          <w:p w:rsidR="006A5713" w:rsidRDefault="00B40049" w:rsidP="00D33E55">
            <w:r>
              <w:t xml:space="preserve">gaat de schriftelijke opdracht boven de ABAA DNR </w:t>
            </w:r>
            <w:r w:rsidR="0080798F">
              <w:t>2011</w:t>
            </w:r>
            <w:r>
              <w:t>;</w:t>
            </w:r>
          </w:p>
          <w:p w:rsidR="006A5713" w:rsidRDefault="00B40049" w:rsidP="00D33E55">
            <w:r>
              <w:t xml:space="preserve">gaan de ABAA DNR </w:t>
            </w:r>
            <w:r w:rsidR="0080798F">
              <w:t xml:space="preserve">2011 </w:t>
            </w:r>
            <w:r>
              <w:t xml:space="preserve">boven de DNR </w:t>
            </w:r>
            <w:r w:rsidR="0080798F">
              <w:t>2011</w:t>
            </w:r>
            <w:r>
              <w:t>.</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3j.1</w:t>
            </w:r>
          </w:p>
          <w:p w:rsidR="006A5713" w:rsidRDefault="00B40049" w:rsidP="00D33E55">
            <w:r>
              <w:t>Bedrag aan bouwkosten</w:t>
            </w:r>
          </w:p>
          <w:p w:rsidR="006A5713" w:rsidRDefault="00B40049" w:rsidP="00D33E55">
            <w:r>
              <w:t xml:space="preserve">In afwijking van Artikel 2 lid 3j van de DNR </w:t>
            </w:r>
            <w:r w:rsidR="00C40894">
              <w:t xml:space="preserve">2011 </w:t>
            </w:r>
            <w:r>
              <w:t xml:space="preserve">voor ‘het bedrag dat ten naaste bij met de uitvoering van het object gemoeid mag zijn’ te lezen: ‘het taakstellend budget en het taakstellend deelbudget, zoals bedoeld in Ad Artikel 1, lid 0.4 respectievelijk 0.5 van de ABAA DNR </w:t>
            </w:r>
            <w:r w:rsidR="00C40894">
              <w:t>2011’</w:t>
            </w:r>
            <w:r>
              <w:t>.</w:t>
            </w:r>
          </w:p>
          <w:p w:rsidR="006A5713" w:rsidRDefault="006A5713" w:rsidP="00D33E55"/>
        </w:tc>
      </w:tr>
      <w:tr w:rsidR="006A5713">
        <w:tc>
          <w:tcPr>
            <w:tcW w:w="2808" w:type="dxa"/>
          </w:tcPr>
          <w:p w:rsidR="006A5713" w:rsidRDefault="00B40049" w:rsidP="00D33E55">
            <w:r>
              <w:t xml:space="preserve">Ad Artikel 3 </w:t>
            </w:r>
          </w:p>
          <w:p w:rsidR="006A5713" w:rsidRDefault="00B40049" w:rsidP="00D33E55">
            <w:r>
              <w:t>Vooronderzoek</w:t>
            </w:r>
          </w:p>
        </w:tc>
        <w:tc>
          <w:tcPr>
            <w:tcW w:w="5580" w:type="dxa"/>
          </w:tcPr>
          <w:p w:rsidR="006A5713" w:rsidRDefault="00B40049" w:rsidP="00D33E55">
            <w:r>
              <w:t>2.1</w:t>
            </w:r>
          </w:p>
          <w:p w:rsidR="006A5713" w:rsidRDefault="00B40049" w:rsidP="00D33E55">
            <w:r>
              <w:t xml:space="preserve">Gebruik resultaten Vooronderzoek </w:t>
            </w:r>
          </w:p>
          <w:p w:rsidR="006A5713" w:rsidRDefault="00B40049" w:rsidP="00D33E55">
            <w:r>
              <w:t>Indien na het uitvoeren van een vooronderzoek blijkt, dat een deel van de resultaten kan worden benut voor uitvoering van de opdracht in (een) volgende fase(n), dan wordt hiermee bij het vaststellen van het honorarium voor die fase(n) naar rato rekening gehouden.</w:t>
            </w:r>
          </w:p>
          <w:p w:rsidR="006A5713" w:rsidRDefault="00B40049" w:rsidP="00D33E55">
            <w:r>
              <w:t xml:space="preserve"> </w:t>
            </w:r>
          </w:p>
        </w:tc>
      </w:tr>
      <w:tr w:rsidR="006A5713">
        <w:tc>
          <w:tcPr>
            <w:tcW w:w="2808" w:type="dxa"/>
          </w:tcPr>
          <w:p w:rsidR="006A5713" w:rsidRDefault="00B40049" w:rsidP="00D33E55">
            <w:r>
              <w:t xml:space="preserve">Ad Artikel 4 </w:t>
            </w:r>
          </w:p>
          <w:p w:rsidR="006A5713" w:rsidRDefault="00B40049" w:rsidP="00D33E55">
            <w:r>
              <w:t>Vastlegging van de opdracht</w:t>
            </w:r>
          </w:p>
        </w:tc>
        <w:tc>
          <w:tcPr>
            <w:tcW w:w="5580" w:type="dxa"/>
          </w:tcPr>
          <w:p w:rsidR="006A5713" w:rsidRDefault="00B40049" w:rsidP="00D33E55">
            <w:r>
              <w:t>2.1</w:t>
            </w:r>
          </w:p>
          <w:p w:rsidR="006A5713" w:rsidRDefault="00B40049" w:rsidP="00D33E55">
            <w:r>
              <w:t>Schriftelijke opdracht</w:t>
            </w:r>
          </w:p>
          <w:p w:rsidR="006A5713" w:rsidRDefault="00B40049" w:rsidP="00D33E55">
            <w:r>
              <w:t xml:space="preserve">In afwijking van het gestelde in Artikel 4, lid 1 en 2 van de DNR </w:t>
            </w:r>
            <w:r w:rsidR="00C40894">
              <w:t>2011</w:t>
            </w:r>
            <w:r>
              <w:t xml:space="preserve">, komt de opdracht alleen tot stand na een schriftelijke aanbieding door de adviseur, gevolgd door schriftelijke opdrachtverlening door de projectbevoegde, tenzij het bepaalde in de opdrachtverlening afwijkt van de aanbieding van de adviseur en de adviseur binnen vijf werkdagen na de datum van de opdrachtverlening de projectbevoegde in kennis stelt niet akkoord te gaan met de opdrachtverlening. </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2.2</w:t>
            </w:r>
          </w:p>
          <w:p w:rsidR="006A5713" w:rsidRDefault="00B40049" w:rsidP="00D33E55">
            <w:r>
              <w:t>Opdracht per fase</w:t>
            </w:r>
          </w:p>
          <w:p w:rsidR="006A5713" w:rsidRDefault="00B40049" w:rsidP="00D33E55">
            <w:pPr>
              <w:rPr>
                <w:i/>
                <w:iCs/>
              </w:rPr>
            </w:pPr>
            <w:r>
              <w:t>De projectbevoegde verleent de opdracht per fase, tenzij in de opdracht uitdrukkelijk anders is bepaald</w:t>
            </w:r>
            <w:r>
              <w:rPr>
                <w:i/>
                <w:iCs/>
              </w:rPr>
              <w:t xml:space="preserve">. </w:t>
            </w:r>
          </w:p>
          <w:p w:rsidR="006A5713" w:rsidRDefault="006A5713" w:rsidP="00D33E55"/>
          <w:p w:rsidR="006A5713" w:rsidRDefault="00B40049" w:rsidP="00D33E55">
            <w:r>
              <w:t xml:space="preserve"> </w:t>
            </w:r>
          </w:p>
        </w:tc>
      </w:tr>
    </w:tbl>
    <w:p w:rsidR="006A5713" w:rsidRDefault="006A5713" w:rsidP="00D33E55"/>
    <w:p w:rsidR="006A5713" w:rsidRDefault="006A5713" w:rsidP="00D33E55"/>
    <w:p w:rsidR="006A5713" w:rsidRDefault="006A5713" w:rsidP="00D33E55">
      <w:pPr>
        <w:sectPr w:rsidR="006A5713">
          <w:headerReference w:type="even" r:id="rId14"/>
          <w:headerReference w:type="default" r:id="rId15"/>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94"/>
        <w:gridCol w:w="5539"/>
      </w:tblGrid>
      <w:tr w:rsidR="006A5713">
        <w:tc>
          <w:tcPr>
            <w:tcW w:w="2808" w:type="dxa"/>
          </w:tcPr>
          <w:p w:rsidR="006A5713" w:rsidRDefault="00B40049" w:rsidP="00D33E55">
            <w:r>
              <w:lastRenderedPageBreak/>
              <w:t xml:space="preserve">Ad Artikel 5 </w:t>
            </w:r>
          </w:p>
          <w:p w:rsidR="006A5713" w:rsidRDefault="00B40049" w:rsidP="00D33E55">
            <w:r>
              <w:t>Werkzaamheden door anderen</w:t>
            </w:r>
          </w:p>
        </w:tc>
        <w:tc>
          <w:tcPr>
            <w:tcW w:w="5580" w:type="dxa"/>
          </w:tcPr>
          <w:p w:rsidR="006A5713" w:rsidRDefault="00B40049" w:rsidP="00D33E55">
            <w:r>
              <w:t>0.1</w:t>
            </w:r>
          </w:p>
          <w:p w:rsidR="006A5713" w:rsidRDefault="00B40049" w:rsidP="00D33E55">
            <w:r>
              <w:t>Inschakelen derden door de adviseur</w:t>
            </w:r>
          </w:p>
          <w:p w:rsidR="006A5713" w:rsidRDefault="00B40049" w:rsidP="00D33E55">
            <w:r>
              <w:t xml:space="preserve">In aanvulling op Artikel 5 van de </w:t>
            </w:r>
            <w:r w:rsidR="00C40894">
              <w:t>DNR 2011</w:t>
            </w:r>
            <w:r>
              <w:t xml:space="preserve"> geldt, dat de adviseur voor onderdelen van zijn opdracht derden buiten zijn bureau kan inschakelen, mits daarvoor vooraf schriftelijke toestemming is verkregen van de projectbevoegde. </w:t>
            </w:r>
            <w:r w:rsidR="00C40894">
              <w:t xml:space="preserve"> Het bepaalde in Ad 11, lid 1.</w:t>
            </w:r>
            <w:r w:rsidR="00E07C2A">
              <w:t>b</w:t>
            </w:r>
            <w:r w:rsidR="00C40894">
              <w:t>1 van de ABAA DNR 2011 inzake legitimatie en beveiliging is daarbij van overeenkomstige toepassing.</w:t>
            </w:r>
          </w:p>
          <w:p w:rsidR="006A5713" w:rsidRDefault="006A5713" w:rsidP="00D33E55"/>
        </w:tc>
      </w:tr>
      <w:tr w:rsidR="006A5713">
        <w:tc>
          <w:tcPr>
            <w:tcW w:w="2808" w:type="dxa"/>
          </w:tcPr>
          <w:p w:rsidR="006A5713" w:rsidRDefault="00B40049" w:rsidP="00D33E55">
            <w:r>
              <w:t xml:space="preserve">Ad Artikel 6 </w:t>
            </w:r>
          </w:p>
          <w:p w:rsidR="006A5713" w:rsidRDefault="00B40049" w:rsidP="00D33E55">
            <w:r>
              <w:t>Aanstellen van meer dan een adviseur</w:t>
            </w:r>
          </w:p>
        </w:tc>
        <w:tc>
          <w:tcPr>
            <w:tcW w:w="5580" w:type="dxa"/>
          </w:tcPr>
          <w:p w:rsidR="006A5713" w:rsidRDefault="00B40049" w:rsidP="00D33E55">
            <w:r>
              <w:t>1.1</w:t>
            </w:r>
          </w:p>
          <w:p w:rsidR="006A5713" w:rsidRDefault="00B40049" w:rsidP="00D33E55">
            <w:r>
              <w:t>Overleg over derden-adviseurs</w:t>
            </w:r>
          </w:p>
          <w:p w:rsidR="006A5713" w:rsidRDefault="00B40049" w:rsidP="00D33E55">
            <w:r>
              <w:t xml:space="preserve">In afwijking van Artikel 6, lid 1 van de </w:t>
            </w:r>
            <w:r w:rsidR="00C40894">
              <w:t>DNR 2011</w:t>
            </w:r>
            <w:r>
              <w:t xml:space="preserve"> is de opdrachtgever niet verplicht met de adviseur te overleggen over de aanstelling van een derde-adviseur. Dit laat onverlet het streven van de projectbevoegde om over de aanstelling van derden-adviseurs te overleggen met de reeds voor het project aangestelde adviseurs.</w:t>
            </w:r>
          </w:p>
          <w:p w:rsidR="006A5713" w:rsidRDefault="006A5713" w:rsidP="00D33E55"/>
          <w:p w:rsidR="006A5713" w:rsidRDefault="007A7EBD" w:rsidP="00D33E55">
            <w:r>
              <w:t>3</w:t>
            </w:r>
            <w:r w:rsidR="00B40049">
              <w:t>.1</w:t>
            </w:r>
          </w:p>
          <w:p w:rsidR="006A5713" w:rsidRDefault="00B40049" w:rsidP="00D33E55">
            <w:r>
              <w:t>Afstemming adviseurs</w:t>
            </w:r>
          </w:p>
          <w:p w:rsidR="006A5713" w:rsidRDefault="00B40049" w:rsidP="00D33E55">
            <w:r>
              <w:t>Tenzij de projectbevoegde uitdrukkelijk anders in de opdracht heeft bepaald, wijst de projectbevoegde de architect aan als de participant die verantwoordelijk is voor de afstemming en sturing van de werkzaamheden binnen het team van adviseurs in het project om te komen tot een integraal resultaat in alle fasen.</w:t>
            </w:r>
          </w:p>
          <w:p w:rsidR="006A5713" w:rsidRDefault="006A5713" w:rsidP="00D33E55"/>
        </w:tc>
      </w:tr>
      <w:tr w:rsidR="006A5713">
        <w:tc>
          <w:tcPr>
            <w:tcW w:w="2808" w:type="dxa"/>
          </w:tcPr>
          <w:p w:rsidR="006A5713" w:rsidRDefault="00B40049" w:rsidP="00D33E55">
            <w:r>
              <w:t xml:space="preserve">Ad Artikel 7 </w:t>
            </w:r>
          </w:p>
          <w:p w:rsidR="006A5713" w:rsidRDefault="00B40049" w:rsidP="00D33E55">
            <w:r>
              <w:t>De adviseur als gemachtigde van de opdrachtgever</w:t>
            </w:r>
          </w:p>
        </w:tc>
        <w:tc>
          <w:tcPr>
            <w:tcW w:w="5580" w:type="dxa"/>
          </w:tcPr>
          <w:p w:rsidR="006A5713" w:rsidRDefault="00B40049" w:rsidP="00D33E55">
            <w:r>
              <w:t>0.1</w:t>
            </w:r>
          </w:p>
          <w:p w:rsidR="006A5713" w:rsidRDefault="00B40049" w:rsidP="00D33E55">
            <w:r>
              <w:t>Geen gemachtigde</w:t>
            </w:r>
          </w:p>
          <w:p w:rsidR="006A5713" w:rsidRDefault="00B40049" w:rsidP="00D33E55">
            <w:r>
              <w:t xml:space="preserve">De adviseur treedt niet op als gemachtigde van de opdrachtgever en kan derhalve geen handelingen verrichten waardoor de opdrachtgever rechtens wordt gebonden. Artikel 7 van de </w:t>
            </w:r>
            <w:r w:rsidR="00C40894">
              <w:t>DNR 2011</w:t>
            </w:r>
            <w:r>
              <w:t xml:space="preserve"> is derhalve niet van toepassing.</w:t>
            </w:r>
          </w:p>
          <w:p w:rsidR="006A5713" w:rsidRDefault="006A5713" w:rsidP="00D33E55"/>
        </w:tc>
      </w:tr>
      <w:tr w:rsidR="006A5713">
        <w:tc>
          <w:tcPr>
            <w:tcW w:w="2808" w:type="dxa"/>
          </w:tcPr>
          <w:p w:rsidR="006A5713" w:rsidRDefault="00B40049" w:rsidP="00D33E55">
            <w:pPr>
              <w:rPr>
                <w:lang w:val="de-DE"/>
              </w:rPr>
            </w:pPr>
            <w:r>
              <w:rPr>
                <w:lang w:val="de-DE"/>
              </w:rPr>
              <w:t xml:space="preserve">Ad Artikel 8 </w:t>
            </w:r>
          </w:p>
          <w:p w:rsidR="006A5713" w:rsidRDefault="00B40049" w:rsidP="00D33E55">
            <w:pPr>
              <w:rPr>
                <w:lang w:val="de-DE"/>
              </w:rPr>
            </w:pPr>
            <w:proofErr w:type="spellStart"/>
            <w:r>
              <w:rPr>
                <w:lang w:val="de-DE"/>
              </w:rPr>
              <w:t>Esthetische</w:t>
            </w:r>
            <w:proofErr w:type="spellEnd"/>
            <w:r>
              <w:rPr>
                <w:lang w:val="de-DE"/>
              </w:rPr>
              <w:t xml:space="preserve"> </w:t>
            </w:r>
            <w:proofErr w:type="spellStart"/>
            <w:r>
              <w:rPr>
                <w:lang w:val="de-DE"/>
              </w:rPr>
              <w:t>waarde</w:t>
            </w:r>
            <w:proofErr w:type="spellEnd"/>
          </w:p>
        </w:tc>
        <w:tc>
          <w:tcPr>
            <w:tcW w:w="5580" w:type="dxa"/>
          </w:tcPr>
          <w:p w:rsidR="006A5713" w:rsidRDefault="00B40049" w:rsidP="00D33E55">
            <w:r>
              <w:t>1.1</w:t>
            </w:r>
          </w:p>
          <w:p w:rsidR="006A5713" w:rsidRDefault="00B40049" w:rsidP="00D33E55">
            <w:r>
              <w:t>Beoordeling esthetische waarde</w:t>
            </w:r>
          </w:p>
          <w:p w:rsidR="006A5713" w:rsidRDefault="00B40049" w:rsidP="00D33E55">
            <w:pPr>
              <w:rPr>
                <w:i/>
                <w:iCs/>
                <w:strike/>
              </w:rPr>
            </w:pPr>
            <w:r>
              <w:t xml:space="preserve">In afwijking van Artikel 8 van de </w:t>
            </w:r>
            <w:r w:rsidR="00C40894">
              <w:t>DNR 2011</w:t>
            </w:r>
            <w:r>
              <w:t xml:space="preserve"> blijft bij de beoordeling van de juiste vervulling van de opdracht de esthetische waarde niet buiten beschouwing. De Rijksbouwmeester wordt bij de beoordeling van de esthetische waarde van het werk betrokken. Dit laat onverlet de eigen verantwoordelijkheid van de adviseur voor de esthetische waarde van het werk.</w:t>
            </w:r>
          </w:p>
          <w:p w:rsidR="006A5713" w:rsidRDefault="006A5713" w:rsidP="00D33E55"/>
        </w:tc>
      </w:tr>
    </w:tbl>
    <w:p w:rsidR="006A5713" w:rsidRDefault="006A5713" w:rsidP="00D33E55">
      <w:pPr>
        <w:sectPr w:rsidR="006A5713">
          <w:headerReference w:type="even" r:id="rId16"/>
          <w:headerReference w:type="default" r:id="rId17"/>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93"/>
        <w:gridCol w:w="5540"/>
      </w:tblGrid>
      <w:tr w:rsidR="006A5713">
        <w:tc>
          <w:tcPr>
            <w:tcW w:w="2808" w:type="dxa"/>
          </w:tcPr>
          <w:p w:rsidR="006A5713" w:rsidRDefault="00B40049" w:rsidP="00D33E55">
            <w:r>
              <w:lastRenderedPageBreak/>
              <w:t xml:space="preserve">Ad Artikel 9 </w:t>
            </w:r>
          </w:p>
          <w:p w:rsidR="006A5713" w:rsidRDefault="00B40049" w:rsidP="00D33E55">
            <w:r>
              <w:t>Aanpassingen van de opdracht</w:t>
            </w:r>
          </w:p>
        </w:tc>
        <w:tc>
          <w:tcPr>
            <w:tcW w:w="5580" w:type="dxa"/>
          </w:tcPr>
          <w:p w:rsidR="006A5713" w:rsidRDefault="00B40049" w:rsidP="00D33E55">
            <w:r>
              <w:t>1.1</w:t>
            </w:r>
          </w:p>
          <w:p w:rsidR="006A5713" w:rsidRDefault="00B40049" w:rsidP="00D33E55">
            <w:r>
              <w:t>Overleg aanvullende werkzaamheden</w:t>
            </w:r>
          </w:p>
          <w:p w:rsidR="006A5713" w:rsidRDefault="00B40049" w:rsidP="00D33E55">
            <w:r>
              <w:t xml:space="preserve">In aanvulling op het gestelde in Artikel 9, lid 1 van de </w:t>
            </w:r>
            <w:r w:rsidR="00C40894">
              <w:t>DNR 2011</w:t>
            </w:r>
            <w:r>
              <w:t xml:space="preserve"> geldt, dat partijen voorafgaand aan de aanbieding van de adviseur voor aanvullende werkzaamheden, overleggen over de inhoud, de omvang en de honoreringswijze van die werkzaamheden. </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3.1</w:t>
            </w:r>
          </w:p>
          <w:p w:rsidR="006A5713" w:rsidRDefault="00B40049" w:rsidP="00D33E55">
            <w:r>
              <w:t>Handelwijze bij aanpassingen opdracht</w:t>
            </w:r>
          </w:p>
          <w:p w:rsidR="006A5713" w:rsidRDefault="00B40049" w:rsidP="00D33E55">
            <w:r>
              <w:t xml:space="preserve">Het bepaalde in Artikel 4, lid 2.1 van de ABAA </w:t>
            </w:r>
            <w:r w:rsidR="00C40894">
              <w:t>DNR 2011</w:t>
            </w:r>
            <w:r>
              <w:t xml:space="preserve"> is bij aanpassing van de opdracht van overeenkomstige toepassing.</w:t>
            </w:r>
          </w:p>
          <w:p w:rsidR="006A5713" w:rsidRDefault="006A5713" w:rsidP="00D33E55"/>
        </w:tc>
      </w:tr>
    </w:tbl>
    <w:p w:rsidR="006A5713" w:rsidRDefault="006A5713" w:rsidP="00D33E55">
      <w:pPr>
        <w:sectPr w:rsidR="006A5713">
          <w:headerReference w:type="default" r:id="rId18"/>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86"/>
        <w:gridCol w:w="5547"/>
      </w:tblGrid>
      <w:tr w:rsidR="006A5713">
        <w:tc>
          <w:tcPr>
            <w:tcW w:w="2808" w:type="dxa"/>
          </w:tcPr>
          <w:p w:rsidR="006A5713" w:rsidRDefault="00B40049" w:rsidP="00D33E55">
            <w:r>
              <w:lastRenderedPageBreak/>
              <w:t xml:space="preserve">Ad Artikel 11 </w:t>
            </w:r>
          </w:p>
          <w:p w:rsidR="006A5713" w:rsidRDefault="00B40049" w:rsidP="00D33E55">
            <w:r>
              <w:t>Algemene verplichtingen van de adviseur</w:t>
            </w:r>
          </w:p>
        </w:tc>
        <w:tc>
          <w:tcPr>
            <w:tcW w:w="5580" w:type="dxa"/>
          </w:tcPr>
          <w:p w:rsidR="006A5713" w:rsidRDefault="00B40049" w:rsidP="00D33E55">
            <w:r>
              <w:t>0.1</w:t>
            </w:r>
          </w:p>
          <w:p w:rsidR="006A5713" w:rsidRDefault="00B40049" w:rsidP="00D33E55">
            <w:r>
              <w:t>Opdracht van derden</w:t>
            </w:r>
          </w:p>
          <w:p w:rsidR="006A5713" w:rsidRDefault="00B40049" w:rsidP="00D33E55">
            <w:r>
              <w:t>Het is de adviseur niet toegestaan om binnen het project in opdracht van een derde te werken zonder schriftelijke toestemming van de projectbevoegde.</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1b.1</w:t>
            </w:r>
          </w:p>
          <w:p w:rsidR="006A5713" w:rsidRDefault="00B40049" w:rsidP="00D33E55">
            <w:r>
              <w:t>Legitimatie en beveiliging</w:t>
            </w:r>
          </w:p>
          <w:p w:rsidR="006A5713" w:rsidRDefault="00B40049" w:rsidP="00D33E55">
            <w:r>
              <w:t xml:space="preserve">In aanvulling op Artikel 11, lid 1b van de </w:t>
            </w:r>
            <w:r w:rsidR="00C40894">
              <w:t>DNR 2011</w:t>
            </w:r>
            <w:r>
              <w:t xml:space="preserve"> dient de adviseur zich te conformeren aan de door de opdrachtgever gestelde eisen inzake legitimatie en beveiliging bij bezoek van een gebouw en/of terrein. </w:t>
            </w:r>
          </w:p>
          <w:p w:rsidR="006A5713" w:rsidRDefault="00B40049" w:rsidP="00D33E55">
            <w:r>
              <w:t>De adviseur, zijn personeel en overige onder zijn gezag en/of aanwijzingen werkzame personen dienen zich voor de toegang tot of de aanwezigheid in het gebouw of op het terrein te allen tijde voldoende te kunnen legitimeren met een wettelijk erkend legitimatiemiddel.</w:t>
            </w:r>
          </w:p>
          <w:p w:rsidR="006A5713" w:rsidRDefault="00B40049" w:rsidP="00D33E55">
            <w:r>
              <w:t xml:space="preserve">De adviseur c.q. de werkgever van het onder zijn gezag en/of aanwijzingen werkende personen laat, indien de opdrachtgever dat eist, voor de hierboven bedoelde personen een Verklaring Omtrent het Gedrag (VOG) opstellen en is verplicht deze verklaring(en) binnen twee weken na verzoek van de opdrachtgever </w:t>
            </w:r>
            <w:r w:rsidR="00C40894">
              <w:t>aan deze voor te leggen</w:t>
            </w:r>
            <w:r>
              <w:t>.</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3.1</w:t>
            </w:r>
          </w:p>
          <w:p w:rsidR="006A5713" w:rsidRDefault="00B40049" w:rsidP="00D33E55">
            <w:r>
              <w:t>Bewijs van verzekering</w:t>
            </w:r>
          </w:p>
          <w:p w:rsidR="006A5713" w:rsidRDefault="00B40049" w:rsidP="00D33E55">
            <w:r>
              <w:t xml:space="preserve">In afwijking van Artikel 11, lid 3 van de </w:t>
            </w:r>
            <w:r w:rsidR="00C40894">
              <w:t>DNR 2011</w:t>
            </w:r>
            <w:r>
              <w:t xml:space="preserve"> legt de adviseur binnen twee weken na opdracht een schriftelijk bewijs van een beroepsaansprakelijkheidsverzekering over aan de opdrachtgever.</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4.1</w:t>
            </w:r>
          </w:p>
          <w:p w:rsidR="006A5713" w:rsidRDefault="00B40049" w:rsidP="00D33E55">
            <w:r>
              <w:t>Aanvragen bij overheidsinstanties</w:t>
            </w:r>
          </w:p>
          <w:p w:rsidR="006A5713" w:rsidRDefault="00B40049" w:rsidP="00D33E55">
            <w:pPr>
              <w:rPr>
                <w:i/>
                <w:iCs/>
              </w:rPr>
            </w:pPr>
            <w:r>
              <w:t xml:space="preserve">In aanvulling op Artikel 11, lid 4 van de </w:t>
            </w:r>
            <w:r w:rsidR="00C40894">
              <w:t>DNR 2011</w:t>
            </w:r>
            <w:r>
              <w:t xml:space="preserve"> geldt, dat alle aanvragen bij overheidsinstanties </w:t>
            </w:r>
            <w:proofErr w:type="spellStart"/>
            <w:r>
              <w:t>terzake</w:t>
            </w:r>
            <w:proofErr w:type="spellEnd"/>
            <w:r>
              <w:t xml:space="preserve"> het project worden door de projectbevoegde moeten worden geautoriseerd.</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4.2</w:t>
            </w:r>
          </w:p>
          <w:p w:rsidR="006A5713" w:rsidRDefault="00B40049" w:rsidP="00D33E55">
            <w:r>
              <w:t>Gemeentelijk advies stedenbouw en welstand</w:t>
            </w:r>
          </w:p>
          <w:p w:rsidR="006A5713" w:rsidRDefault="00B40049" w:rsidP="00D33E55">
            <w:r>
              <w:t>De adviseur mag eventueel overleg inzake stedenbouwkundig advies en/of welstandsadvies met de gemeente pas aangaan na goedkeuring van de projectbevoegde.</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6.1</w:t>
            </w:r>
          </w:p>
          <w:p w:rsidR="006A5713" w:rsidRDefault="00B40049" w:rsidP="00D33E55">
            <w:r>
              <w:t>Overeengekomen tijdschema</w:t>
            </w:r>
          </w:p>
          <w:p w:rsidR="006A5713" w:rsidRDefault="00B40049" w:rsidP="00D33E55">
            <w:r>
              <w:t xml:space="preserve">In afwijking van Artikel 11, lid 6 van de </w:t>
            </w:r>
            <w:r w:rsidR="00C40894">
              <w:t>DNR 2011</w:t>
            </w:r>
            <w:r>
              <w:t xml:space="preserve"> zijn termijnen in het overeengekomen tijdschema fatale termijnen, tenzij door partijen uitdrukkelijk anders is overeengekomen</w:t>
            </w:r>
            <w:r w:rsidR="00C40894">
              <w:t>. Dit houdt in dat de adviseur aansprakelijk kan worden gesteld voor overschrijdingen van termijnen in het tijdschema, indien deze overschrijdingen het gevolg zijn van (een) toerekenbare tekortkoming(en) van de adviseur. Het gestelde in Artikel 13, lid 1 van de DNR 2011 is hierop van overeenkomstige toepassing.</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6.2</w:t>
            </w:r>
          </w:p>
          <w:p w:rsidR="006A5713" w:rsidRDefault="00B40049" w:rsidP="00D33E55">
            <w:r>
              <w:t>Overschrijding tijdschema</w:t>
            </w:r>
          </w:p>
          <w:p w:rsidR="006A5713" w:rsidRDefault="00B40049" w:rsidP="00D33E55">
            <w:r>
              <w:t>Wanneer de adviseur zijn verplichtingen niet kan nakomen binnen het overeengekomen tijdschema, dient hij dit met bekwame spoed schriftelijk te melden aan de projectbevoegde.</w:t>
            </w:r>
          </w:p>
          <w:p w:rsidR="006A5713" w:rsidRDefault="006A5713" w:rsidP="00D33E55"/>
        </w:tc>
      </w:tr>
      <w:tr w:rsidR="006A5713">
        <w:tc>
          <w:tcPr>
            <w:tcW w:w="2808" w:type="dxa"/>
          </w:tcPr>
          <w:p w:rsidR="006A5713" w:rsidRDefault="006A5713" w:rsidP="00D33E55"/>
        </w:tc>
        <w:tc>
          <w:tcPr>
            <w:tcW w:w="5580" w:type="dxa"/>
          </w:tcPr>
          <w:p w:rsidR="006A5713" w:rsidRDefault="006A5713" w:rsidP="00D33E55"/>
        </w:tc>
      </w:tr>
    </w:tbl>
    <w:p w:rsidR="006A5713" w:rsidRDefault="006A5713" w:rsidP="00D33E55">
      <w:pPr>
        <w:sectPr w:rsidR="006A5713">
          <w:headerReference w:type="even" r:id="rId19"/>
          <w:headerReference w:type="default" r:id="rId20"/>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93"/>
        <w:gridCol w:w="5540"/>
      </w:tblGrid>
      <w:tr w:rsidR="006A5713">
        <w:tc>
          <w:tcPr>
            <w:tcW w:w="2808" w:type="dxa"/>
          </w:tcPr>
          <w:p w:rsidR="006A5713" w:rsidRDefault="006A5713" w:rsidP="00D33E55"/>
        </w:tc>
        <w:tc>
          <w:tcPr>
            <w:tcW w:w="5580" w:type="dxa"/>
          </w:tcPr>
          <w:p w:rsidR="006A5713" w:rsidRPr="003C63E8" w:rsidRDefault="006A5713" w:rsidP="00D33E55">
            <w:pPr>
              <w:rPr>
                <w:highlight w:val="yellow"/>
              </w:rPr>
            </w:pPr>
          </w:p>
          <w:p w:rsidR="006A5713" w:rsidRPr="003C63E8" w:rsidRDefault="006A5713" w:rsidP="00D33E55">
            <w:pPr>
              <w:rPr>
                <w:highlight w:val="yellow"/>
              </w:rPr>
            </w:pPr>
          </w:p>
        </w:tc>
      </w:tr>
      <w:tr w:rsidR="006A5713">
        <w:tc>
          <w:tcPr>
            <w:tcW w:w="2808" w:type="dxa"/>
          </w:tcPr>
          <w:p w:rsidR="006A5713" w:rsidRDefault="006A5713" w:rsidP="00D33E55"/>
        </w:tc>
        <w:tc>
          <w:tcPr>
            <w:tcW w:w="5580" w:type="dxa"/>
          </w:tcPr>
          <w:p w:rsidR="006A5713" w:rsidRDefault="00B40049" w:rsidP="00D33E55">
            <w:r>
              <w:t>9.1</w:t>
            </w:r>
          </w:p>
          <w:p w:rsidR="006A5713" w:rsidRDefault="00B40049" w:rsidP="00D33E55">
            <w:r>
              <w:t>Lijst Beheergegevens</w:t>
            </w:r>
          </w:p>
          <w:p w:rsidR="006A5713" w:rsidRDefault="00B40049" w:rsidP="00D33E55">
            <w:r>
              <w:t xml:space="preserve">In aanvulling op Artikel 11, lid 9 van de </w:t>
            </w:r>
            <w:r w:rsidR="00C40894">
              <w:t>DNR 2011</w:t>
            </w:r>
            <w:r>
              <w:t xml:space="preserve"> geldt, dat onder van belang zijnde documenten in ieder geval wordt verstaan de door de projectbevoegde voor het project ingevulde Lijst Beheergegevens, die als bijlage bij het contract is gevoegd. </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12.1</w:t>
            </w:r>
          </w:p>
          <w:p w:rsidR="006A5713" w:rsidRDefault="00B40049" w:rsidP="00D33E55">
            <w:r>
              <w:t>Kosten van duplicaten</w:t>
            </w:r>
          </w:p>
          <w:p w:rsidR="006A5713" w:rsidRDefault="00B40049" w:rsidP="00D33E55">
            <w:r>
              <w:t xml:space="preserve">In aanvulling op Artikel 11, lid 12 van de </w:t>
            </w:r>
            <w:r w:rsidR="00C40894">
              <w:t>DNR 2011</w:t>
            </w:r>
            <w:r>
              <w:t xml:space="preserve"> geldt, dat de vergoeding van onkosten voor het verstrekken van duplicaten van de door de adviseur </w:t>
            </w:r>
            <w:proofErr w:type="spellStart"/>
            <w:r>
              <w:t>terzake</w:t>
            </w:r>
            <w:proofErr w:type="spellEnd"/>
            <w:r>
              <w:t xml:space="preserve"> de opdracht bewaarde gegevens geschiedt tegen vooraf vastgestelde kosten.</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13.1</w:t>
            </w:r>
          </w:p>
          <w:p w:rsidR="006A5713" w:rsidRDefault="00B40049" w:rsidP="00D33E55">
            <w:r>
              <w:t>Ontheffing bewaarplicht adviseur</w:t>
            </w:r>
          </w:p>
          <w:p w:rsidR="006A5713" w:rsidRDefault="00B40049" w:rsidP="00D33E55">
            <w:r>
              <w:t xml:space="preserve">Artikel 11, lid 13 van de </w:t>
            </w:r>
            <w:r w:rsidR="00C40894">
              <w:t>DNR 2011</w:t>
            </w:r>
            <w:r>
              <w:t xml:space="preserve"> is niet van toepassing.</w:t>
            </w:r>
          </w:p>
          <w:p w:rsidR="006A5713" w:rsidRDefault="006A5713" w:rsidP="00D33E55"/>
        </w:tc>
      </w:tr>
      <w:tr w:rsidR="006A5713">
        <w:tc>
          <w:tcPr>
            <w:tcW w:w="2808" w:type="dxa"/>
          </w:tcPr>
          <w:p w:rsidR="006A5713" w:rsidRDefault="00B40049" w:rsidP="00D33E55">
            <w:r>
              <w:t xml:space="preserve">Ad Artikel 12 </w:t>
            </w:r>
          </w:p>
          <w:p w:rsidR="006A5713" w:rsidRDefault="00B40049" w:rsidP="00D33E55">
            <w:r>
              <w:t>Algemene verplichtingen van de opdrachtgever</w:t>
            </w:r>
          </w:p>
        </w:tc>
        <w:tc>
          <w:tcPr>
            <w:tcW w:w="5580" w:type="dxa"/>
          </w:tcPr>
          <w:p w:rsidR="006A5713" w:rsidRDefault="00B40049" w:rsidP="00D33E55">
            <w:r>
              <w:t>3.1</w:t>
            </w:r>
          </w:p>
          <w:p w:rsidR="006A5713" w:rsidRDefault="00B40049" w:rsidP="00D33E55">
            <w:r>
              <w:t>Termijn beoordeling documenten adviseur</w:t>
            </w:r>
          </w:p>
          <w:p w:rsidR="00E07C2A" w:rsidRDefault="00B40049" w:rsidP="00D33E55">
            <w:r>
              <w:t xml:space="preserve">In aanvulling van het gestelde in Artikel 12, lid 3 van de </w:t>
            </w:r>
            <w:r w:rsidR="00C40894">
              <w:t>DNR 2011</w:t>
            </w:r>
            <w:r>
              <w:t xml:space="preserve"> zal de opdrachtgever documenten die de adviseur bij de vervulling van zijn opdracht vervaardigt, binnen de daartoe tevoren door de opdrachtgever vastgestelde periode</w:t>
            </w:r>
            <w:r>
              <w:rPr>
                <w:i/>
                <w:iCs/>
              </w:rPr>
              <w:t xml:space="preserve"> </w:t>
            </w:r>
            <w:r>
              <w:t>beoordelen.</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5.1</w:t>
            </w:r>
          </w:p>
          <w:p w:rsidR="006A5713" w:rsidRDefault="00B40049" w:rsidP="00D33E55">
            <w:r>
              <w:t>Projectbevoegde vertegenwoordigt de opdrachtgever</w:t>
            </w:r>
          </w:p>
          <w:p w:rsidR="006A5713" w:rsidRDefault="00B40049" w:rsidP="00D33E55">
            <w:r>
              <w:t xml:space="preserve">In afwijking van het gestelde in Artikel 12, lid 5 van de </w:t>
            </w:r>
            <w:r w:rsidR="00C40894">
              <w:t>DNR 2011</w:t>
            </w:r>
            <w:r>
              <w:t xml:space="preserve"> dient gelezen te worden dat de projectbevoegde de opdrachtgever vertegenwoordigt </w:t>
            </w:r>
            <w:proofErr w:type="spellStart"/>
            <w:r>
              <w:t>terzake</w:t>
            </w:r>
            <w:proofErr w:type="spellEnd"/>
            <w:r>
              <w:t xml:space="preserve"> van het bouwproject.</w:t>
            </w:r>
          </w:p>
          <w:p w:rsidR="00E07C2A" w:rsidRDefault="00E07C2A" w:rsidP="00D33E55"/>
          <w:p w:rsidR="00E07C2A" w:rsidRDefault="00E07C2A" w:rsidP="00D33E55">
            <w:r>
              <w:t>8.1</w:t>
            </w:r>
          </w:p>
          <w:p w:rsidR="00E07C2A" w:rsidRPr="00E07C2A" w:rsidRDefault="00E07C2A" w:rsidP="00D33E55">
            <w:r>
              <w:t>Vrijwaring</w:t>
            </w:r>
          </w:p>
          <w:p w:rsidR="00E07C2A" w:rsidRDefault="00E07C2A" w:rsidP="00D33E55">
            <w:r>
              <w:t>Artikel 12, lid 8 van de DNR 2011 is niet van toepassing.</w:t>
            </w:r>
          </w:p>
          <w:p w:rsidR="006A5713" w:rsidRDefault="006A5713" w:rsidP="00D33E55"/>
        </w:tc>
      </w:tr>
      <w:tr w:rsidR="006A5713">
        <w:tc>
          <w:tcPr>
            <w:tcW w:w="2808" w:type="dxa"/>
          </w:tcPr>
          <w:p w:rsidR="006A5713" w:rsidRDefault="006A5713" w:rsidP="00D33E55"/>
        </w:tc>
        <w:tc>
          <w:tcPr>
            <w:tcW w:w="5580" w:type="dxa"/>
          </w:tcPr>
          <w:p w:rsidR="006A5713" w:rsidRDefault="006A5713" w:rsidP="00D33E55"/>
        </w:tc>
      </w:tr>
    </w:tbl>
    <w:p w:rsidR="006A5713" w:rsidRDefault="006A5713" w:rsidP="00D33E55">
      <w:pPr>
        <w:sectPr w:rsidR="006A5713">
          <w:headerReference w:type="default" r:id="rId21"/>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99"/>
        <w:gridCol w:w="5534"/>
      </w:tblGrid>
      <w:tr w:rsidR="006A5713">
        <w:tc>
          <w:tcPr>
            <w:tcW w:w="2808" w:type="dxa"/>
          </w:tcPr>
          <w:p w:rsidR="006A5713" w:rsidRDefault="00B40049" w:rsidP="00D33E55">
            <w:r>
              <w:lastRenderedPageBreak/>
              <w:t xml:space="preserve">Ad Artikel 13 </w:t>
            </w:r>
          </w:p>
          <w:p w:rsidR="006A5713" w:rsidRDefault="00B40049" w:rsidP="00D33E55">
            <w:r>
              <w:t>Aansprakelijkheid van de adviseur voor toerekenbare tekortkomingen</w:t>
            </w:r>
          </w:p>
        </w:tc>
        <w:tc>
          <w:tcPr>
            <w:tcW w:w="5580" w:type="dxa"/>
          </w:tcPr>
          <w:p w:rsidR="006A5713" w:rsidRDefault="00B40049" w:rsidP="00D33E55">
            <w:r>
              <w:t>2.1</w:t>
            </w:r>
          </w:p>
          <w:p w:rsidR="006A5713" w:rsidRDefault="00B40049" w:rsidP="00D33E55">
            <w:r>
              <w:t>Door opdrachtgever voorgeschreven persoon belast met toezicht</w:t>
            </w:r>
          </w:p>
          <w:p w:rsidR="006A5713" w:rsidRDefault="00B40049" w:rsidP="00D33E55">
            <w:r>
              <w:t xml:space="preserve">In aanvulling op Artikel 13, lid 2 van de </w:t>
            </w:r>
            <w:r w:rsidR="00C40894">
              <w:t>DNR 2011</w:t>
            </w:r>
            <w:r>
              <w:t xml:space="preserve"> geldt, dat de adviseur op gelijke wijze als voor zijn eigen tekortkomingen aansprakelijk is voor tekortkomingen van een door de opdrachtgever voorgeschreven persoon die werkt onder gezag en/of op aanwijzing van de adviseur</w:t>
            </w:r>
            <w:r w:rsidRPr="00746F57">
              <w:t>.</w:t>
            </w:r>
            <w:r w:rsidR="00874162" w:rsidRPr="00746F57">
              <w:t xml:space="preserve"> </w:t>
            </w:r>
            <w:r w:rsidR="006B14F9" w:rsidRPr="00746F57">
              <w:t>Artikel 14, lid 5 van de DNR 2011 is niet van toepassing.</w:t>
            </w:r>
          </w:p>
          <w:p w:rsidR="006A5713" w:rsidRDefault="006A5713" w:rsidP="00D33E55"/>
        </w:tc>
      </w:tr>
      <w:tr w:rsidR="006A5713">
        <w:tc>
          <w:tcPr>
            <w:tcW w:w="2808" w:type="dxa"/>
          </w:tcPr>
          <w:p w:rsidR="006A5713" w:rsidRDefault="00B40049" w:rsidP="00D33E55">
            <w:r>
              <w:t xml:space="preserve">Ad Artikel 14 </w:t>
            </w:r>
          </w:p>
          <w:p w:rsidR="006A5713" w:rsidRDefault="00B40049" w:rsidP="00D33E55">
            <w:r>
              <w:t>Schadevergoeding</w:t>
            </w:r>
          </w:p>
        </w:tc>
        <w:tc>
          <w:tcPr>
            <w:tcW w:w="5580" w:type="dxa"/>
          </w:tcPr>
          <w:p w:rsidR="006A5713" w:rsidRDefault="00B40049" w:rsidP="00D33E55">
            <w:r>
              <w:t>5.1</w:t>
            </w:r>
          </w:p>
          <w:p w:rsidR="006A5713" w:rsidRDefault="00B40049" w:rsidP="00D33E55">
            <w:r>
              <w:t>Niet tijdig of deugdelijk presteren van voorgeschreven persoon</w:t>
            </w:r>
          </w:p>
          <w:p w:rsidR="006A5713" w:rsidRDefault="00B40049" w:rsidP="00D33E55">
            <w:r>
              <w:t xml:space="preserve">Artikel 14, lid 5 van de </w:t>
            </w:r>
            <w:r w:rsidR="00C40894">
              <w:t>DNR 2011</w:t>
            </w:r>
            <w:r>
              <w:t xml:space="preserve"> is niet van toepassing.</w:t>
            </w:r>
          </w:p>
          <w:p w:rsidR="006A5713" w:rsidRDefault="006A5713" w:rsidP="00D33E55"/>
        </w:tc>
      </w:tr>
      <w:tr w:rsidR="006A5713">
        <w:tc>
          <w:tcPr>
            <w:tcW w:w="2808" w:type="dxa"/>
          </w:tcPr>
          <w:p w:rsidR="006A5713" w:rsidRDefault="006A5713" w:rsidP="00D33E55"/>
        </w:tc>
        <w:tc>
          <w:tcPr>
            <w:tcW w:w="5580" w:type="dxa"/>
          </w:tcPr>
          <w:p w:rsidR="006A5713" w:rsidRPr="00746F57" w:rsidRDefault="006B14F9" w:rsidP="00D33E55">
            <w:r w:rsidRPr="00746F57">
              <w:t>7.1</w:t>
            </w:r>
          </w:p>
          <w:p w:rsidR="006A5713" w:rsidRPr="00746F57" w:rsidRDefault="00B40049" w:rsidP="00D33E55">
            <w:r w:rsidRPr="00746F57">
              <w:t>Geen CAR-verzekering</w:t>
            </w:r>
          </w:p>
          <w:p w:rsidR="006A5713" w:rsidRPr="00746F57" w:rsidRDefault="00B40049" w:rsidP="00D33E55">
            <w:r w:rsidRPr="00746F57">
              <w:t xml:space="preserve">Uitdrukkelijk wordt vastgesteld dat de opdrachtgever geen CAR-verzekering afsluit of doet afsluiten, noch een daarmee gelijk te stellen andere verzekering, zodat de beperkte aansprakelijkheid, als bedoeld in Artikel 14, lid </w:t>
            </w:r>
            <w:r w:rsidR="00E07C2A">
              <w:t>7</w:t>
            </w:r>
            <w:r w:rsidRPr="00746F57">
              <w:t xml:space="preserve">van de </w:t>
            </w:r>
            <w:r w:rsidR="00C40894" w:rsidRPr="00746F57">
              <w:t>DNR 2011</w:t>
            </w:r>
            <w:r w:rsidRPr="00746F57">
              <w:t xml:space="preserve"> niet van toepassing is.</w:t>
            </w:r>
          </w:p>
          <w:p w:rsidR="006A5713" w:rsidRPr="00746F57" w:rsidRDefault="006A5713" w:rsidP="00D33E55"/>
        </w:tc>
      </w:tr>
      <w:tr w:rsidR="006A5713">
        <w:tc>
          <w:tcPr>
            <w:tcW w:w="2808" w:type="dxa"/>
          </w:tcPr>
          <w:p w:rsidR="006A5713" w:rsidRDefault="006A5713" w:rsidP="00D33E55"/>
        </w:tc>
        <w:tc>
          <w:tcPr>
            <w:tcW w:w="5580" w:type="dxa"/>
          </w:tcPr>
          <w:p w:rsidR="006A5713" w:rsidRPr="00746F57" w:rsidRDefault="006A5713" w:rsidP="00D33E55"/>
        </w:tc>
      </w:tr>
      <w:tr w:rsidR="006A5713">
        <w:tc>
          <w:tcPr>
            <w:tcW w:w="2808" w:type="dxa"/>
          </w:tcPr>
          <w:p w:rsidR="006A5713" w:rsidRDefault="00B40049" w:rsidP="00D33E55">
            <w:r>
              <w:t xml:space="preserve">Ad Artikel 15 </w:t>
            </w:r>
          </w:p>
          <w:p w:rsidR="006A5713" w:rsidRDefault="00B40049" w:rsidP="00D33E55">
            <w:r>
              <w:t>Omvang van de schadevergoeding</w:t>
            </w:r>
          </w:p>
        </w:tc>
        <w:tc>
          <w:tcPr>
            <w:tcW w:w="5580" w:type="dxa"/>
          </w:tcPr>
          <w:p w:rsidR="006A5713" w:rsidRPr="00746F57" w:rsidRDefault="00B40049" w:rsidP="00D33E55">
            <w:r w:rsidRPr="00746F57">
              <w:t>1.</w:t>
            </w:r>
            <w:r w:rsidR="006B14F9" w:rsidRPr="00746F57">
              <w:t>1 / 2.1</w:t>
            </w:r>
            <w:r w:rsidR="00881539" w:rsidRPr="00746F57">
              <w:t xml:space="preserve"> </w:t>
            </w:r>
          </w:p>
          <w:p w:rsidR="006A5713" w:rsidRPr="00746F57" w:rsidRDefault="00B40049" w:rsidP="00D33E55">
            <w:r w:rsidRPr="00746F57">
              <w:t>Maximum aan de schadevergoeding</w:t>
            </w:r>
          </w:p>
          <w:p w:rsidR="006A5713" w:rsidRPr="00746F57" w:rsidRDefault="00B40049" w:rsidP="00D33E55">
            <w:r w:rsidRPr="00746F57">
              <w:t>In afwijking van Artikel 15, lid 1</w:t>
            </w:r>
            <w:r w:rsidR="00881539" w:rsidRPr="00746F57">
              <w:t xml:space="preserve"> </w:t>
            </w:r>
            <w:r w:rsidR="006B14F9" w:rsidRPr="00746F57">
              <w:t>en</w:t>
            </w:r>
            <w:r w:rsidR="00881539" w:rsidRPr="00746F57">
              <w:t xml:space="preserve"> lid</w:t>
            </w:r>
            <w:r w:rsidR="006B14F9" w:rsidRPr="00746F57">
              <w:t xml:space="preserve"> 2</w:t>
            </w:r>
            <w:r w:rsidRPr="00746F57">
              <w:t xml:space="preserve"> van de </w:t>
            </w:r>
            <w:r w:rsidR="00C40894" w:rsidRPr="00746F57">
              <w:t>DNR 2011</w:t>
            </w:r>
            <w:r w:rsidRPr="00746F57">
              <w:t xml:space="preserve"> is de door de adviseur te vergoeden schade beperkt tot een bedrag gelijk aan het totaal van de advieskosten van de adviseur binnen het project.</w:t>
            </w:r>
          </w:p>
          <w:p w:rsidR="006A5713" w:rsidRPr="00746F57" w:rsidRDefault="006A5713" w:rsidP="00D33E55"/>
        </w:tc>
      </w:tr>
      <w:tr w:rsidR="006A5713">
        <w:tc>
          <w:tcPr>
            <w:tcW w:w="2808" w:type="dxa"/>
          </w:tcPr>
          <w:p w:rsidR="006A5713" w:rsidRDefault="00B40049" w:rsidP="00D33E55">
            <w:r>
              <w:t xml:space="preserve">Ad Artikel 16 </w:t>
            </w:r>
          </w:p>
          <w:p w:rsidR="006A5713" w:rsidRDefault="00B40049" w:rsidP="00D33E55">
            <w:r>
              <w:t>Aansprakelijkheidsduur en vervaltermijnen</w:t>
            </w:r>
          </w:p>
        </w:tc>
        <w:tc>
          <w:tcPr>
            <w:tcW w:w="5580" w:type="dxa"/>
          </w:tcPr>
          <w:p w:rsidR="006A5713" w:rsidRDefault="00B40049" w:rsidP="00D33E55">
            <w:r>
              <w:t>1.1</w:t>
            </w:r>
          </w:p>
          <w:p w:rsidR="006A5713" w:rsidRDefault="00B40049" w:rsidP="00D33E55">
            <w:r>
              <w:t>Verjaring van de aansprakelijkheid</w:t>
            </w:r>
          </w:p>
          <w:p w:rsidR="006A5713" w:rsidRDefault="00B40049" w:rsidP="00D33E55">
            <w:r>
              <w:t xml:space="preserve">In afwijking van het bepaalde in artikel 16, lid 1 van de </w:t>
            </w:r>
            <w:r w:rsidR="00C40894">
              <w:t>DNR 2011</w:t>
            </w:r>
            <w:r>
              <w:t xml:space="preserve"> dient gelezen te worden dat de aansprakelijkheid van de adviseur verjaart na vijf jaren vanaf de dag waarop de opdracht door voltooiing of opzegging is beëindigd.</w:t>
            </w:r>
          </w:p>
          <w:p w:rsidR="006A5713" w:rsidRDefault="006A5713" w:rsidP="00D33E55"/>
          <w:p w:rsidR="00D3753D" w:rsidRDefault="00D3753D" w:rsidP="00D33E55">
            <w:r>
              <w:t>2.1</w:t>
            </w:r>
          </w:p>
          <w:p w:rsidR="00D3753D" w:rsidRDefault="00D3753D" w:rsidP="00D33E55">
            <w:r>
              <w:t>Verjaring van het vorderingsrecht</w:t>
            </w:r>
          </w:p>
          <w:p w:rsidR="00D3753D" w:rsidRDefault="00D3753D" w:rsidP="00D33E55">
            <w:r>
              <w:t>In afwijking van het bepaalde in Artikel 16, lid 2 van de DNR 2011 dient te worden gelezen dat het vorderingsrecht uit hoofde van een toerekenbare tekortkoming van de adviseur verjaart indien de Opdrachtgever niet binnen bekwame tijd nadat hij de tekortkoming heeft ontdekt of redelijkerwijs had behoren te ontdekken, schriftelijk en met redenen omkleed bij de adviseur ter zake heeft geprotesteerd.</w:t>
            </w:r>
          </w:p>
          <w:p w:rsidR="00D3753D" w:rsidRDefault="00D3753D" w:rsidP="00D33E55">
            <w:r>
              <w:t xml:space="preserve"> De opdrachtgever kan de verjaring stuiten.</w:t>
            </w:r>
          </w:p>
          <w:p w:rsidR="00D3753D" w:rsidRDefault="00D3753D" w:rsidP="00D33E55"/>
        </w:tc>
      </w:tr>
      <w:tr w:rsidR="006A5713">
        <w:tc>
          <w:tcPr>
            <w:tcW w:w="2808" w:type="dxa"/>
          </w:tcPr>
          <w:p w:rsidR="006A5713" w:rsidRDefault="006A5713" w:rsidP="00D33E55"/>
        </w:tc>
        <w:tc>
          <w:tcPr>
            <w:tcW w:w="5580" w:type="dxa"/>
          </w:tcPr>
          <w:p w:rsidR="006A5713" w:rsidRDefault="00B40049" w:rsidP="00D33E55">
            <w:r>
              <w:t>3.1</w:t>
            </w:r>
          </w:p>
          <w:p w:rsidR="006A5713" w:rsidRDefault="00B40049" w:rsidP="00D33E55">
            <w:r>
              <w:t>Verjaring van het vorderingsrecht</w:t>
            </w:r>
          </w:p>
          <w:p w:rsidR="006A5713" w:rsidRDefault="00B40049" w:rsidP="00D33E55">
            <w:r>
              <w:t xml:space="preserve">In afwijking van het bepaalde in Artikel 16, lid 3 van de </w:t>
            </w:r>
            <w:r w:rsidR="00C40894">
              <w:t>DNR 2011</w:t>
            </w:r>
            <w:r>
              <w:t xml:space="preserve"> dient te worden gelezen dat het vorderingsrecht uit hoofde van een toerekenbare tekortkoming van de adviseur verjaart door verloop van vijf jaren na de schriftelijke en met redenen omklede </w:t>
            </w:r>
            <w:r w:rsidR="006B14F9" w:rsidRPr="00746F57">
              <w:t>protest</w:t>
            </w:r>
            <w:r>
              <w:t>. De opdrachtgever kan de verjaring stuiten.</w:t>
            </w:r>
          </w:p>
          <w:p w:rsidR="00D3753D" w:rsidRDefault="00D3753D" w:rsidP="00D33E55"/>
          <w:p w:rsidR="00D3753D" w:rsidRDefault="00D3753D" w:rsidP="00D33E55">
            <w:r>
              <w:t>4.1</w:t>
            </w:r>
          </w:p>
          <w:p w:rsidR="00D3753D" w:rsidRDefault="00D3753D" w:rsidP="00D33E55">
            <w:r>
              <w:t>Verjaring van het vorderingsrecht</w:t>
            </w:r>
          </w:p>
          <w:p w:rsidR="00D3753D" w:rsidRDefault="00D3753D" w:rsidP="00D33E55">
            <w:r>
              <w:t xml:space="preserve">In afwijking van het bepaalde in Artikel 16, lid 3 van de DNR 2011 dient te worden gelezen dat het vorderingsrecht uit hoofde van </w:t>
            </w:r>
            <w:r>
              <w:lastRenderedPageBreak/>
              <w:t xml:space="preserve">een toerekenbare tekortkoming van de adviseur verjaart door verloop van vijf jaren na de schriftelijke en met redenen omklede </w:t>
            </w:r>
            <w:r w:rsidRPr="00746F57">
              <w:t>protest</w:t>
            </w:r>
            <w:r>
              <w:t>. De opdrachtgever kan de verjaring stuiten.</w:t>
            </w:r>
          </w:p>
          <w:p w:rsidR="00D3753D" w:rsidRDefault="00D3753D" w:rsidP="00D33E55"/>
          <w:p w:rsidR="00D3753D" w:rsidRDefault="00D3753D" w:rsidP="00D33E55">
            <w:r>
              <w:t>8.1</w:t>
            </w:r>
          </w:p>
          <w:p w:rsidR="00D3753D" w:rsidRDefault="00D3753D" w:rsidP="00D33E55">
            <w:r>
              <w:t>Verjaring van het vorderingsrecht</w:t>
            </w:r>
          </w:p>
          <w:p w:rsidR="00D3753D" w:rsidRDefault="00D3753D" w:rsidP="00D33E55">
            <w:r>
              <w:t>In afwijking van het bepaalde in Artikel 16, lid 8 van de DNR 2011 dient te worden gelezen dat indien de rechtsvordering krachtens het bepaalde in de vorige leden zou verjaren tussen het tijdstip waarop de adviseur aan de opdrachtgever heeft medegedeeld dat hij de tekortkoming zal onderzoeken of herstellen en het tijdstip waarop hij het onderzoek en de pogingen tot herstel kennelijk als beëindigd beschouwt, wordt de verjaringstermijn verlengd tot zes maanden na laatstgenoemd tijdstip.</w:t>
            </w:r>
          </w:p>
          <w:p w:rsidR="00D3753D" w:rsidRDefault="00D3753D" w:rsidP="00D33E55">
            <w:r>
              <w:t>De opdrachtgever kan de verjaring stuiten.</w:t>
            </w:r>
          </w:p>
          <w:p w:rsidR="00D3753D" w:rsidRDefault="00D3753D" w:rsidP="00D33E55"/>
          <w:p w:rsidR="00D3753D" w:rsidRDefault="00D3753D" w:rsidP="00D33E55"/>
          <w:p w:rsidR="006A5713" w:rsidRDefault="006A5713" w:rsidP="00D33E55"/>
        </w:tc>
      </w:tr>
    </w:tbl>
    <w:p w:rsidR="006A5713" w:rsidRDefault="006A5713" w:rsidP="00D33E55">
      <w:pPr>
        <w:sectPr w:rsidR="006A5713">
          <w:headerReference w:type="even" r:id="rId22"/>
          <w:headerReference w:type="default" r:id="rId23"/>
          <w:pgSz w:w="11906" w:h="16838"/>
          <w:pgMar w:top="1418" w:right="454" w:bottom="1418" w:left="3119" w:header="709" w:footer="709" w:gutter="0"/>
          <w:cols w:space="708"/>
          <w:docGrid w:linePitch="360"/>
        </w:sectPr>
      </w:pPr>
    </w:p>
    <w:p w:rsidR="006A5713" w:rsidRDefault="00B40049" w:rsidP="00D33E55">
      <w:r>
        <w:br w:type="page"/>
      </w:r>
    </w:p>
    <w:tbl>
      <w:tblPr>
        <w:tblW w:w="0" w:type="auto"/>
        <w:tblLook w:val="01E0" w:firstRow="1" w:lastRow="1" w:firstColumn="1" w:lastColumn="1" w:noHBand="0" w:noVBand="0"/>
      </w:tblPr>
      <w:tblGrid>
        <w:gridCol w:w="2793"/>
        <w:gridCol w:w="5540"/>
      </w:tblGrid>
      <w:tr w:rsidR="006A5713">
        <w:tc>
          <w:tcPr>
            <w:tcW w:w="2808" w:type="dxa"/>
          </w:tcPr>
          <w:p w:rsidR="006A5713" w:rsidRPr="00746F57" w:rsidRDefault="00B40049" w:rsidP="00D33E55">
            <w:r w:rsidRPr="00746F57">
              <w:lastRenderedPageBreak/>
              <w:t xml:space="preserve">Ad Artikel 20 </w:t>
            </w:r>
          </w:p>
          <w:p w:rsidR="006A5713" w:rsidRDefault="00B40049" w:rsidP="00D33E55">
            <w:r w:rsidRPr="00746F57">
              <w:t>Gevolgen van vertraging of onderbreking van de opdracht</w:t>
            </w:r>
          </w:p>
        </w:tc>
        <w:tc>
          <w:tcPr>
            <w:tcW w:w="5580" w:type="dxa"/>
          </w:tcPr>
          <w:p w:rsidR="006A5713" w:rsidRDefault="008B0759" w:rsidP="00D33E55">
            <w:r>
              <w:t>2</w:t>
            </w:r>
            <w:r w:rsidR="00B40049">
              <w:t>.1</w:t>
            </w:r>
          </w:p>
          <w:p w:rsidR="006A5713" w:rsidRDefault="00B40049" w:rsidP="00D33E55">
            <w:r>
              <w:t>Overleg over beperking van de kosten</w:t>
            </w:r>
          </w:p>
          <w:p w:rsidR="006A5713" w:rsidRDefault="00B40049" w:rsidP="00D33E55">
            <w:r>
              <w:t xml:space="preserve">In aanvulling op Artikel 20, lid </w:t>
            </w:r>
            <w:r w:rsidR="008B0759">
              <w:t xml:space="preserve">2 </w:t>
            </w:r>
            <w:r>
              <w:t xml:space="preserve">van de </w:t>
            </w:r>
            <w:r w:rsidR="00C40894">
              <w:t>DNR 2011</w:t>
            </w:r>
            <w:r>
              <w:t xml:space="preserve"> geldt, dat de adviseur gehouden is de kosten zoveel mogelijk te beperken. De adviseur en de opdrachtgever zullen in overleg treden om te bespreken hoe de kosten kunnen worden beperkt.</w:t>
            </w:r>
          </w:p>
          <w:p w:rsidR="006A5713" w:rsidRDefault="006A5713" w:rsidP="00D33E55"/>
        </w:tc>
      </w:tr>
      <w:tr w:rsidR="006A5713">
        <w:tc>
          <w:tcPr>
            <w:tcW w:w="2808" w:type="dxa"/>
          </w:tcPr>
          <w:p w:rsidR="006A5713" w:rsidRDefault="006A5713" w:rsidP="00D33E55"/>
        </w:tc>
        <w:tc>
          <w:tcPr>
            <w:tcW w:w="5580" w:type="dxa"/>
          </w:tcPr>
          <w:p w:rsidR="006A5713" w:rsidRDefault="008B0759" w:rsidP="00D33E55">
            <w:r>
              <w:t>3</w:t>
            </w:r>
            <w:r w:rsidR="00B40049">
              <w:t>.1</w:t>
            </w:r>
          </w:p>
          <w:p w:rsidR="006A5713" w:rsidRDefault="00B40049" w:rsidP="00D33E55">
            <w:r>
              <w:t>Vergoeding schade van onderbreking of vertraging aan adviseur</w:t>
            </w:r>
          </w:p>
          <w:p w:rsidR="006A5713" w:rsidRDefault="00B40049" w:rsidP="00D33E55">
            <w:r>
              <w:t xml:space="preserve">Artikel 20, lid </w:t>
            </w:r>
            <w:r w:rsidR="008B0759">
              <w:t xml:space="preserve">3 </w:t>
            </w:r>
            <w:r>
              <w:t xml:space="preserve">van de </w:t>
            </w:r>
            <w:r w:rsidR="00C40894">
              <w:t>DNR 2011</w:t>
            </w:r>
            <w:r>
              <w:t xml:space="preserve"> is niet van toepassing</w:t>
            </w:r>
            <w:r w:rsidR="00EA64DA">
              <w:t>.</w:t>
            </w:r>
          </w:p>
        </w:tc>
      </w:tr>
    </w:tbl>
    <w:p w:rsidR="006A5713" w:rsidRDefault="006A5713" w:rsidP="00D33E55"/>
    <w:p w:rsidR="006A5713" w:rsidRDefault="006A5713" w:rsidP="00D33E55"/>
    <w:p w:rsidR="006A5713" w:rsidRDefault="006A5713" w:rsidP="00D33E55">
      <w:pPr>
        <w:sectPr w:rsidR="006A5713">
          <w:headerReference w:type="default" r:id="rId24"/>
          <w:type w:val="continuous"/>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96"/>
        <w:gridCol w:w="5537"/>
      </w:tblGrid>
      <w:tr w:rsidR="006A5713">
        <w:tc>
          <w:tcPr>
            <w:tcW w:w="2808" w:type="dxa"/>
          </w:tcPr>
          <w:p w:rsidR="006A5713" w:rsidRDefault="00B40049" w:rsidP="00D33E55">
            <w:r>
              <w:lastRenderedPageBreak/>
              <w:t>Ad Artikel 21</w:t>
            </w:r>
          </w:p>
          <w:p w:rsidR="006A5713" w:rsidRDefault="00B40049" w:rsidP="00D33E55">
            <w:r>
              <w:t>Wijze van opzeggen</w:t>
            </w:r>
          </w:p>
        </w:tc>
        <w:tc>
          <w:tcPr>
            <w:tcW w:w="5580" w:type="dxa"/>
          </w:tcPr>
          <w:p w:rsidR="006A5713" w:rsidRDefault="00B40049" w:rsidP="00D33E55">
            <w:r>
              <w:t>0.1</w:t>
            </w:r>
          </w:p>
          <w:p w:rsidR="006A5713" w:rsidRDefault="00B40049" w:rsidP="00D33E55">
            <w:r>
              <w:t>Gefaseerde opdracht en opzegging</w:t>
            </w:r>
          </w:p>
          <w:p w:rsidR="006A5713" w:rsidRDefault="00B40049" w:rsidP="00D33E55">
            <w:r>
              <w:t xml:space="preserve">De projectbevoegde verleent aan de adviseur opdracht per fase. Opdracht voor een bepaalde fase geeft de adviseur geen recht op een vervolgopdracht voor de volgende fase; beëindiging van de opdracht na afronding van een fase wordt niet aangemerkt als een opzegging als bedoeld in de hoofdstukken 8 en 9 van de </w:t>
            </w:r>
            <w:r w:rsidR="00C40894">
              <w:t>DNR 2011</w:t>
            </w:r>
            <w:r>
              <w:t xml:space="preserve">. De artikelen van hoofdstuk 10 van de </w:t>
            </w:r>
            <w:r w:rsidR="00C40894">
              <w:t>DNR 2011</w:t>
            </w:r>
            <w:r>
              <w:t xml:space="preserve"> met betrekking tot de betalingsverplichting zijn </w:t>
            </w:r>
            <w:r w:rsidR="00E01AD8">
              <w:t>bij beëindiging van de opdracht na afronding van een fase</w:t>
            </w:r>
            <w:r w:rsidR="003A498E">
              <w:t xml:space="preserve"> </w:t>
            </w:r>
            <w:r>
              <w:t>dan ook niet van toepassing.</w:t>
            </w:r>
          </w:p>
          <w:p w:rsidR="006A5713" w:rsidRDefault="006A5713" w:rsidP="00D33E55"/>
        </w:tc>
      </w:tr>
      <w:tr w:rsidR="00873D1B">
        <w:tc>
          <w:tcPr>
            <w:tcW w:w="2808" w:type="dxa"/>
          </w:tcPr>
          <w:p w:rsidR="00873D1B" w:rsidRPr="00484CC2" w:rsidRDefault="006B14F9" w:rsidP="00D33E55">
            <w:r w:rsidRPr="00484CC2">
              <w:t>Ad Artikel 22</w:t>
            </w:r>
          </w:p>
          <w:p w:rsidR="00873D1B" w:rsidRPr="00484CC2" w:rsidRDefault="006B14F9" w:rsidP="00D33E55">
            <w:r w:rsidRPr="00484CC2">
              <w:t>Limitatieve regeling opzeggingsgronden</w:t>
            </w:r>
          </w:p>
          <w:p w:rsidR="00873D1B" w:rsidRPr="00484CC2" w:rsidRDefault="00873D1B" w:rsidP="00D33E55"/>
        </w:tc>
        <w:tc>
          <w:tcPr>
            <w:tcW w:w="5580" w:type="dxa"/>
          </w:tcPr>
          <w:p w:rsidR="00873D1B" w:rsidRPr="00484CC2" w:rsidRDefault="006B14F9" w:rsidP="00D33E55">
            <w:r w:rsidRPr="00484CC2">
              <w:t>0.1</w:t>
            </w:r>
          </w:p>
          <w:p w:rsidR="00873D1B" w:rsidRPr="00484CC2" w:rsidRDefault="006B14F9" w:rsidP="00D33E55">
            <w:r w:rsidRPr="00484CC2">
              <w:t>Gronden voor opzegging</w:t>
            </w:r>
          </w:p>
          <w:p w:rsidR="00873D1B" w:rsidRPr="00484CC2" w:rsidRDefault="006B14F9" w:rsidP="00D33E55">
            <w:r w:rsidRPr="00484CC2">
              <w:t>De lijst met gronden voor opzegging als opgenomen in Artikel 25 van de DNR 2011 is niet limitatief.</w:t>
            </w:r>
          </w:p>
        </w:tc>
      </w:tr>
    </w:tbl>
    <w:p w:rsidR="006A5713" w:rsidRDefault="006A5713" w:rsidP="00D33E55">
      <w:pPr>
        <w:sectPr w:rsidR="006A5713">
          <w:headerReference w:type="default" r:id="rId25"/>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91"/>
        <w:gridCol w:w="5542"/>
      </w:tblGrid>
      <w:tr w:rsidR="006A5713">
        <w:tc>
          <w:tcPr>
            <w:tcW w:w="2808" w:type="dxa"/>
          </w:tcPr>
          <w:p w:rsidR="006A5713" w:rsidRDefault="00B40049" w:rsidP="00D33E55">
            <w:r>
              <w:lastRenderedPageBreak/>
              <w:t>Ad Artikel 25</w:t>
            </w:r>
          </w:p>
          <w:p w:rsidR="006A5713" w:rsidRDefault="00B40049" w:rsidP="00D33E55">
            <w:r>
              <w:t>Gronden voor opzegging van de opdracht</w:t>
            </w:r>
          </w:p>
        </w:tc>
        <w:tc>
          <w:tcPr>
            <w:tcW w:w="5580" w:type="dxa"/>
          </w:tcPr>
          <w:p w:rsidR="006A5713" w:rsidRDefault="00B40049" w:rsidP="00D33E55">
            <w:r>
              <w:t>1.1</w:t>
            </w:r>
          </w:p>
          <w:p w:rsidR="006A5713" w:rsidRDefault="00B40049" w:rsidP="00D33E55">
            <w:r>
              <w:t>Conflict met gebruikers</w:t>
            </w:r>
          </w:p>
          <w:p w:rsidR="006A5713" w:rsidRDefault="00B40049" w:rsidP="00D33E55">
            <w:r>
              <w:t xml:space="preserve">In aanvulling op het gestelde in Artikel 25 van de </w:t>
            </w:r>
            <w:r w:rsidR="00C40894">
              <w:t>DNR 2011</w:t>
            </w:r>
            <w:r>
              <w:t xml:space="preserve"> geldt als opzeggingsgrond:</w:t>
            </w:r>
          </w:p>
          <w:p w:rsidR="006A5713" w:rsidRDefault="00B40049" w:rsidP="00D33E55">
            <w:r>
              <w:t>een conflict tussen de adviseur en de (toekomstige) gebruikers van het object.</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1.2</w:t>
            </w:r>
          </w:p>
          <w:p w:rsidR="006A5713" w:rsidRDefault="00B40049" w:rsidP="00D33E55">
            <w:r>
              <w:t>Gronden voor opzegging</w:t>
            </w:r>
          </w:p>
          <w:p w:rsidR="006A5713" w:rsidRDefault="00B40049" w:rsidP="00D33E55">
            <w:r>
              <w:t xml:space="preserve">De lijst met gronden voor opzegging als opgenomen in Artikel 25 van de </w:t>
            </w:r>
            <w:r w:rsidR="00C40894">
              <w:t>DNR 2011</w:t>
            </w:r>
            <w:r>
              <w:t xml:space="preserve"> is niet limitatief.</w:t>
            </w:r>
          </w:p>
          <w:p w:rsidR="006A5713" w:rsidRDefault="006A5713" w:rsidP="00D33E55"/>
        </w:tc>
      </w:tr>
    </w:tbl>
    <w:p w:rsidR="006A5713" w:rsidRDefault="006A5713" w:rsidP="00D33E55">
      <w:pPr>
        <w:sectPr w:rsidR="006A5713">
          <w:headerReference w:type="even" r:id="rId26"/>
          <w:headerReference w:type="default" r:id="rId27"/>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98"/>
        <w:gridCol w:w="5535"/>
      </w:tblGrid>
      <w:tr w:rsidR="006A5713">
        <w:tc>
          <w:tcPr>
            <w:tcW w:w="2808" w:type="dxa"/>
          </w:tcPr>
          <w:p w:rsidR="006A5713" w:rsidRDefault="00B40049" w:rsidP="00D33E55">
            <w:r>
              <w:lastRenderedPageBreak/>
              <w:t>Ad Artikel 33</w:t>
            </w:r>
          </w:p>
          <w:p w:rsidR="006A5713" w:rsidRDefault="00B40049" w:rsidP="00D33E55">
            <w:r>
              <w:t>Betalingsverplichting na opzegging zonder grond door de opdrachtgever</w:t>
            </w:r>
          </w:p>
        </w:tc>
        <w:tc>
          <w:tcPr>
            <w:tcW w:w="5580" w:type="dxa"/>
          </w:tcPr>
          <w:p w:rsidR="006A5713" w:rsidRDefault="00B40049" w:rsidP="00D33E55">
            <w:r>
              <w:t>2.1</w:t>
            </w:r>
          </w:p>
          <w:p w:rsidR="006A5713" w:rsidRDefault="00B40049" w:rsidP="00D33E55">
            <w:r>
              <w:t>10% van resterende deel advieskosten</w:t>
            </w:r>
          </w:p>
          <w:p w:rsidR="006A5713" w:rsidRDefault="00B40049" w:rsidP="00D33E55">
            <w:r>
              <w:t xml:space="preserve">In afwijking van Artikel 33, lid 2 van de </w:t>
            </w:r>
            <w:r w:rsidR="00C40894">
              <w:t>DNR 2011</w:t>
            </w:r>
            <w:r>
              <w:t xml:space="preserve"> dient voor “opdracht” te worden gelezen: “opdracht voor de betreffende fase”. </w:t>
            </w:r>
          </w:p>
          <w:p w:rsidR="006A5713" w:rsidRDefault="006A5713" w:rsidP="00D33E55"/>
        </w:tc>
      </w:tr>
      <w:tr w:rsidR="006A5713">
        <w:tc>
          <w:tcPr>
            <w:tcW w:w="2808" w:type="dxa"/>
          </w:tcPr>
          <w:p w:rsidR="006A5713" w:rsidRDefault="00B40049" w:rsidP="00D33E55">
            <w:r>
              <w:t>Ad Artikel 39</w:t>
            </w:r>
          </w:p>
          <w:p w:rsidR="006A5713" w:rsidRDefault="00B40049" w:rsidP="00D33E55">
            <w:r>
              <w:t>Betalingsverplichting na opzegging door de opdrachtgever op een grond gelegen bij de opdrachtgever</w:t>
            </w:r>
          </w:p>
        </w:tc>
        <w:tc>
          <w:tcPr>
            <w:tcW w:w="5580" w:type="dxa"/>
          </w:tcPr>
          <w:p w:rsidR="006A5713" w:rsidRDefault="00B40049" w:rsidP="00D33E55">
            <w:r>
              <w:t>2.1</w:t>
            </w:r>
          </w:p>
          <w:p w:rsidR="006A5713" w:rsidRDefault="00B40049" w:rsidP="00D33E55">
            <w:r>
              <w:t>10% van resterende deel advieskosten</w:t>
            </w:r>
          </w:p>
          <w:p w:rsidR="006A5713" w:rsidRDefault="00B40049" w:rsidP="00D33E55">
            <w:r>
              <w:t xml:space="preserve">In afwijking van Artikel 39, lid 2 van de </w:t>
            </w:r>
            <w:r w:rsidR="00C40894">
              <w:t>DNR 2011</w:t>
            </w:r>
            <w:r>
              <w:t xml:space="preserve"> dient voor “opdracht” te worden gelezen: “opdracht voor de betreffende fase”.</w:t>
            </w:r>
          </w:p>
          <w:p w:rsidR="006A5713" w:rsidRDefault="006A5713" w:rsidP="00D33E55"/>
          <w:p w:rsidR="006A5713" w:rsidRDefault="006A5713" w:rsidP="00D33E55"/>
        </w:tc>
      </w:tr>
      <w:tr w:rsidR="006A5713">
        <w:tc>
          <w:tcPr>
            <w:tcW w:w="2808" w:type="dxa"/>
          </w:tcPr>
          <w:p w:rsidR="006A5713" w:rsidRDefault="00B40049" w:rsidP="00D33E55">
            <w:r>
              <w:t>Ad Artikel 41</w:t>
            </w:r>
          </w:p>
          <w:p w:rsidR="006A5713" w:rsidRDefault="00B40049" w:rsidP="00D33E55">
            <w:r>
              <w:t>Betalingsverplichting na opzegging door de adviseur op een grond gelegen bij de opdrachtgever</w:t>
            </w:r>
          </w:p>
        </w:tc>
        <w:tc>
          <w:tcPr>
            <w:tcW w:w="5580" w:type="dxa"/>
          </w:tcPr>
          <w:p w:rsidR="006A5713" w:rsidRDefault="00B40049" w:rsidP="00D33E55">
            <w:r>
              <w:t>2.1</w:t>
            </w:r>
          </w:p>
          <w:p w:rsidR="006A5713" w:rsidRDefault="00B40049" w:rsidP="00D33E55">
            <w:r>
              <w:t>10% van resterende deel advieskosten</w:t>
            </w:r>
          </w:p>
          <w:p w:rsidR="006A5713" w:rsidRDefault="00B40049" w:rsidP="00D33E55">
            <w:r>
              <w:t xml:space="preserve">In afwijking van Artikel 41, lid 2 van de </w:t>
            </w:r>
            <w:r w:rsidR="00C40894">
              <w:t>DNR 2011</w:t>
            </w:r>
            <w:r>
              <w:t xml:space="preserve"> dient voor “opdracht” te worden gelezen: “opdracht voor de betreffende fase”.</w:t>
            </w:r>
          </w:p>
        </w:tc>
      </w:tr>
    </w:tbl>
    <w:p w:rsidR="006A5713" w:rsidRDefault="006A5713" w:rsidP="00D33E55">
      <w:pPr>
        <w:sectPr w:rsidR="006A5713">
          <w:headerReference w:type="default" r:id="rId28"/>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89"/>
        <w:gridCol w:w="5544"/>
      </w:tblGrid>
      <w:tr w:rsidR="006A5713">
        <w:tc>
          <w:tcPr>
            <w:tcW w:w="2808" w:type="dxa"/>
          </w:tcPr>
          <w:p w:rsidR="006A5713" w:rsidRDefault="00B40049" w:rsidP="00D33E55">
            <w:r>
              <w:lastRenderedPageBreak/>
              <w:t>Ad Artikel 45</w:t>
            </w:r>
          </w:p>
          <w:p w:rsidR="006A5713" w:rsidRDefault="00B40049" w:rsidP="00D33E55">
            <w:r>
              <w:t>Eigendom van documenten</w:t>
            </w:r>
          </w:p>
        </w:tc>
        <w:tc>
          <w:tcPr>
            <w:tcW w:w="5580" w:type="dxa"/>
          </w:tcPr>
          <w:p w:rsidR="006A5713" w:rsidRDefault="00B40049" w:rsidP="00D33E55">
            <w:r>
              <w:t>0.1</w:t>
            </w:r>
          </w:p>
          <w:p w:rsidR="006A5713" w:rsidRDefault="00B40049" w:rsidP="00D33E55">
            <w:r>
              <w:t>Gebruik van documenten door de adviseur</w:t>
            </w:r>
          </w:p>
          <w:p w:rsidR="006A5713" w:rsidRDefault="00B40049" w:rsidP="00D33E55">
            <w:r>
              <w:t xml:space="preserve">De door de projectbevoegde aan de adviseur verstrekte documenten blijven eigendom van de opdrachtgever en dienen op verzoek van de opdrachtgever te worden geretourneerd. Het is de adviseur buiten het kader van de opdracht niet toegestaan van deze documenten – in hun geheel of van onderdelen – gebruik te maken, zonder uitdrukkelijke toestemming van de projectbevoegde. De projectbevoegde is bevoegd om aan het geven van die toestemming voorwaarden te verbinden. </w:t>
            </w:r>
          </w:p>
          <w:p w:rsidR="006A5713" w:rsidRDefault="006A5713" w:rsidP="00D33E55"/>
        </w:tc>
      </w:tr>
      <w:tr w:rsidR="006A5713">
        <w:tc>
          <w:tcPr>
            <w:tcW w:w="2808" w:type="dxa"/>
          </w:tcPr>
          <w:p w:rsidR="006A5713" w:rsidRDefault="00B40049" w:rsidP="00D33E55">
            <w:r>
              <w:t>Ad Artikel 46</w:t>
            </w:r>
          </w:p>
          <w:p w:rsidR="006A5713" w:rsidRDefault="00B40049" w:rsidP="00D33E55">
            <w:r>
              <w:t>Auteursrecht van de adviseur</w:t>
            </w:r>
          </w:p>
        </w:tc>
        <w:tc>
          <w:tcPr>
            <w:tcW w:w="5580" w:type="dxa"/>
          </w:tcPr>
          <w:p w:rsidR="006A5713" w:rsidRDefault="00B40049" w:rsidP="00D33E55">
            <w:r>
              <w:t>0.1</w:t>
            </w:r>
          </w:p>
          <w:p w:rsidR="006A5713" w:rsidRDefault="00B40049" w:rsidP="00D33E55">
            <w:r>
              <w:t>Openbaarmaking</w:t>
            </w:r>
          </w:p>
          <w:p w:rsidR="006A5713" w:rsidRDefault="00B40049" w:rsidP="00D33E55">
            <w:r>
              <w:t xml:space="preserve">Contacten </w:t>
            </w:r>
            <w:proofErr w:type="spellStart"/>
            <w:r>
              <w:t>terzake</w:t>
            </w:r>
            <w:proofErr w:type="spellEnd"/>
            <w:r>
              <w:t xml:space="preserve"> van het project met de pers en andere media gaat de adviseur alleen aan met schriftelijke</w:t>
            </w:r>
            <w:r>
              <w:rPr>
                <w:i/>
                <w:iCs/>
              </w:rPr>
              <w:t xml:space="preserve"> </w:t>
            </w:r>
            <w:r>
              <w:t xml:space="preserve">goedkeuring van de projectbevoegde. Een verzoek tot toestemming wordt door de adviseur voorgelegd aan de projectbevoegde. Het verzoek wordt vergezeld van de concepttekst van de publicatie waarin </w:t>
            </w:r>
            <w:r w:rsidR="00E610D0">
              <w:t>het Rijksvastgoedbedrijf</w:t>
            </w:r>
            <w:r>
              <w:t xml:space="preserve"> als opdrachtgever wordt vermeld.</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1.1</w:t>
            </w:r>
          </w:p>
          <w:p w:rsidR="006A5713" w:rsidRDefault="00B40049" w:rsidP="00D33E55">
            <w:r>
              <w:t>Licentie</w:t>
            </w:r>
          </w:p>
          <w:p w:rsidR="006A5713" w:rsidRDefault="00B40049" w:rsidP="00D33E55">
            <w:r>
              <w:t xml:space="preserve">In afwijking van Artikel 46, lid 1 van de </w:t>
            </w:r>
            <w:r w:rsidR="00C40894">
              <w:t>DNR 2011</w:t>
            </w:r>
            <w:r>
              <w:t xml:space="preserve"> verleent de adviseur, met het aanvaarden van de opdracht, aan de opdrachtgever licentie en alle overige medewerking tot alle openbaarmakings- en verveelvoudigingshandelingen in de meest ruime zin van tekeningen, schetsen, foto’s en alle andere afbeeldingen van het bouwproject. De vergoeding voor deze licentie is begrepen in het honorarium. Openbaarmaking door de opdrachtgever vindt plaats onder vermelding van de naam van de adviseur of andere aanduiding als maker</w:t>
            </w:r>
            <w:r w:rsidR="007B2308">
              <w:t>.</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3.1</w:t>
            </w:r>
          </w:p>
          <w:p w:rsidR="006A5713" w:rsidRDefault="00B40049" w:rsidP="00D33E55">
            <w:r>
              <w:t>Enige recht van foto’s en andere afbeeldingen</w:t>
            </w:r>
          </w:p>
          <w:p w:rsidR="006A5713" w:rsidRDefault="00B40049" w:rsidP="00D33E55">
            <w:r>
              <w:t xml:space="preserve">Artikel 46, lid 3 van de </w:t>
            </w:r>
            <w:r w:rsidR="00C40894">
              <w:t>DNR 2011</w:t>
            </w:r>
            <w:r>
              <w:t xml:space="preserve"> blijft buiten toepassing.</w:t>
            </w:r>
            <w:r>
              <w:br/>
            </w:r>
          </w:p>
        </w:tc>
      </w:tr>
      <w:tr w:rsidR="006A5713">
        <w:tc>
          <w:tcPr>
            <w:tcW w:w="2808" w:type="dxa"/>
          </w:tcPr>
          <w:p w:rsidR="006A5713" w:rsidRDefault="00B40049" w:rsidP="00D33E55">
            <w:r>
              <w:t>Ad Artikel 47</w:t>
            </w:r>
          </w:p>
          <w:p w:rsidR="006A5713" w:rsidRDefault="00B40049" w:rsidP="00D33E55">
            <w:r>
              <w:t>De uitvoering van het object</w:t>
            </w:r>
          </w:p>
        </w:tc>
        <w:tc>
          <w:tcPr>
            <w:tcW w:w="5580" w:type="dxa"/>
          </w:tcPr>
          <w:p w:rsidR="006A5713" w:rsidRDefault="00B40049" w:rsidP="00D33E55">
            <w:r>
              <w:t>2.1</w:t>
            </w:r>
          </w:p>
          <w:p w:rsidR="006A5713" w:rsidRDefault="00B40049" w:rsidP="00D33E55">
            <w:r>
              <w:t>Kosten overleg afwijkingen</w:t>
            </w:r>
          </w:p>
          <w:p w:rsidR="006A5713" w:rsidRDefault="00B40049" w:rsidP="00D33E55">
            <w:r>
              <w:t xml:space="preserve">In afwijking van het gestelde in Artikel 47, lid 2 van de </w:t>
            </w:r>
            <w:r w:rsidR="00C40894">
              <w:t>DNR 2011</w:t>
            </w:r>
            <w:r>
              <w:t xml:space="preserve">, zijn de kosten voor het overleg als bedoeld in Artikel 47, lid 1 van de </w:t>
            </w:r>
            <w:r w:rsidR="00C40894">
              <w:t>DNR 2011</w:t>
            </w:r>
            <w:r>
              <w:t xml:space="preserve"> begrepen in het honorarium van de adviseur.</w:t>
            </w:r>
          </w:p>
          <w:p w:rsidR="006A5713" w:rsidRDefault="006A5713" w:rsidP="00D33E55"/>
        </w:tc>
      </w:tr>
      <w:tr w:rsidR="006A5713">
        <w:tc>
          <w:tcPr>
            <w:tcW w:w="2808" w:type="dxa"/>
          </w:tcPr>
          <w:p w:rsidR="006A5713" w:rsidRDefault="00B40049" w:rsidP="00D33E55">
            <w:r>
              <w:t>Ad Artikel 48</w:t>
            </w:r>
          </w:p>
          <w:p w:rsidR="006A5713" w:rsidRDefault="00B40049" w:rsidP="00D33E55">
            <w:r>
              <w:t>Recht van herhaling van het advies</w:t>
            </w:r>
          </w:p>
        </w:tc>
        <w:tc>
          <w:tcPr>
            <w:tcW w:w="5580" w:type="dxa"/>
          </w:tcPr>
          <w:p w:rsidR="006A5713" w:rsidRDefault="00B40049" w:rsidP="00D33E55">
            <w:r>
              <w:t>1.1</w:t>
            </w:r>
          </w:p>
          <w:p w:rsidR="006A5713" w:rsidRDefault="00B40049" w:rsidP="00D33E55">
            <w:r>
              <w:t>Herhaling van het architectonisch ontwerp</w:t>
            </w:r>
          </w:p>
          <w:p w:rsidR="006A5713" w:rsidRDefault="00B40049" w:rsidP="00D33E55">
            <w:r>
              <w:t xml:space="preserve">In afwijking van Artikel 48, lid 1 van de </w:t>
            </w:r>
            <w:r w:rsidR="00C40894">
              <w:t>DNR 2011</w:t>
            </w:r>
            <w:r>
              <w:t xml:space="preserve"> heeft de adviseur het recht het werk te herhalen na schriftelijke toestemming van de opdrachtgever. </w:t>
            </w:r>
          </w:p>
          <w:p w:rsidR="006A5713" w:rsidRDefault="006A5713" w:rsidP="00D33E55"/>
        </w:tc>
      </w:tr>
    </w:tbl>
    <w:p w:rsidR="006A5713" w:rsidRDefault="006A5713" w:rsidP="00D33E55">
      <w:pPr>
        <w:sectPr w:rsidR="006A5713">
          <w:headerReference w:type="default" r:id="rId29"/>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92"/>
        <w:gridCol w:w="5541"/>
      </w:tblGrid>
      <w:tr w:rsidR="007B2308">
        <w:tc>
          <w:tcPr>
            <w:tcW w:w="2808" w:type="dxa"/>
          </w:tcPr>
          <w:p w:rsidR="007B2308" w:rsidRDefault="007B2308" w:rsidP="00D33E55">
            <w:r>
              <w:lastRenderedPageBreak/>
              <w:t xml:space="preserve">Ad Artikel 50 </w:t>
            </w:r>
          </w:p>
          <w:p w:rsidR="007B2308" w:rsidRDefault="007B2308" w:rsidP="00D33E55">
            <w:r>
              <w:t>Advieskosten</w:t>
            </w:r>
          </w:p>
        </w:tc>
        <w:tc>
          <w:tcPr>
            <w:tcW w:w="5580" w:type="dxa"/>
          </w:tcPr>
          <w:p w:rsidR="00C85248" w:rsidRPr="00C85248" w:rsidRDefault="00C85248" w:rsidP="00D33E55">
            <w:r w:rsidRPr="00C85248">
              <w:t xml:space="preserve">1.1 </w:t>
            </w:r>
          </w:p>
          <w:p w:rsidR="00C85248" w:rsidRPr="00C85248" w:rsidRDefault="00C85248" w:rsidP="00D33E55">
            <w:proofErr w:type="spellStart"/>
            <w:r w:rsidRPr="00C85248">
              <w:t>Toezichtskosten</w:t>
            </w:r>
            <w:proofErr w:type="spellEnd"/>
            <w:r w:rsidRPr="00C85248">
              <w:t xml:space="preserve"> </w:t>
            </w:r>
          </w:p>
          <w:p w:rsidR="00C85248" w:rsidRDefault="00C85248" w:rsidP="00D33E55">
            <w:r>
              <w:t>In afwijking van Artikel 50, lid 1 en 3 van de DNR 20</w:t>
            </w:r>
            <w:r w:rsidR="0038688A">
              <w:t>11</w:t>
            </w:r>
            <w:r>
              <w:t xml:space="preserve"> behoren de </w:t>
            </w:r>
            <w:proofErr w:type="spellStart"/>
            <w:r>
              <w:t>toezichtskosten</w:t>
            </w:r>
            <w:proofErr w:type="spellEnd"/>
            <w:r>
              <w:t xml:space="preserve"> niet tot de advieskosten. De opdrachtgever zal deze separaat aan een nader te bepalen partij opdragen. </w:t>
            </w:r>
          </w:p>
          <w:p w:rsidR="00C85248" w:rsidRDefault="00C85248" w:rsidP="00D33E55"/>
          <w:p w:rsidR="00CD3FBE" w:rsidRDefault="00CD3FBE" w:rsidP="00D33E55">
            <w:r>
              <w:t>4f.1</w:t>
            </w:r>
          </w:p>
          <w:p w:rsidR="00CD3FBE" w:rsidRDefault="00CD3FBE" w:rsidP="00D33E55">
            <w:r>
              <w:t>Telecommunicatie en porti</w:t>
            </w:r>
          </w:p>
          <w:p w:rsidR="00CD3FBE" w:rsidRDefault="00CD3FBE" w:rsidP="00D33E55">
            <w:r>
              <w:t>Kosten voor telecommunicatie en porti worden geacht tot de normale overheadkosten van de adviseur te behoren en kunnen derhalve door de adviseur niet als bijkomende kosten worden opgevoerd.</w:t>
            </w:r>
          </w:p>
          <w:p w:rsidR="007B2308" w:rsidRDefault="007B2308" w:rsidP="00D33E55"/>
        </w:tc>
      </w:tr>
      <w:tr w:rsidR="007B2308">
        <w:tc>
          <w:tcPr>
            <w:tcW w:w="2808" w:type="dxa"/>
          </w:tcPr>
          <w:p w:rsidR="007B2308" w:rsidRDefault="007B2308" w:rsidP="00D33E55">
            <w:r>
              <w:t xml:space="preserve">Ad Artikel 51 </w:t>
            </w:r>
          </w:p>
          <w:p w:rsidR="007B2308" w:rsidRDefault="007B2308" w:rsidP="00D33E55">
            <w:r>
              <w:t>Bepaling van advieskosten</w:t>
            </w:r>
          </w:p>
        </w:tc>
        <w:tc>
          <w:tcPr>
            <w:tcW w:w="5580" w:type="dxa"/>
          </w:tcPr>
          <w:p w:rsidR="007B2308" w:rsidRDefault="007B2308" w:rsidP="00D33E55">
            <w:r>
              <w:t>0.1</w:t>
            </w:r>
          </w:p>
          <w:p w:rsidR="007B2308" w:rsidRDefault="007B2308" w:rsidP="00D33E55">
            <w:r>
              <w:t>Honorarium</w:t>
            </w:r>
          </w:p>
          <w:p w:rsidR="007B2308" w:rsidRDefault="007B2308" w:rsidP="00D33E55">
            <w:r>
              <w:t>Tenzij in de schriftelijke opdracht anders is overeengekomen, is het honorarium een tussen partijen per fase en voorafgaand aan de totstandkoming van de opdracht overeengekomen vast bedrag.</w:t>
            </w:r>
          </w:p>
          <w:p w:rsidR="007B2308" w:rsidRDefault="007B2308" w:rsidP="00D33E55"/>
        </w:tc>
      </w:tr>
      <w:tr w:rsidR="007B2308">
        <w:tc>
          <w:tcPr>
            <w:tcW w:w="2808" w:type="dxa"/>
          </w:tcPr>
          <w:p w:rsidR="007B2308" w:rsidRDefault="007B2308" w:rsidP="00D33E55"/>
        </w:tc>
        <w:tc>
          <w:tcPr>
            <w:tcW w:w="5580" w:type="dxa"/>
          </w:tcPr>
          <w:p w:rsidR="007B2308" w:rsidRDefault="007B2308" w:rsidP="00D33E55">
            <w:r>
              <w:t>3e.4</w:t>
            </w:r>
          </w:p>
          <w:p w:rsidR="007B2308" w:rsidRDefault="007B2308" w:rsidP="00D33E55">
            <w:r>
              <w:t>Afkoop vergoeding van kosten</w:t>
            </w:r>
          </w:p>
          <w:p w:rsidR="007B2308" w:rsidRDefault="007B2308" w:rsidP="00D33E55">
            <w:r>
              <w:t>Indien de vergoeding van bijkomende kosten, zoals bedoeld in Artikel 50, lid 4 van de DNR 2011, wordt afgekocht, wordt het af te kopen bedrag uitgedrukt in een percentage van het honorarium als bedoeld in Artikel 51, lid 0.1 van de ABAA DNR 2011. Het percentage wordt vermeld in de opdracht. Bij het bepalen van het percentage dient ervan uit te worden gegaan dat het aantal exemplaren van de definitieve fasedocumenten niet meer dan 10 bedraagt. Daarnaast zal de adviseur deze documenten ter beschikking stellen aan de derden-adviseurs, in aantallen nodig voor het uitvoeren van de aan deze derden-adviseurs verstrekte opdrachten.</w:t>
            </w:r>
          </w:p>
          <w:p w:rsidR="007B2308" w:rsidRDefault="007B2308" w:rsidP="00D33E55"/>
        </w:tc>
      </w:tr>
      <w:tr w:rsidR="007B2308">
        <w:tc>
          <w:tcPr>
            <w:tcW w:w="2808" w:type="dxa"/>
          </w:tcPr>
          <w:p w:rsidR="007B2308" w:rsidRDefault="007B2308" w:rsidP="00D33E55">
            <w:r>
              <w:t xml:space="preserve">Ad Artikel 53 </w:t>
            </w:r>
          </w:p>
          <w:p w:rsidR="007B2308" w:rsidRDefault="007B2308" w:rsidP="00D33E55">
            <w:r>
              <w:t>Berekening op grondslag van bestede tijd</w:t>
            </w:r>
          </w:p>
        </w:tc>
        <w:tc>
          <w:tcPr>
            <w:tcW w:w="5580" w:type="dxa"/>
          </w:tcPr>
          <w:p w:rsidR="007B2308" w:rsidRDefault="007B2308" w:rsidP="00D33E55">
            <w:r>
              <w:t>1.1</w:t>
            </w:r>
          </w:p>
          <w:p w:rsidR="007B2308" w:rsidRDefault="007B2308" w:rsidP="00D33E55">
            <w:r>
              <w:t>Uurtarieven</w:t>
            </w:r>
          </w:p>
          <w:p w:rsidR="007B2308" w:rsidRDefault="007B2308" w:rsidP="00D33E55">
            <w:r>
              <w:t>In afwijking van Artikel 53. lid 1 van de DNR 2011 zijn de uurtarieven voor de verstrekte opdrachten per fase vast, tenzij in de opdracht is vastgelegd op welke wijze de uurtarieven in de loop van de uitvoering van de opdracht worden aangepast.</w:t>
            </w:r>
          </w:p>
          <w:p w:rsidR="007B2308" w:rsidRDefault="007B2308" w:rsidP="00D33E55"/>
        </w:tc>
      </w:tr>
      <w:tr w:rsidR="007B2308">
        <w:tc>
          <w:tcPr>
            <w:tcW w:w="2808" w:type="dxa"/>
          </w:tcPr>
          <w:p w:rsidR="007B2308" w:rsidRDefault="007B2308" w:rsidP="00D33E55">
            <w:r>
              <w:t xml:space="preserve">Ad Artikel 55 </w:t>
            </w:r>
          </w:p>
          <w:p w:rsidR="007B2308" w:rsidRDefault="007B2308" w:rsidP="00D33E55">
            <w:r>
              <w:t>Advieskosten in geval van aanpassingen en wijzingen</w:t>
            </w:r>
          </w:p>
        </w:tc>
        <w:tc>
          <w:tcPr>
            <w:tcW w:w="5580" w:type="dxa"/>
          </w:tcPr>
          <w:p w:rsidR="007B2308" w:rsidRDefault="007B2308" w:rsidP="00D33E55">
            <w:r>
              <w:t>1.1</w:t>
            </w:r>
          </w:p>
          <w:p w:rsidR="007B2308" w:rsidRDefault="007B2308" w:rsidP="00D33E55">
            <w:r>
              <w:t>Ingrijpende wijzigingen</w:t>
            </w:r>
          </w:p>
          <w:p w:rsidR="007B2308" w:rsidRDefault="007B2308" w:rsidP="00D33E55">
            <w:r>
              <w:t>Wijzigingen als bedoeld in Artikel 55, lid 1 van de DNR 2011, betreffen ingrijpende wijzigingen van het programma van eisen, dan wel ingrijpende wijzigingen als gevolg van veranderingen van overheidsvoorschriften of -beschikkingen. Ook de som van verschillende kleine wijzigingen kan als een ingrijpende wijziging in de zin van dit artikel worden aangemerkt. Veranderende detailleringen worden niet als ingrijpende wijzigingen in de zin van dit artikel aangemerkt. De opdrachtgever en de adviseur stellen in onderling overleg vast of en in hoeverre het gaat om een ingrijpende wijziging.</w:t>
            </w:r>
          </w:p>
          <w:p w:rsidR="007B2308" w:rsidRDefault="007B2308" w:rsidP="00D33E55"/>
        </w:tc>
      </w:tr>
      <w:tr w:rsidR="007B2308">
        <w:tc>
          <w:tcPr>
            <w:tcW w:w="2808" w:type="dxa"/>
          </w:tcPr>
          <w:p w:rsidR="007B2308" w:rsidRDefault="007B2308" w:rsidP="00D33E55"/>
        </w:tc>
        <w:tc>
          <w:tcPr>
            <w:tcW w:w="5580" w:type="dxa"/>
          </w:tcPr>
          <w:p w:rsidR="007B2308" w:rsidRDefault="007B2308" w:rsidP="00D33E55"/>
        </w:tc>
      </w:tr>
    </w:tbl>
    <w:p w:rsidR="006A5713" w:rsidRDefault="006A5713" w:rsidP="00D33E55">
      <w:pPr>
        <w:sectPr w:rsidR="006A5713">
          <w:headerReference w:type="default" r:id="rId30"/>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92"/>
        <w:gridCol w:w="5541"/>
      </w:tblGrid>
      <w:tr w:rsidR="006A5713">
        <w:tc>
          <w:tcPr>
            <w:tcW w:w="2808" w:type="dxa"/>
          </w:tcPr>
          <w:p w:rsidR="006A5713" w:rsidRDefault="00B40049" w:rsidP="00D33E55">
            <w:r>
              <w:lastRenderedPageBreak/>
              <w:t xml:space="preserve">Ad Artikel 56 </w:t>
            </w:r>
          </w:p>
          <w:p w:rsidR="006A5713" w:rsidRDefault="00B40049" w:rsidP="00D33E55">
            <w:r>
              <w:t>Betaling van advieskosten</w:t>
            </w:r>
          </w:p>
        </w:tc>
        <w:tc>
          <w:tcPr>
            <w:tcW w:w="5580" w:type="dxa"/>
          </w:tcPr>
          <w:p w:rsidR="006A5713" w:rsidRDefault="00B40049" w:rsidP="00D33E55">
            <w:r>
              <w:t>1.1</w:t>
            </w:r>
          </w:p>
          <w:p w:rsidR="006A5713" w:rsidRDefault="00B40049" w:rsidP="00D33E55">
            <w:r>
              <w:t>Verrekening advieskosten</w:t>
            </w:r>
          </w:p>
          <w:p w:rsidR="006A5713" w:rsidRDefault="00B40049" w:rsidP="00D33E55">
            <w:r>
              <w:t>Tenzij in de schriftelijke opdracht anders is overeengekomen, worden de advieskosten verrekend per fase. Bij een opdracht die meerdere fasen omvat, kunnen de advieskosten betaalbaar worden gesteld na goedkeuring van de resultaten van de betrokken fase door de projectbevoegde.</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3.1</w:t>
            </w:r>
          </w:p>
          <w:p w:rsidR="006A5713" w:rsidRDefault="00B40049" w:rsidP="00D33E55">
            <w:r>
              <w:t>Goedkeuring declaratie</w:t>
            </w:r>
          </w:p>
          <w:p w:rsidR="006A5713" w:rsidRDefault="00B40049" w:rsidP="00D33E55">
            <w:r>
              <w:t>Alleen declaraties die de projectbevoegde heeft goedgekeurd, komen voor betaalbaarstelling in aanmerking. De projectbevoegde stelt de adviseur onverwijld in kennis van het onthouden van goedkeuring aan een declaratie.</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4.1</w:t>
            </w:r>
          </w:p>
          <w:p w:rsidR="006A5713" w:rsidRDefault="00B40049" w:rsidP="00D33E55">
            <w:r>
              <w:t>Betalingstermijn</w:t>
            </w:r>
          </w:p>
          <w:p w:rsidR="006A5713" w:rsidRDefault="00B40049" w:rsidP="00D33E55">
            <w:r>
              <w:t xml:space="preserve">In afwijking van Artikel 56, lid 4 van de </w:t>
            </w:r>
            <w:r w:rsidR="00C40894">
              <w:t>DNR 2011</w:t>
            </w:r>
            <w:r>
              <w:t xml:space="preserve"> hanteert </w:t>
            </w:r>
            <w:r w:rsidR="00E610D0">
              <w:t>het Rijksvastgoedbedrijf</w:t>
            </w:r>
            <w:r>
              <w:t xml:space="preserve"> een betalingstermijn van 30 (kalender)dagen na ontvangst van de declaratie.</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5.1</w:t>
            </w:r>
          </w:p>
          <w:p w:rsidR="006A5713" w:rsidRDefault="00B40049" w:rsidP="00D33E55">
            <w:r>
              <w:t>Onjuiste declaratie</w:t>
            </w:r>
          </w:p>
          <w:p w:rsidR="006A5713" w:rsidRDefault="00B40049" w:rsidP="00D33E55">
            <w:r>
              <w:t xml:space="preserve">In afwijking van Artikel 56, lid 5 van de </w:t>
            </w:r>
            <w:r w:rsidR="00C40894">
              <w:t>DNR 2011</w:t>
            </w:r>
            <w:r>
              <w:t xml:space="preserve"> zal een onjuiste declaratie, ook wanneer slechts een onderdeel onjuist is, per omgaande met vermelding van de onjuistheid worden geretourneerd. Deze declaratie wordt als niet-ingediend beschouwd.</w:t>
            </w:r>
          </w:p>
          <w:p w:rsidR="006A5713" w:rsidRDefault="006A5713" w:rsidP="00D33E55"/>
        </w:tc>
      </w:tr>
      <w:tr w:rsidR="006A5713">
        <w:tc>
          <w:tcPr>
            <w:tcW w:w="2808" w:type="dxa"/>
          </w:tcPr>
          <w:p w:rsidR="006A5713" w:rsidRDefault="006A5713" w:rsidP="00D33E55"/>
        </w:tc>
        <w:tc>
          <w:tcPr>
            <w:tcW w:w="5580" w:type="dxa"/>
          </w:tcPr>
          <w:p w:rsidR="006A5713" w:rsidRDefault="00B40049" w:rsidP="00D33E55">
            <w:r>
              <w:t>7.1</w:t>
            </w:r>
          </w:p>
          <w:p w:rsidR="006A5713" w:rsidRDefault="00B40049" w:rsidP="00D33E55">
            <w:r>
              <w:t>Verhoging wettelijk rentepercentage</w:t>
            </w:r>
          </w:p>
          <w:p w:rsidR="006A5713" w:rsidRDefault="00B40049" w:rsidP="00D33E55">
            <w:r>
              <w:t>Artikel 56, leden 7, 8</w:t>
            </w:r>
            <w:r w:rsidR="00C85248">
              <w:t xml:space="preserve"> en</w:t>
            </w:r>
            <w:r w:rsidR="0038688A">
              <w:t xml:space="preserve"> </w:t>
            </w:r>
            <w:r w:rsidR="00280608">
              <w:t xml:space="preserve">9 </w:t>
            </w:r>
            <w:r>
              <w:t xml:space="preserve">van de </w:t>
            </w:r>
            <w:r w:rsidR="00C40894">
              <w:t>DNR 2011</w:t>
            </w:r>
            <w:r>
              <w:t xml:space="preserve"> zijn niet van toepassing.</w:t>
            </w:r>
          </w:p>
          <w:p w:rsidR="006A5713" w:rsidRDefault="006A5713" w:rsidP="00D33E55"/>
        </w:tc>
      </w:tr>
    </w:tbl>
    <w:p w:rsidR="006A5713" w:rsidRDefault="006A5713" w:rsidP="00D33E55"/>
    <w:p w:rsidR="006A5713" w:rsidRDefault="006A5713" w:rsidP="00D33E55">
      <w:pPr>
        <w:sectPr w:rsidR="006A5713">
          <w:headerReference w:type="even" r:id="rId31"/>
          <w:headerReference w:type="default" r:id="rId32"/>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86"/>
        <w:gridCol w:w="5547"/>
      </w:tblGrid>
      <w:tr w:rsidR="006A5713" w:rsidTr="007B2308">
        <w:trPr>
          <w:trHeight w:val="278"/>
        </w:trPr>
        <w:tc>
          <w:tcPr>
            <w:tcW w:w="2808" w:type="dxa"/>
          </w:tcPr>
          <w:p w:rsidR="006A5713" w:rsidRDefault="006A5713" w:rsidP="00D33E55"/>
          <w:p w:rsidR="006A5713" w:rsidRDefault="006A5713" w:rsidP="00D33E55"/>
        </w:tc>
        <w:tc>
          <w:tcPr>
            <w:tcW w:w="5580" w:type="dxa"/>
          </w:tcPr>
          <w:p w:rsidR="006A5713" w:rsidRDefault="006A5713" w:rsidP="00D33E55"/>
          <w:p w:rsidR="006A5713" w:rsidRDefault="007B2308" w:rsidP="00D33E55">
            <w:r>
              <w:t>Het Rijksvastgoedbedrijf heeft geen afwijkingen of aanvullingen geformuleerd voor de artikelen in het corresponderende hoofdstuk van de DNR 2011.</w:t>
            </w:r>
          </w:p>
          <w:p w:rsidR="006A5713" w:rsidRDefault="006A5713" w:rsidP="00D33E55"/>
        </w:tc>
      </w:tr>
    </w:tbl>
    <w:p w:rsidR="007B2308" w:rsidRDefault="007B2308" w:rsidP="00D33E55"/>
    <w:p w:rsidR="007B2308" w:rsidRDefault="007B2308" w:rsidP="00D33E55">
      <w:pPr>
        <w:sectPr w:rsidR="007B2308">
          <w:headerReference w:type="default" r:id="rId33"/>
          <w:pgSz w:w="11906" w:h="16838"/>
          <w:pgMar w:top="1418" w:right="454" w:bottom="1418" w:left="3119" w:header="709" w:footer="709" w:gutter="0"/>
          <w:cols w:space="708"/>
          <w:docGrid w:linePitch="360"/>
        </w:sectPr>
      </w:pPr>
    </w:p>
    <w:tbl>
      <w:tblPr>
        <w:tblW w:w="0" w:type="auto"/>
        <w:tblLook w:val="01E0" w:firstRow="1" w:lastRow="1" w:firstColumn="1" w:lastColumn="1" w:noHBand="0" w:noVBand="0"/>
      </w:tblPr>
      <w:tblGrid>
        <w:gridCol w:w="2793"/>
        <w:gridCol w:w="5540"/>
      </w:tblGrid>
      <w:tr w:rsidR="007B2308" w:rsidTr="00E84160">
        <w:tc>
          <w:tcPr>
            <w:tcW w:w="2808" w:type="dxa"/>
          </w:tcPr>
          <w:p w:rsidR="007B2308" w:rsidRDefault="007B2308" w:rsidP="00D33E55">
            <w:r>
              <w:lastRenderedPageBreak/>
              <w:t xml:space="preserve">Artikel 60 </w:t>
            </w:r>
          </w:p>
          <w:p w:rsidR="007B2308" w:rsidRDefault="007B2308" w:rsidP="00D33E55">
            <w:r>
              <w:t>Kunsttoepassing</w:t>
            </w:r>
          </w:p>
        </w:tc>
        <w:tc>
          <w:tcPr>
            <w:tcW w:w="5580" w:type="dxa"/>
          </w:tcPr>
          <w:p w:rsidR="007B2308" w:rsidRDefault="007B2308" w:rsidP="00D33E55">
            <w:r>
              <w:t>0.1</w:t>
            </w:r>
          </w:p>
          <w:p w:rsidR="007B2308" w:rsidRDefault="007B2308" w:rsidP="00D33E55">
            <w:r>
              <w:t>Beeldende kunsttoepassing</w:t>
            </w:r>
          </w:p>
          <w:p w:rsidR="007B2308" w:rsidRPr="007B2308" w:rsidRDefault="007B2308" w:rsidP="00D33E55">
            <w:r w:rsidRPr="007B2308">
              <w:t>Tenzij anders wordt bepaald, komt het project, ter verrijking van de</w:t>
            </w:r>
          </w:p>
          <w:p w:rsidR="007B2308" w:rsidRPr="007B2308" w:rsidRDefault="007B2308" w:rsidP="00D33E55">
            <w:r w:rsidRPr="007B2308">
              <w:t>kwaliteit van de gebouwde omgeving, aan de buiten- of binnenzijde</w:t>
            </w:r>
          </w:p>
          <w:p w:rsidR="007B2308" w:rsidRPr="007B2308" w:rsidRDefault="007B2308" w:rsidP="00D33E55">
            <w:r w:rsidRPr="007B2308">
              <w:t>in aanmerking voor beeldende kunsttoepassing. Indien van de</w:t>
            </w:r>
          </w:p>
          <w:p w:rsidR="007B2308" w:rsidRPr="007B2308" w:rsidRDefault="007B2308" w:rsidP="00D33E55">
            <w:r w:rsidRPr="007B2308">
              <w:t>adviseur bemoeienis met deze kunsttoepassing wordt verlangd die</w:t>
            </w:r>
          </w:p>
          <w:p w:rsidR="007B2308" w:rsidRPr="007B2308" w:rsidRDefault="007B2308" w:rsidP="00D33E55">
            <w:r w:rsidRPr="007B2308">
              <w:t>uitgaat boven datgene wat in het kader van zijn opdracht</w:t>
            </w:r>
          </w:p>
          <w:p w:rsidR="007B2308" w:rsidRPr="007B2308" w:rsidRDefault="007B2308" w:rsidP="00D33E55">
            <w:r w:rsidRPr="007B2308">
              <w:t>redelijkerwijs van hem kan worden verlangd, wordt dat meerdere</w:t>
            </w:r>
          </w:p>
          <w:p w:rsidR="007B2308" w:rsidRPr="007B2308" w:rsidRDefault="007B2308" w:rsidP="00D33E55">
            <w:r w:rsidRPr="007B2308">
              <w:t>aan de adviseur afzonderlijk vergoed. Tenzij in de opdracht anders</w:t>
            </w:r>
          </w:p>
          <w:p w:rsidR="007B2308" w:rsidRDefault="007B2308" w:rsidP="00D33E55">
            <w:r w:rsidRPr="007B2308">
              <w:t>is bepaald, doet de adviseur ee</w:t>
            </w:r>
            <w:r>
              <w:t>n voorstel voor deze vergoeding.</w:t>
            </w:r>
            <w:r>
              <w:br/>
            </w:r>
          </w:p>
        </w:tc>
      </w:tr>
      <w:tr w:rsidR="007B2308" w:rsidTr="00E84160">
        <w:tc>
          <w:tcPr>
            <w:tcW w:w="2808" w:type="dxa"/>
          </w:tcPr>
          <w:p w:rsidR="007B2308" w:rsidRDefault="007B2308" w:rsidP="00D33E55"/>
        </w:tc>
        <w:tc>
          <w:tcPr>
            <w:tcW w:w="5580" w:type="dxa"/>
          </w:tcPr>
          <w:p w:rsidR="007B2308" w:rsidRDefault="007B2308" w:rsidP="00D33E55">
            <w:r>
              <w:t>0.2</w:t>
            </w:r>
          </w:p>
          <w:p w:rsidR="007B2308" w:rsidRDefault="007B2308" w:rsidP="00D33E55">
            <w:r>
              <w:t>Percentageregeling</w:t>
            </w:r>
          </w:p>
          <w:p w:rsidR="007B2308" w:rsidRPr="007B2308" w:rsidRDefault="007B2308" w:rsidP="00D33E55">
            <w:r w:rsidRPr="007B2308">
              <w:t>De projectbevoegde stelt, in overleg met de Rijksbouwmeester, het</w:t>
            </w:r>
          </w:p>
          <w:p w:rsidR="007B2308" w:rsidRPr="007B2308" w:rsidRDefault="007B2308" w:rsidP="00D33E55">
            <w:r w:rsidRPr="007B2308">
              <w:t>voor de kunsttoepassing besteedbare bedrag vast op basis van de</w:t>
            </w:r>
          </w:p>
          <w:p w:rsidR="007B2308" w:rsidRPr="007B2308" w:rsidRDefault="007B2308" w:rsidP="00D33E55">
            <w:r w:rsidRPr="007B2308">
              <w:t xml:space="preserve">voor </w:t>
            </w:r>
            <w:r w:rsidR="00D00E7D">
              <w:t xml:space="preserve"> het Rijksvastgoedbedrijf</w:t>
            </w:r>
            <w:r w:rsidRPr="007B2308">
              <w:t xml:space="preserve"> geldende percentageregeling. Alle</w:t>
            </w:r>
          </w:p>
          <w:p w:rsidR="007B2308" w:rsidRPr="007B2308" w:rsidRDefault="007B2308" w:rsidP="00D33E55">
            <w:r w:rsidRPr="007B2308">
              <w:t>uit de kunsttoepassing voortvloeiende kosten moeten uit dit bedrag</w:t>
            </w:r>
          </w:p>
          <w:p w:rsidR="007B2308" w:rsidRPr="007B2308" w:rsidRDefault="007B2308" w:rsidP="00D33E55">
            <w:r w:rsidRPr="007B2308">
              <w:t>worden bestreden; niets hiervan mag ten laste van het taakstellend</w:t>
            </w:r>
          </w:p>
          <w:p w:rsidR="007B2308" w:rsidRDefault="007B2308" w:rsidP="00D33E55">
            <w:r w:rsidRPr="007B2308">
              <w:t>budget worden gebracht.</w:t>
            </w:r>
          </w:p>
          <w:p w:rsidR="007B2308" w:rsidRPr="007B2308" w:rsidRDefault="007B2308" w:rsidP="00D33E55"/>
        </w:tc>
      </w:tr>
      <w:tr w:rsidR="007B2308" w:rsidTr="00E84160">
        <w:tc>
          <w:tcPr>
            <w:tcW w:w="2808" w:type="dxa"/>
          </w:tcPr>
          <w:p w:rsidR="007B2308" w:rsidRDefault="007B2308" w:rsidP="00D33E55">
            <w:r>
              <w:t xml:space="preserve">Artikel 61 </w:t>
            </w:r>
          </w:p>
          <w:p w:rsidR="007B2308" w:rsidRDefault="007B2308" w:rsidP="00D33E55">
            <w:r>
              <w:t>Ontwerpeisen algemeen</w:t>
            </w:r>
          </w:p>
        </w:tc>
        <w:tc>
          <w:tcPr>
            <w:tcW w:w="5580" w:type="dxa"/>
          </w:tcPr>
          <w:p w:rsidR="007B2308" w:rsidRDefault="007B2308" w:rsidP="00D33E55">
            <w:r>
              <w:t>0.1</w:t>
            </w:r>
          </w:p>
          <w:p w:rsidR="007B2308" w:rsidRDefault="007B2308" w:rsidP="00D33E55">
            <w:r>
              <w:t>Milieubewust bouwen</w:t>
            </w:r>
          </w:p>
          <w:p w:rsidR="007B2308" w:rsidRPr="007B2308" w:rsidRDefault="007B2308" w:rsidP="00D33E55">
            <w:r w:rsidRPr="007B2308">
              <w:t>De gekozen materialen of bouwstoffen, bouwconstructies, wijze</w:t>
            </w:r>
          </w:p>
          <w:p w:rsidR="007B2308" w:rsidRPr="007B2308" w:rsidRDefault="007B2308" w:rsidP="00D33E55">
            <w:r w:rsidRPr="007B2308">
              <w:t>van uitvoeren alsmede de werkomstandigheden van de</w:t>
            </w:r>
          </w:p>
          <w:p w:rsidR="007B2308" w:rsidRPr="007B2308" w:rsidRDefault="007B2308" w:rsidP="00D33E55">
            <w:r w:rsidRPr="007B2308">
              <w:t>toekomstige gebruikers moeten zodanig zijn, dat daardoor schade</w:t>
            </w:r>
          </w:p>
          <w:p w:rsidR="007B2308" w:rsidRPr="007B2308" w:rsidRDefault="007B2308" w:rsidP="00D33E55">
            <w:r w:rsidRPr="007B2308">
              <w:t>aan personen, goederen en milieu zoveel mogelijk wordt</w:t>
            </w:r>
          </w:p>
          <w:p w:rsidR="007B2308" w:rsidRPr="007B2308" w:rsidRDefault="007B2308" w:rsidP="00D33E55">
            <w:r w:rsidRPr="007B2308">
              <w:t>voorkomen. Hiertoe moeten alle maatregelen worden getroffen</w:t>
            </w:r>
          </w:p>
          <w:p w:rsidR="007B2308" w:rsidRPr="007B2308" w:rsidRDefault="007B2308" w:rsidP="00D33E55">
            <w:r w:rsidRPr="007B2308">
              <w:t>overeenkomstig de wetgeving en de algemene</w:t>
            </w:r>
          </w:p>
          <w:p w:rsidR="007B2308" w:rsidRDefault="007B2308" w:rsidP="00D33E55">
            <w:r w:rsidRPr="007B2308">
              <w:t>regeringsdoelstellingen inzake arbeidsomstandigheden en milieu.</w:t>
            </w:r>
          </w:p>
          <w:p w:rsidR="007B2308" w:rsidRDefault="007B2308" w:rsidP="00D33E55"/>
        </w:tc>
      </w:tr>
      <w:tr w:rsidR="007B2308" w:rsidTr="00E84160">
        <w:tc>
          <w:tcPr>
            <w:tcW w:w="2808" w:type="dxa"/>
          </w:tcPr>
          <w:p w:rsidR="007B2308" w:rsidRDefault="007B2308" w:rsidP="00D33E55"/>
        </w:tc>
        <w:tc>
          <w:tcPr>
            <w:tcW w:w="5580" w:type="dxa"/>
          </w:tcPr>
          <w:p w:rsidR="007B2308" w:rsidRDefault="007B2308" w:rsidP="00D33E55">
            <w:r>
              <w:t>0.2</w:t>
            </w:r>
          </w:p>
          <w:p w:rsidR="007B2308" w:rsidRDefault="007B2308" w:rsidP="00D33E55">
            <w:r>
              <w:t>Arbobesluit Bouwproces</w:t>
            </w:r>
          </w:p>
          <w:p w:rsidR="007B2308" w:rsidRPr="007B2308" w:rsidRDefault="006B14F9" w:rsidP="00D33E55">
            <w:r w:rsidRPr="006B14F9">
              <w:t>Bij uitwerking van de opdracht moet ingevolge afdeling 5 Bouwproces rekening</w:t>
            </w:r>
          </w:p>
          <w:p w:rsidR="007B2308" w:rsidRPr="007B2308" w:rsidRDefault="006B14F9" w:rsidP="00D33E55">
            <w:r w:rsidRPr="006B14F9">
              <w:t>worden gehouden met de algemene uitgangspunten van dat</w:t>
            </w:r>
          </w:p>
          <w:p w:rsidR="007B2308" w:rsidRPr="007B2308" w:rsidRDefault="006B14F9" w:rsidP="00D33E55">
            <w:r w:rsidRPr="006B14F9">
              <w:t>besluit inzake veiligheid, gezondheid en welzijn van</w:t>
            </w:r>
          </w:p>
          <w:p w:rsidR="007B2308" w:rsidRDefault="006B14F9" w:rsidP="00D33E55">
            <w:proofErr w:type="spellStart"/>
            <w:r w:rsidRPr="006B14F9">
              <w:t>bouwplaatsmedewerkers</w:t>
            </w:r>
            <w:proofErr w:type="spellEnd"/>
            <w:r w:rsidRPr="006B14F9">
              <w:t>.</w:t>
            </w:r>
          </w:p>
          <w:p w:rsidR="007B2308" w:rsidRPr="007B2308" w:rsidRDefault="007B2308" w:rsidP="00D33E55"/>
        </w:tc>
      </w:tr>
      <w:tr w:rsidR="007B2308" w:rsidTr="00E84160">
        <w:tc>
          <w:tcPr>
            <w:tcW w:w="2808" w:type="dxa"/>
          </w:tcPr>
          <w:p w:rsidR="007B2308" w:rsidRDefault="007B2308" w:rsidP="00D33E55"/>
        </w:tc>
        <w:tc>
          <w:tcPr>
            <w:tcW w:w="5580" w:type="dxa"/>
          </w:tcPr>
          <w:p w:rsidR="007B2308" w:rsidRDefault="007B2308" w:rsidP="00D33E55">
            <w:r>
              <w:t xml:space="preserve">0.3 </w:t>
            </w:r>
          </w:p>
          <w:p w:rsidR="007B2308" w:rsidRDefault="007B2308" w:rsidP="00D33E55">
            <w:r>
              <w:t>Ontwerpeisen toegankelijkheid</w:t>
            </w:r>
          </w:p>
          <w:p w:rsidR="007B2308" w:rsidRDefault="007B2308" w:rsidP="00D33E55">
            <w:r>
              <w:t>Het te ontwerpen bouwwerk moet, voor wat betreft de</w:t>
            </w:r>
          </w:p>
          <w:p w:rsidR="007B2308" w:rsidRDefault="007B2308" w:rsidP="00D33E55">
            <w:r>
              <w:t>bereikbaarheid en bruikbaarheid van gebouw en</w:t>
            </w:r>
          </w:p>
          <w:p w:rsidR="007B2308" w:rsidRDefault="007B2308" w:rsidP="00D33E55">
            <w:r>
              <w:t xml:space="preserve">gebouwonderdelen, voldoen aan de eisen en richtlijnen </w:t>
            </w:r>
            <w:r w:rsidR="00B733AC">
              <w:t xml:space="preserve">uit </w:t>
            </w:r>
            <w:r w:rsidR="00C15DE4">
              <w:t xml:space="preserve">de Wet Gelijke Behandeling, </w:t>
            </w:r>
            <w:r w:rsidR="00B733AC">
              <w:t>het Bouwbesluit en de NEN 1814</w:t>
            </w:r>
            <w:r>
              <w:t>.</w:t>
            </w:r>
          </w:p>
          <w:p w:rsidR="007B2308" w:rsidRPr="007B2308" w:rsidRDefault="007B2308" w:rsidP="00D33E55"/>
        </w:tc>
      </w:tr>
      <w:tr w:rsidR="007B2308" w:rsidRPr="00484CC2" w:rsidTr="00E84160">
        <w:tc>
          <w:tcPr>
            <w:tcW w:w="2808" w:type="dxa"/>
          </w:tcPr>
          <w:p w:rsidR="007B2308" w:rsidRDefault="007B2308" w:rsidP="00D33E55"/>
        </w:tc>
        <w:tc>
          <w:tcPr>
            <w:tcW w:w="5580" w:type="dxa"/>
          </w:tcPr>
          <w:p w:rsidR="007B2308" w:rsidRPr="00484CC2" w:rsidRDefault="007B2308" w:rsidP="00D33E55">
            <w:r w:rsidRPr="00484CC2">
              <w:t>0.4</w:t>
            </w:r>
          </w:p>
          <w:p w:rsidR="007B2308" w:rsidRPr="00484CC2" w:rsidRDefault="007B2308" w:rsidP="00D33E55">
            <w:r w:rsidRPr="00484CC2">
              <w:t>Meetmethode</w:t>
            </w:r>
          </w:p>
          <w:p w:rsidR="007B2308" w:rsidRPr="00484CC2" w:rsidRDefault="007B2308" w:rsidP="00D33E55">
            <w:r w:rsidRPr="00484CC2">
              <w:t xml:space="preserve">De meetmethode is conform de Standaardmeetmethoden </w:t>
            </w:r>
            <w:r w:rsidR="006B14F9" w:rsidRPr="00484CC2">
              <w:t>NEN 2580 en NEN 3699</w:t>
            </w:r>
            <w:r w:rsidRPr="00484CC2">
              <w:t>.</w:t>
            </w:r>
          </w:p>
        </w:tc>
      </w:tr>
    </w:tbl>
    <w:p w:rsidR="006A5713" w:rsidRDefault="006A5713" w:rsidP="00D33E55"/>
    <w:sectPr w:rsidR="006A5713" w:rsidSect="006A5713">
      <w:headerReference w:type="default" r:id="rId34"/>
      <w:pgSz w:w="11906" w:h="16838"/>
      <w:pgMar w:top="1418" w:right="454" w:bottom="1418" w:left="31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E55" w:rsidRDefault="00D33E55" w:rsidP="00D33E55">
      <w:r>
        <w:separator/>
      </w:r>
    </w:p>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5029CA"/>
  </w:endnote>
  <w:endnote w:type="continuationSeparator" w:id="0">
    <w:p w:rsidR="00D33E55" w:rsidRDefault="00D33E55" w:rsidP="00D33E55">
      <w:r>
        <w:continuationSeparator/>
      </w:r>
    </w:p>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502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E55" w:rsidRDefault="00892D63" w:rsidP="00D33E55">
    <w:pPr>
      <w:pStyle w:val="Voettekst"/>
    </w:pPr>
    <w:r>
      <w:rPr>
        <w:noProof/>
      </w:rPr>
      <mc:AlternateContent>
        <mc:Choice Requires="wps">
          <w:drawing>
            <wp:anchor distT="0" distB="0" distL="114300" distR="114300" simplePos="0" relativeHeight="251651584" behindDoc="0" locked="0" layoutInCell="1" allowOverlap="1" wp14:anchorId="5AB6C6E0">
              <wp:simplePos x="0" y="0"/>
              <wp:positionH relativeFrom="column">
                <wp:posOffset>-2057400</wp:posOffset>
              </wp:positionH>
              <wp:positionV relativeFrom="paragraph">
                <wp:posOffset>-65405</wp:posOffset>
              </wp:positionV>
              <wp:extent cx="7543800" cy="0"/>
              <wp:effectExtent l="9525" t="10795" r="9525" b="17780"/>
              <wp:wrapSquare wrapText="bothSides"/>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5A2F5" id="Line 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15pt" to="6in,-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JHdFQIAACoEAAAOAAAAZHJzL2Uyb0RvYy54bWysU02P2yAQvVfqf0C+J7azzpcVZ1XZcS9p&#10;N9JufwABHKNiQEDiRFX/ewcSR9n2UlX1AQ/MzOPNvGH1fO4EOjFjuZJFlI6TCDFJFOXyUETf3urR&#10;IkLWYUmxUJIV0YXZ6Hn98cOq1zmbqFYJygwCEGnzXhdR65zO49iSlnXYjpVmEpyNMh12sDWHmBrc&#10;A3on4kmSzOJeGaqNIsxaOK2uzmgd8JuGEffSNJY5JIoIuLmwmrDu/RqvVzg/GKxbTm408D+w6DCX&#10;cOkdqsIOo6Phf0B1nBhlVePGRHWxahpOWKgBqkmT36p5bbFmoRZojtX3Ntn/B0u+nnYGcVpEE2iP&#10;xB1otOWSoblvTa9tDhGl3BlfHDnLV71V5LtFUpUtlgcWKL5dNKSlPiN+l+I3VsMF+/6LohCDj06F&#10;Pp0b03lI6AA6BzkudznY2SECh/Np9rRIgBYZfDHOh0RtrPvMVIe8UUQCOAdgfNpa54ngfAjx90hV&#10;cyGC2kKiHtguk2kSMqwSnHqvj7PmsC+FQSfsBwa+ug5lgecxzKijpAGtZZhubrbDXFxtuF1Ijwe1&#10;AJ+bdZ2IH8tkuVlsFtkom8w2oyypqtGnusxGszqdT6unqiyr9KenlmZ5yyll0rMbpjPN/k792zu5&#10;ztV9Pu99iN+jh4YB2eEfSAcxvX7XSdgretmZQWQYyBB8ezx+4h/3YD8+8fUvAAAA//8DAFBLAwQU&#10;AAYACAAAACEAbaJ3E98AAAAMAQAADwAAAGRycy9kb3ducmV2LnhtbEyP3WrCQBCF7wt9h2UK3unG&#10;n4qk2UgpVC+KiLYPsGbHJG12dsluYnz7jiC0dzNnDme+k60H24ge21A7UjCdJCCQCmdqKhV8fb6P&#10;VyBC1GR04wgVXDHAOn98yHRq3IUO2B9jKTiEQqoVVDH6VMpQVGh1mDiPxLeza62OvLalNK2+cLht&#10;5CxJltLqmvhDpT2+VVj8HDurwG/227o8P38swsFct9/drt/7qNToaXh9ARFxiH9muOEzOuTMdHId&#10;mSAaBeP5bMFlIk/TZA6CLavlTTndFZln8n+J/BcAAP//AwBQSwECLQAUAAYACAAAACEAtoM4kv4A&#10;AADhAQAAEwAAAAAAAAAAAAAAAAAAAAAAW0NvbnRlbnRfVHlwZXNdLnhtbFBLAQItABQABgAIAAAA&#10;IQA4/SH/1gAAAJQBAAALAAAAAAAAAAAAAAAAAC8BAABfcmVscy8ucmVsc1BLAQItABQABgAIAAAA&#10;IQDeSJHdFQIAACoEAAAOAAAAAAAAAAAAAAAAAC4CAABkcnMvZTJvRG9jLnhtbFBLAQItABQABgAI&#10;AAAAIQBtoncT3wAAAAwBAAAPAAAAAAAAAAAAAAAAAG8EAABkcnMvZG93bnJldi54bWxQSwUGAAAA&#10;AAQABADzAAAAewUAAAAA&#10;" strokecolor="blue" strokeweight="1.5pt">
              <w10:wrap type="square"/>
            </v:line>
          </w:pict>
        </mc:Fallback>
      </mc:AlternateContent>
    </w:r>
    <w:r w:rsidR="00D33E55">
      <w:t xml:space="preserve">Rijksvastgoedbedrijf – </w:t>
    </w:r>
    <w:r w:rsidR="00D33E55">
      <w:rPr>
        <w:b/>
        <w:bCs/>
      </w:rPr>
      <w:t xml:space="preserve">ABAA DNR 2011 – </w:t>
    </w:r>
    <w:r w:rsidR="004475C4">
      <w:t xml:space="preserve">Definitief – </w:t>
    </w:r>
    <w:r w:rsidR="00B8610E">
      <w:t>2020</w:t>
    </w:r>
    <w:r w:rsidR="004475C4">
      <w:t>-1</w:t>
    </w:r>
    <w:r w:rsidR="005029CA">
      <w:t xml:space="preserve">                    </w:t>
    </w:r>
    <w:proofErr w:type="spellStart"/>
    <w:r w:rsidR="00D33E55">
      <w:t>blz</w:t>
    </w:r>
    <w:proofErr w:type="spellEnd"/>
    <w:r w:rsidR="00D33E55">
      <w:t xml:space="preserve"> </w:t>
    </w:r>
    <w:r w:rsidR="00493468">
      <w:rPr>
        <w:rStyle w:val="Paginanummer"/>
        <w:b/>
        <w:bCs/>
      </w:rPr>
      <w:fldChar w:fldCharType="begin"/>
    </w:r>
    <w:r w:rsidR="00D33E55">
      <w:rPr>
        <w:rStyle w:val="Paginanummer"/>
        <w:b/>
        <w:bCs/>
      </w:rPr>
      <w:instrText xml:space="preserve"> PAGE </w:instrText>
    </w:r>
    <w:r w:rsidR="00493468">
      <w:rPr>
        <w:rStyle w:val="Paginanummer"/>
        <w:b/>
        <w:bCs/>
      </w:rPr>
      <w:fldChar w:fldCharType="separate"/>
    </w:r>
    <w:r w:rsidR="00B8610E">
      <w:rPr>
        <w:rStyle w:val="Paginanummer"/>
        <w:b/>
        <w:bCs/>
        <w:noProof/>
      </w:rPr>
      <w:t>6</w:t>
    </w:r>
    <w:r w:rsidR="00493468">
      <w:rPr>
        <w:rStyle w:val="Paginanummer"/>
        <w:b/>
        <w:bCs/>
      </w:rPr>
      <w:fldChar w:fldCharType="end"/>
    </w:r>
    <w:r w:rsidR="00D33E55">
      <w:rPr>
        <w:rStyle w:val="Paginanummer"/>
      </w:rPr>
      <w:t xml:space="preserve"> van </w:t>
    </w:r>
    <w:r w:rsidR="00493468">
      <w:rPr>
        <w:rStyle w:val="Paginanummer"/>
      </w:rPr>
      <w:fldChar w:fldCharType="begin"/>
    </w:r>
    <w:r w:rsidR="00D33E55">
      <w:rPr>
        <w:rStyle w:val="Paginanummer"/>
      </w:rPr>
      <w:instrText xml:space="preserve"> NUMPAGES </w:instrText>
    </w:r>
    <w:r w:rsidR="00493468">
      <w:rPr>
        <w:rStyle w:val="Paginanummer"/>
      </w:rPr>
      <w:fldChar w:fldCharType="separate"/>
    </w:r>
    <w:r w:rsidR="00B8610E">
      <w:rPr>
        <w:rStyle w:val="Paginanummer"/>
        <w:noProof/>
      </w:rPr>
      <w:t>23</w:t>
    </w:r>
    <w:r w:rsidR="0049346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E55" w:rsidRDefault="00D33E55" w:rsidP="00D33E55">
      <w:r>
        <w:separator/>
      </w:r>
    </w:p>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5029CA"/>
  </w:footnote>
  <w:footnote w:type="continuationSeparator" w:id="0">
    <w:p w:rsidR="00D33E55" w:rsidRDefault="00D33E55" w:rsidP="00D33E55">
      <w:r>
        <w:continuationSeparator/>
      </w:r>
    </w:p>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D33E55"/>
    <w:p w:rsidR="00D33E55" w:rsidRDefault="00D33E55" w:rsidP="005029C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8333"/>
    </w:tblGrid>
    <w:tr w:rsidR="00D33E55">
      <w:tc>
        <w:tcPr>
          <w:tcW w:w="8473" w:type="dxa"/>
        </w:tcPr>
        <w:p w:rsidR="00D33E55" w:rsidRDefault="00D33E55" w:rsidP="00D33E55">
          <w:pPr>
            <w:pStyle w:val="Koptekst"/>
          </w:pPr>
          <w:r>
            <w:t>ABAA DNR 2011</w:t>
          </w:r>
        </w:p>
        <w:p w:rsidR="00D33E55" w:rsidRDefault="00D33E55" w:rsidP="00D33E55">
          <w:pPr>
            <w:pStyle w:val="Koptekst"/>
          </w:pPr>
        </w:p>
      </w:tc>
    </w:tr>
  </w:tbl>
  <w:p w:rsidR="00D33E55" w:rsidRDefault="00892D63" w:rsidP="00D33E55">
    <w:pPr>
      <w:pStyle w:val="Koptekst"/>
    </w:pPr>
    <w:r>
      <w:rPr>
        <w:noProof/>
      </w:rPr>
      <mc:AlternateContent>
        <mc:Choice Requires="wps">
          <w:drawing>
            <wp:anchor distT="0" distB="0" distL="114300" distR="114300" simplePos="0" relativeHeight="251649536" behindDoc="0" locked="0" layoutInCell="1" allowOverlap="1" wp14:anchorId="1ABE1C5F">
              <wp:simplePos x="0" y="0"/>
              <wp:positionH relativeFrom="column">
                <wp:posOffset>-1943100</wp:posOffset>
              </wp:positionH>
              <wp:positionV relativeFrom="paragraph">
                <wp:posOffset>0</wp:posOffset>
              </wp:positionV>
              <wp:extent cx="7543800" cy="0"/>
              <wp:effectExtent l="9525" t="9525" r="9525" b="9525"/>
              <wp:wrapSquare wrapText="bothSides"/>
              <wp:docPr id="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851A7" id="Line 3"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HhIFQIAACoEAAAOAAAAZHJzL2Uyb0RvYy54bWysU8GO2jAQvVfqP1i5QxIILESEVZWQXmgX&#10;abcfYGyHWHVsyzYEVPXfOzYEse2lqpqDM/bMPL+ZN149nzuBTsxYrmQRpeMkQkwSRbk8FNG3t3q0&#10;iJB1WFIslGRFdGE2el5//LDqdc4mqlWCMoMARNq810XUOqfzOLakZR22Y6WZBGejTIcdbM0hpgb3&#10;gN6JeJIk87hXhmqjCLMWTqurM1oH/KZhxL00jWUOiSICbi6sJqx7v8brFc4PBuuWkxsN/A8sOswl&#10;XHqHqrDD6Gj4H1AdJ0ZZ1bgxUV2smoYTFmqAatLkt2peW6xZqAWaY/W9Tfb/wZKvp51BnBbRJI2Q&#10;xB1otOWSoalvTa9tDhGl3BlfHDnLV71V5LtFUpUtlgcWKL5dNKSlPiN+l+I3VsMF+/6LohCDj06F&#10;Pp0b03lI6AA6BzkudznY2SECh0+zbLpIQDUy+GKcD4naWPeZqQ55o4gEcA7A+LS1zhPB+RDi75Gq&#10;5kIEtYVEPbBdJrMkZFglOPVeH2fNYV8Kg07YDwx8dR3KAs9jmFFHSQNayzDd3GyHubjacLuQHg9q&#10;AT436zoRP5bJcrPYLLJRNplvRllSVaNPdZmN5nX6NKumVVlW6U9PLc3yllPKpGc3TGea/Z36t3dy&#10;nav7fN77EL9HDw0DssM/kA5iev2uk7BX9LIzg8gwkCH49nj8xD/uwX584utfAA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Ak&#10;zHhIFQIAACo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E55" w:rsidRDefault="00D33E55" w:rsidP="00D33E55"/>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43"/>
      <w:gridCol w:w="5590"/>
    </w:tblGrid>
    <w:tr w:rsidR="00D33E55">
      <w:tc>
        <w:tcPr>
          <w:tcW w:w="2808" w:type="dxa"/>
        </w:tcPr>
        <w:p w:rsidR="00D33E55" w:rsidRDefault="00D33E55" w:rsidP="00D33E55">
          <w:pPr>
            <w:pStyle w:val="Koptekst"/>
          </w:pPr>
          <w:r>
            <w:t xml:space="preserve"> 5</w:t>
          </w:r>
        </w:p>
        <w:p w:rsidR="00D33E55" w:rsidRDefault="00D33E55" w:rsidP="00D33E55">
          <w:pPr>
            <w:pStyle w:val="Koptekst"/>
          </w:pPr>
        </w:p>
      </w:tc>
      <w:tc>
        <w:tcPr>
          <w:tcW w:w="5665" w:type="dxa"/>
        </w:tcPr>
        <w:p w:rsidR="00D33E55" w:rsidRDefault="00D33E55" w:rsidP="00D33E55">
          <w:pPr>
            <w:pStyle w:val="Koptekst"/>
          </w:pPr>
          <w:r>
            <w:t>Algemene verplichtingen van partijen</w:t>
          </w:r>
        </w:p>
      </w:tc>
    </w:tr>
  </w:tbl>
  <w:p w:rsidR="00D33E55" w:rsidRDefault="00892D63" w:rsidP="00D33E55">
    <w:pPr>
      <w:pStyle w:val="Koptekst"/>
    </w:pPr>
    <w:r>
      <w:rPr>
        <w:noProof/>
      </w:rPr>
      <mc:AlternateContent>
        <mc:Choice Requires="wps">
          <w:drawing>
            <wp:anchor distT="0" distB="0" distL="114300" distR="114300" simplePos="0" relativeHeight="251655680" behindDoc="0" locked="0" layoutInCell="1" allowOverlap="1" wp14:anchorId="241EAFDA">
              <wp:simplePos x="0" y="0"/>
              <wp:positionH relativeFrom="column">
                <wp:posOffset>-1943100</wp:posOffset>
              </wp:positionH>
              <wp:positionV relativeFrom="paragraph">
                <wp:posOffset>0</wp:posOffset>
              </wp:positionV>
              <wp:extent cx="7543800" cy="0"/>
              <wp:effectExtent l="9525" t="9525" r="9525" b="9525"/>
              <wp:wrapSquare wrapText="bothSides"/>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94072" id="Line 1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PKfFQIAACsEAAAOAAAAZHJzL2Uyb0RvYy54bWysU8GO2jAQvVfqP1i5QxIILESEVZWQXmgX&#10;abcfYGyHWHVsyzYEVPXfOzYEse2lqpqDM/bMPL+ZN149nzuBTsxYrmQRpeMkQkwSRbk8FNG3t3q0&#10;iJB1WFIslGRFdGE2el5//LDqdc4mqlWCMoMARNq810XUOqfzOLakZR22Y6WZBGejTIcdbM0hpgb3&#10;gN6JeJIk87hXhmqjCLMWTqurM1oH/KZhxL00jWUOiSICbi6sJqx7v8brFc4PBuuWkxsN/A8sOswl&#10;XHqHqrDD6Gj4H1AdJ0ZZ1bgxUV2smoYTFmqAatLkt2peW6xZqAWaY/W9Tfb/wZKvp51BnIJ20whJ&#10;3IFGWy4ZSie+N722OYSUcmd8deQsX/VWke8WSVW2WB5Y4Ph20ZCX+oz4XYrfWA037PsvikIMPjoV&#10;GnVuTOchoQXoHPS43PVgZ4cIHD7NsukiAdnI4ItxPiRqY91npjrkjSISQDoA49PWOk8E50OIv0eq&#10;mgsR5BYS9cB2mcySkGGV4NR7fZw1h30pDDphPzHw1XUoCzyPYUYdJQ1oLcN0c7Md5uJqw+1Cejyo&#10;BfjcrOtI/Fgmy81is8hG2WS+GWVJVY0+1WU2mtfp06yaVmVZpT89tTTLW04pk57dMJ5p9nfy3x7K&#10;dbDuA3rvQ/wePTQMyA7/QDqI6fW7TsJe0cvODCLDRIbg2+vxI/+4B/vxja9/AQ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Av&#10;3PKfFQIAACs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63"/>
      <w:gridCol w:w="5570"/>
    </w:tblGrid>
    <w:tr w:rsidR="00D33E55">
      <w:tc>
        <w:tcPr>
          <w:tcW w:w="2808" w:type="dxa"/>
        </w:tcPr>
        <w:p w:rsidR="00D33E55" w:rsidRDefault="00D33E55" w:rsidP="00D33E55">
          <w:pPr>
            <w:pStyle w:val="Koptekst"/>
          </w:pPr>
        </w:p>
        <w:p w:rsidR="00D33E55" w:rsidRDefault="00D33E55" w:rsidP="00D33E55">
          <w:pPr>
            <w:pStyle w:val="Koptekst"/>
          </w:pPr>
        </w:p>
      </w:tc>
      <w:tc>
        <w:tcPr>
          <w:tcW w:w="5665" w:type="dxa"/>
        </w:tcPr>
        <w:p w:rsidR="00D33E55" w:rsidRDefault="00D33E55" w:rsidP="00D33E55">
          <w:pPr>
            <w:pStyle w:val="Koptekst"/>
          </w:pPr>
        </w:p>
      </w:tc>
    </w:tr>
  </w:tbl>
  <w:p w:rsidR="00D33E55" w:rsidRDefault="00892D63" w:rsidP="00D33E55">
    <w:pPr>
      <w:pStyle w:val="Koptekst"/>
    </w:pPr>
    <w:r>
      <w:rPr>
        <w:noProof/>
      </w:rPr>
      <mc:AlternateContent>
        <mc:Choice Requires="wps">
          <w:drawing>
            <wp:anchor distT="0" distB="0" distL="114300" distR="114300" simplePos="0" relativeHeight="251664896" behindDoc="0" locked="0" layoutInCell="1" allowOverlap="1" wp14:anchorId="55BF67D9">
              <wp:simplePos x="0" y="0"/>
              <wp:positionH relativeFrom="column">
                <wp:posOffset>-1943100</wp:posOffset>
              </wp:positionH>
              <wp:positionV relativeFrom="paragraph">
                <wp:posOffset>0</wp:posOffset>
              </wp:positionV>
              <wp:extent cx="7543800" cy="0"/>
              <wp:effectExtent l="9525" t="9525" r="9525" b="9525"/>
              <wp:wrapSquare wrapText="bothSides"/>
              <wp:docPr id="1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A05FE" id="Line 2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LjFQIAACsEAAAOAAAAZHJzL2Uyb0RvYy54bWysU8GO2jAQvVfqP1i5QxIILESEVZWQXmgX&#10;abcfYGyHWHVsyzYEVPXfOzYEse2lqpqDM/bMPL+ZN149nzuBTsxYrmQRpeMkQkwSRbk8FNG3t3q0&#10;iJB1WFIslGRFdGE2el5//LDqdc4mqlWCMoMARNq810XUOqfzOLakZR22Y6WZBGejTIcdbM0hpgb3&#10;gN6JeJIk87hXhmqjCLMWTqurM1oH/KZhxL00jWUOiSICbi6sJqx7v8brFc4PBuuWkxsN/A8sOswl&#10;XHqHqrDD6Gj4H1AdJ0ZZ1bgxUV2smoYTFmqAatLkt2peW6xZqAWaY/W9Tfb/wZKvp51BnIJ2kwhJ&#10;3IFGWy4Zmkx9b3ptcwgp5c746shZvuqtIt8tkqpssTywwPHtoiEv9RnxuxS/sRpu2PdfFIUYfHQq&#10;NOrcmM5DQgvQOehxuevBzg4ROHyaZdNFArKRwRfjfEjUxrrPTHXIG0UkgHQAxqetdZ4IzocQf49U&#10;NRciyC0k6oHtMpklIcMqwan3+jhrDvtSGHTCfmLgq+tQFngew4w6ShrQWobp5mY7zMXVhtuF9HhQ&#10;C/C5WdeR+LFMlpvFZpGNssl8M8qSqhp9qstsNK/Tp1k1rcqySn96ammWt5xSJj27YTzT7O/kvz2U&#10;62DdB/Teh/g9emgYkB3+gXQQ0+t3nYS9opedGUSGiQzBt9fjR/5xD/bjG1//Ag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Bn&#10;ELLjFQIAACs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E55" w:rsidRDefault="00D33E55" w:rsidP="00D33E55"/>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33"/>
      <w:gridCol w:w="5600"/>
    </w:tblGrid>
    <w:tr w:rsidR="00D33E55">
      <w:tc>
        <w:tcPr>
          <w:tcW w:w="2808" w:type="dxa"/>
        </w:tcPr>
        <w:p w:rsidR="00D33E55" w:rsidRDefault="00D33E55" w:rsidP="00D33E55">
          <w:pPr>
            <w:pStyle w:val="Koptekst"/>
          </w:pPr>
          <w:r>
            <w:t>6</w:t>
          </w:r>
        </w:p>
        <w:p w:rsidR="00D33E55" w:rsidRDefault="00D33E55" w:rsidP="00D33E55">
          <w:pPr>
            <w:pStyle w:val="Koptekst"/>
          </w:pPr>
        </w:p>
      </w:tc>
      <w:tc>
        <w:tcPr>
          <w:tcW w:w="5665" w:type="dxa"/>
        </w:tcPr>
        <w:p w:rsidR="00D33E55" w:rsidRDefault="00D33E55" w:rsidP="00D33E55">
          <w:pPr>
            <w:pStyle w:val="Koptekst"/>
          </w:pPr>
          <w:r>
            <w:t>Aansprakelijkheid van de adviseur</w:t>
          </w:r>
        </w:p>
      </w:tc>
    </w:tr>
  </w:tbl>
  <w:p w:rsidR="00D33E55" w:rsidRDefault="00892D63" w:rsidP="00D33E55">
    <w:pPr>
      <w:pStyle w:val="Koptekst"/>
    </w:pPr>
    <w:r>
      <w:rPr>
        <w:noProof/>
      </w:rPr>
      <mc:AlternateContent>
        <mc:Choice Requires="wps">
          <w:drawing>
            <wp:anchor distT="0" distB="0" distL="114300" distR="114300" simplePos="0" relativeHeight="251656704" behindDoc="0" locked="0" layoutInCell="1" allowOverlap="1" wp14:anchorId="52CFD084">
              <wp:simplePos x="0" y="0"/>
              <wp:positionH relativeFrom="column">
                <wp:posOffset>-1943100</wp:posOffset>
              </wp:positionH>
              <wp:positionV relativeFrom="paragraph">
                <wp:posOffset>0</wp:posOffset>
              </wp:positionV>
              <wp:extent cx="7543800" cy="0"/>
              <wp:effectExtent l="9525" t="9525" r="9525" b="9525"/>
              <wp:wrapSquare wrapText="bothSides"/>
              <wp:docPr id="1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F5F98" id="Line 1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1VWFQIAACsEAAAOAAAAZHJzL2Uyb0RvYy54bWysU8GO2jAQvVfqP1i5QxIILESEVZWQXmgX&#10;abcfYGyHWHVsyzYEVPXfOzYEse2lqpqDM/bMPL+ZN149nzuBTsxYrmQRpeMkQkwSRbk8FNG3t3q0&#10;iJB1WFIslGRFdGE2el5//LDqdc4mqlWCMoMARNq810XUOqfzOLakZR22Y6WZBGejTIcdbM0hpgb3&#10;gN6JeJIk87hXhmqjCLMWTqurM1oH/KZhxL00jWUOiSICbi6sJqx7v8brFc4PBuuWkxsN/A8sOswl&#10;XHqHqrDD6Gj4H1AdJ0ZZ1bgxUV2smoYTFmqAatLkt2peW6xZqAWaY/W9Tfb/wZKvp51BnIJ2aYQk&#10;7kCjLZcMpVPfm17bHEJKuTO+OnKWr3qryHeLpCpbLA8scHy7aMhLfUb8LsVvrIYb9v0XRSEGH50K&#10;jTo3pvOQ0AJ0Dnpc7nqws0MEDp9m2XSRgGxk8MU4HxK1se4zUx3yRhEJIB2A8WlrnSeC8yHE3yNV&#10;zYUIcguJemC7TGZJyLBKcOq9Ps6aw74UBp2wnxj46jqUBZ7HMKOOkga0lmG6udkOc3G14XYhPR7U&#10;Anxu1nUkfiyT5WaxWWSjbDLfjLKkqkaf6jIbzev0aVZNq7Ks0p+eWprlLaeUSc9uGM80+zv5bw/l&#10;Olj3Ab33IX6PHhoGZId/IB3E9PpdJ2Gv6GVnBpFhIkPw7fX4kX/cg/34xte/AA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AV&#10;61VWFQIAACs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43"/>
      <w:gridCol w:w="5590"/>
    </w:tblGrid>
    <w:tr w:rsidR="00D33E55">
      <w:tc>
        <w:tcPr>
          <w:tcW w:w="2808" w:type="dxa"/>
        </w:tcPr>
        <w:p w:rsidR="00D33E55" w:rsidRDefault="00D33E55" w:rsidP="00D33E55">
          <w:pPr>
            <w:pStyle w:val="Koptekst"/>
          </w:pPr>
          <w:r>
            <w:t>7</w:t>
          </w:r>
        </w:p>
        <w:p w:rsidR="00D33E55" w:rsidRDefault="00D33E55" w:rsidP="00D33E55">
          <w:pPr>
            <w:pStyle w:val="Koptekst"/>
          </w:pPr>
        </w:p>
      </w:tc>
      <w:tc>
        <w:tcPr>
          <w:tcW w:w="5665" w:type="dxa"/>
        </w:tcPr>
        <w:p w:rsidR="00D33E55" w:rsidRDefault="00D33E55" w:rsidP="00D33E55">
          <w:pPr>
            <w:pStyle w:val="Koptekst"/>
          </w:pPr>
          <w:r>
            <w:t>Onderbreking, vertraging en gevolgen daarvan</w:t>
          </w:r>
        </w:p>
      </w:tc>
    </w:tr>
  </w:tbl>
  <w:p w:rsidR="00D33E55" w:rsidRDefault="00892D63" w:rsidP="00D33E55">
    <w:pPr>
      <w:pStyle w:val="Koptekst"/>
    </w:pPr>
    <w:r>
      <w:rPr>
        <w:noProof/>
      </w:rPr>
      <mc:AlternateContent>
        <mc:Choice Requires="wps">
          <w:drawing>
            <wp:anchor distT="0" distB="0" distL="114300" distR="114300" simplePos="0" relativeHeight="251657728" behindDoc="0" locked="0" layoutInCell="1" allowOverlap="1" wp14:anchorId="58A80ADB">
              <wp:simplePos x="0" y="0"/>
              <wp:positionH relativeFrom="column">
                <wp:posOffset>-1943100</wp:posOffset>
              </wp:positionH>
              <wp:positionV relativeFrom="paragraph">
                <wp:posOffset>0</wp:posOffset>
              </wp:positionV>
              <wp:extent cx="7543800" cy="0"/>
              <wp:effectExtent l="9525" t="9525" r="9525" b="9525"/>
              <wp:wrapSquare wrapText="bothSides"/>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C8A14"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kbFQIAACsEAAAOAAAAZHJzL2Uyb0RvYy54bWysU8GO2jAQvVfqP1i5QxI2sBARVlVCeqFd&#10;pN1+gLEdYtWxLdsQUNV/79gQxLaXarU5OGPPzPObeePl06kT6MiM5UoWUTpOIsQkUZTLfRH9eK1H&#10;8whZhyXFQklWRGdmo6fV50/LXudsololKDMIQKTNe11ErXM6j2NLWtZhO1aaSXA2ynTYwdbsY2pw&#10;D+idiCdJMot7Zag2ijBr4bS6OKNVwG8aRtxz01jmkCgi4ObCasK682u8WuJ8b7BuObnSwO9g0WEu&#10;4dIbVIUdRgfD/4HqODHKqsaNiepi1TScsFADVJMmf1Xz0mLNQi3QHKtvbbIfB0u+H7cGcQraQXsk&#10;7kCjDZcMpZnvTa9tDiGl3BpfHTnJF71R5KdFUpUtlnsWOL6eNeSlPiN+k+I3VsMNu/6bohCDD06F&#10;Rp0a03lIaAE6BT3ONz3YySECh4/T7GGeAC8y+GKcD4naWPeVqQ55o4gEkA7A+LixzhPB+RDi75Gq&#10;5kIEuYVEPbBdJNMkZFglOPVeH2fNflcKg47YTwx8dR3KAs99mFEHSQNayzBdX22HubjYcLuQHg9q&#10;AT5X6zISvxbJYj1fz7NRNpmtR1lSVaMvdZmNZnX6OK0eqrKs0t+eWprlLaeUSc9uGM80+z/5rw/l&#10;Mli3Ab31IX6LHhoGZId/IB3E9PpdJmGn6HlrBpFhIkPw9fX4kb/fg33/xld/AA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Dx&#10;lLkbFQIAACs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46"/>
      <w:gridCol w:w="5587"/>
    </w:tblGrid>
    <w:tr w:rsidR="00D33E55">
      <w:tc>
        <w:tcPr>
          <w:tcW w:w="2808" w:type="dxa"/>
        </w:tcPr>
        <w:p w:rsidR="00D33E55" w:rsidRDefault="00D33E55" w:rsidP="00D33E55">
          <w:pPr>
            <w:pStyle w:val="Koptekst"/>
          </w:pPr>
          <w:r>
            <w:t>8</w:t>
          </w:r>
        </w:p>
        <w:p w:rsidR="00D33E55" w:rsidRDefault="00D33E55" w:rsidP="00D33E55">
          <w:pPr>
            <w:pStyle w:val="Koptekst"/>
          </w:pPr>
        </w:p>
      </w:tc>
      <w:tc>
        <w:tcPr>
          <w:tcW w:w="5665" w:type="dxa"/>
        </w:tcPr>
        <w:p w:rsidR="00D33E55" w:rsidRDefault="00D33E55" w:rsidP="00D33E55">
          <w:pPr>
            <w:pStyle w:val="Koptekst"/>
          </w:pPr>
          <w:r>
            <w:t>Bepalingen van toepassing op opzeggingen</w:t>
          </w:r>
        </w:p>
      </w:tc>
    </w:tr>
  </w:tbl>
  <w:p w:rsidR="00D33E55" w:rsidRDefault="00892D63" w:rsidP="00D33E55">
    <w:pPr>
      <w:pStyle w:val="Koptekst"/>
    </w:pPr>
    <w:r>
      <w:rPr>
        <w:noProof/>
      </w:rPr>
      <mc:AlternateContent>
        <mc:Choice Requires="wps">
          <w:drawing>
            <wp:anchor distT="0" distB="0" distL="114300" distR="114300" simplePos="0" relativeHeight="251658752" behindDoc="0" locked="0" layoutInCell="1" allowOverlap="1" wp14:anchorId="40D43564">
              <wp:simplePos x="0" y="0"/>
              <wp:positionH relativeFrom="column">
                <wp:posOffset>-1943100</wp:posOffset>
              </wp:positionH>
              <wp:positionV relativeFrom="paragraph">
                <wp:posOffset>0</wp:posOffset>
              </wp:positionV>
              <wp:extent cx="7543800" cy="0"/>
              <wp:effectExtent l="9525" t="9525" r="9525" b="9525"/>
              <wp:wrapSquare wrapText="bothSides"/>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7BA34" id="Line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SJFQIAACoEAAAOAAAAZHJzL2Uyb0RvYy54bWysU02P2yAQvVfqf0DcE9tZJ5tYcVaVHfey&#10;7Uba7Q8ggGNUDAhInKjqf+9APpRtL1VVH/DAzDzezBuWT8deogO3TmhV4mycYsQV1UyoXYm/vTWj&#10;OUbOE8WI1IqX+MQdflp9/LAcTMEnutOScYsARLliMCXuvDdFkjja8Z64sTZcgbPVticetnaXMEsG&#10;QO9lMknTWTJoy4zVlDsHp/XZiVcRv2059S9t67hHssTAzcfVxnUb1mS1JMXOEtMJeqFB/oFFT4SC&#10;S29QNfEE7a34A6oX1GqnWz+muk902wrKYw1QTZb+Vs1rRwyPtUBznLm1yf0/WPr1sLFIsBIvMFKk&#10;B4meheIom4XWDMYVEFGpjQ3F0aN6Nc+afndI6aojascjxbeTgbwsZCTvUsLGGbhgO3zRDGLI3uvY&#10;p2Nr+wAJHUDHKMfpJgc/ekTh8HGaP8xTUI1efQkpronGOv+Z6x4Fo8QSSEdgcnh2PhAhxTUk3KN0&#10;I6SMakuFBmC7SKdpzHBaCha8Ic7Z3baSFh1IGBj4miaWBZ77MKv3ikW0jhO2vtieCHm24XapAh7U&#10;Anwu1nkifizSxXq+nuejfDJbj/K0rkefmiofzZrscVo/1FVVZz8DtSwvOsEYV4HddTqz/O/Uv7yT&#10;81zd5vPWh+Q9emwYkL3+I+koZtDvPAlbzU4bexUZBjIGXx5PmPj7Pdj3T3z1Cw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Br&#10;biSJFQIAACo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E55" w:rsidRDefault="00D33E55" w:rsidP="00D33E55"/>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50"/>
      <w:gridCol w:w="5583"/>
    </w:tblGrid>
    <w:tr w:rsidR="00D33E55">
      <w:tc>
        <w:tcPr>
          <w:tcW w:w="2808" w:type="dxa"/>
        </w:tcPr>
        <w:p w:rsidR="00D33E55" w:rsidRDefault="00D33E55" w:rsidP="00D33E55">
          <w:pPr>
            <w:pStyle w:val="Koptekst"/>
          </w:pPr>
          <w:r>
            <w:t>9</w:t>
          </w:r>
        </w:p>
        <w:p w:rsidR="00D33E55" w:rsidRDefault="00D33E55" w:rsidP="00D33E55">
          <w:pPr>
            <w:pStyle w:val="Koptekst"/>
          </w:pPr>
        </w:p>
      </w:tc>
      <w:tc>
        <w:tcPr>
          <w:tcW w:w="5665" w:type="dxa"/>
        </w:tcPr>
        <w:p w:rsidR="00D33E55" w:rsidRDefault="00D33E55" w:rsidP="00D33E55">
          <w:pPr>
            <w:pStyle w:val="Koptekst"/>
          </w:pPr>
          <w:r>
            <w:t>Opzegging van de opdracht</w:t>
          </w:r>
        </w:p>
      </w:tc>
    </w:tr>
  </w:tbl>
  <w:p w:rsidR="00D33E55" w:rsidRDefault="00892D63" w:rsidP="00D33E55">
    <w:pPr>
      <w:pStyle w:val="Koptekst"/>
    </w:pPr>
    <w:r>
      <w:rPr>
        <w:noProof/>
      </w:rPr>
      <mc:AlternateContent>
        <mc:Choice Requires="wps">
          <w:drawing>
            <wp:anchor distT="0" distB="0" distL="114300" distR="114300" simplePos="0" relativeHeight="251659776" behindDoc="0" locked="0" layoutInCell="1" allowOverlap="1" wp14:anchorId="44BB2159">
              <wp:simplePos x="0" y="0"/>
              <wp:positionH relativeFrom="column">
                <wp:posOffset>-1943100</wp:posOffset>
              </wp:positionH>
              <wp:positionV relativeFrom="paragraph">
                <wp:posOffset>0</wp:posOffset>
              </wp:positionV>
              <wp:extent cx="7543800" cy="0"/>
              <wp:effectExtent l="9525" t="9525" r="9525" b="9525"/>
              <wp:wrapSquare wrapText="bothSides"/>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C8301" id="Line 1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5TFQIAACoEAAAOAAAAZHJzL2Uyb0RvYy54bWysU02P2yAQvVfqf0C+J7azzpcVZ1XZcS9p&#10;N9JufwABHKNiQEDiRFX/ewcSR9n2UlX1AQ/MzOPNvGH1fO4EOjFjuZJFlI6TCDFJFOXyUETf3urR&#10;IkLWYUmxUJIV0YXZ6Hn98cOq1zmbqFYJygwCEGnzXhdR65zO49iSlnXYjpVmEpyNMh12sDWHmBrc&#10;A3on4kmSzOJeGaqNIsxaOK2uzmgd8JuGEffSNJY5JIoIuLmwmrDu/RqvVzg/GKxbTm408D+w6DCX&#10;cOkdqsIOo6Phf0B1nBhlVePGRHWxahpOWKgBqkmT36p5bbFmoRZojtX3Ntn/B0u+nnYGcVpEIJTE&#10;HUi05ZKhdO5b02ubQ0Qpd8YXR87yVW8V+W6RVGWL5YEFim8XDXmpz4jfpfiN1XDBvv+iKMTgo1Oh&#10;T+fGdB4SOoDOQY7LXQ52dojA4XyaPS0SUI0MvhjnQ6I21n1mqkPeKCIBpAMwPm2t80RwPoT4e6Sq&#10;uRBBbSFRD2yXyTQJGVYJTr3Xx1lz2JfCoBP2AwNfXYeywPMYZtRR0oDWMkw3N9thLq423C6kx4Na&#10;gM/Nuk7Ej2Wy3Cw2i2yUTWabUZZU1ehTXWajWZ3Op9VTVZZV+tNTS7O85ZQy6dkN05lmf6f+7Z1c&#10;5+o+n/c+xO/RQ8OA7PAPpIOYXr/rJOwVvezMIDIMZAi+PR4/8Y97sB+f+PoXAA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CE&#10;ln5TFQIAACo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54"/>
      <w:gridCol w:w="5579"/>
    </w:tblGrid>
    <w:tr w:rsidR="00D33E55">
      <w:tc>
        <w:tcPr>
          <w:tcW w:w="2808" w:type="dxa"/>
        </w:tcPr>
        <w:p w:rsidR="00D33E55" w:rsidRDefault="00D33E55" w:rsidP="00D33E55">
          <w:pPr>
            <w:pStyle w:val="Koptekst"/>
          </w:pPr>
          <w:r>
            <w:t>10</w:t>
          </w:r>
        </w:p>
        <w:p w:rsidR="00D33E55" w:rsidRDefault="00D33E55" w:rsidP="00D33E55">
          <w:pPr>
            <w:pStyle w:val="Koptekst"/>
          </w:pPr>
        </w:p>
      </w:tc>
      <w:tc>
        <w:tcPr>
          <w:tcW w:w="5665" w:type="dxa"/>
        </w:tcPr>
        <w:p w:rsidR="00D33E55" w:rsidRDefault="00D33E55" w:rsidP="00D33E55">
          <w:pPr>
            <w:pStyle w:val="Koptekst"/>
          </w:pPr>
          <w:r>
            <w:t>Gevolgen van opzegging van de opdracht</w:t>
          </w:r>
        </w:p>
      </w:tc>
    </w:tr>
  </w:tbl>
  <w:p w:rsidR="00D33E55" w:rsidRDefault="00892D63" w:rsidP="00D33E55">
    <w:pPr>
      <w:pStyle w:val="Koptekst"/>
    </w:pPr>
    <w:r>
      <w:rPr>
        <w:noProof/>
      </w:rPr>
      <mc:AlternateContent>
        <mc:Choice Requires="wps">
          <w:drawing>
            <wp:anchor distT="0" distB="0" distL="114300" distR="114300" simplePos="0" relativeHeight="251660800" behindDoc="0" locked="0" layoutInCell="1" allowOverlap="1" wp14:anchorId="397E4F37">
              <wp:simplePos x="0" y="0"/>
              <wp:positionH relativeFrom="column">
                <wp:posOffset>-1943100</wp:posOffset>
              </wp:positionH>
              <wp:positionV relativeFrom="paragraph">
                <wp:posOffset>0</wp:posOffset>
              </wp:positionV>
              <wp:extent cx="7543800" cy="0"/>
              <wp:effectExtent l="9525" t="9525" r="9525" b="9525"/>
              <wp:wrapSquare wrapText="bothSides"/>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82429" id="Line 1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gtdFQIAACoEAAAOAAAAZHJzL2Uyb0RvYy54bWysU02P2yAQvVfqf0C+J7azzpcVZ1XZcS9p&#10;N9JufwABHKNiQEDiRFX/ewcSR9n2UlX1AQ/MzOPNvGH1fO4EOjFjuZJFlI6TCDFJFOXyUETf3urR&#10;IkLWYUmxUJIV0YXZ6Hn98cOq1zmbqFYJygwCEGnzXhdR65zO49iSlnXYjpVmEpyNMh12sDWHmBrc&#10;A3on4kmSzOJeGaqNIsxaOK2uzmgd8JuGEffSNJY5JIoIuLmwmrDu/RqvVzg/GKxbTm408D+w6DCX&#10;cOkdqsIOo6Phf0B1nBhlVePGRHWxahpOWKgBqkmT36p5bbFmoRZojtX3Ntn/B0u+nnYGcVpE8whJ&#10;3IFEWy4ZShe+Nb22OUSUcmd8ceQsX/VWke8WSVW2WB5YoPh20ZCX+oz4XYrfWA0X7PsvikIMPjoV&#10;+nRuTOchoQPoHOS43OVgZ4cIHM6n2dMiAdXI4ItxPiRqY91npjrkjSISQDoA49PWOk8E50OIv0eq&#10;mgsR1BYS9cB2mUyTkGGV4NR7fZw1h30pDDphPzDw1XUoCzyPYUYdJQ1oLcN0c7Md5uJqw+1Cejyo&#10;BfjcrOtE/Fgmy81is8hG2WS2GWVJVY0+1WU2mtXpfFo9VWVZpT89tTTLW04pk57dMJ1p9nfq397J&#10;da7u83nvQ/wePTQMyA7/QDqI6fW7TsJe0cvODCLDQIbg2+PxE/+4B/vxia9/AQ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D3&#10;rgtdFQIAACo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8333"/>
    </w:tblGrid>
    <w:tr w:rsidR="00D33E55">
      <w:tc>
        <w:tcPr>
          <w:tcW w:w="8473" w:type="dxa"/>
        </w:tcPr>
        <w:p w:rsidR="00D33E55" w:rsidRDefault="00D33E55" w:rsidP="00D33E55">
          <w:pPr>
            <w:pStyle w:val="Koptekst"/>
          </w:pPr>
        </w:p>
      </w:tc>
    </w:tr>
  </w:tbl>
  <w:p w:rsidR="00D33E55" w:rsidRDefault="00892D63" w:rsidP="00D33E55">
    <w:pPr>
      <w:pStyle w:val="Koptekst"/>
    </w:pPr>
    <w:r>
      <w:rPr>
        <w:noProof/>
      </w:rPr>
      <mc:AlternateContent>
        <mc:Choice Requires="wps">
          <w:drawing>
            <wp:anchor distT="0" distB="0" distL="114300" distR="114300" simplePos="0" relativeHeight="251670016" behindDoc="0" locked="0" layoutInCell="1" allowOverlap="1" wp14:anchorId="043724D4">
              <wp:simplePos x="0" y="0"/>
              <wp:positionH relativeFrom="column">
                <wp:posOffset>-1943100</wp:posOffset>
              </wp:positionH>
              <wp:positionV relativeFrom="paragraph">
                <wp:posOffset>0</wp:posOffset>
              </wp:positionV>
              <wp:extent cx="7543800" cy="0"/>
              <wp:effectExtent l="9525" t="9525" r="9525" b="9525"/>
              <wp:wrapSquare wrapText="bothSides"/>
              <wp:docPr id="1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F20FF" id="Line 26"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xACFQIAACsEAAAOAAAAZHJzL2Uyb0RvYy54bWysU8GO2jAQvVfqP1i5QxI2sBARVlVCeqFd&#10;pN1+gLEdYtWxLdsQUNV/79gQxLaXarU5OGPPzPObeePl06kT6MiM5UoWUTpOIsQkUZTLfRH9eK1H&#10;8whZhyXFQklWRGdmo6fV50/LXudsololKDMIQKTNe11ErXM6j2NLWtZhO1aaSXA2ynTYwdbsY2pw&#10;D+idiCdJMot7Zag2ijBr4bS6OKNVwG8aRtxz01jmkCgi4ObCasK682u8WuJ8b7BuObnSwO9g0WEu&#10;4dIbVIUdRgfD/4HqODHKqsaNiepi1TScsFADVJMmf1Xz0mLNQi3QHKtvbbIfB0u+H7cGcQraLSIk&#10;cQcabbhkaDLzvem1zSGklFvjqyMn+aI3ivy0SKqyxXLPAsfXs4a81GfEb1L8xmq4Ydd/UxRi8MGp&#10;0KhTYzoPCS1Ap6DH+aYHOzlE4PBxmj3ME5CNDL4Y50OiNtZ9ZapD3igiAaQDMD5urPNEcD6E+Huk&#10;qrkQQW4hUe/rTaZJyLBKcOq9Ps6a/a4UBh2xnxj46jqUBZ77MKMOkga0lmG6vtoOc3Gx4XYhPR7U&#10;Anyu1mUkfi2SxXq+nmejbDJbj7KkqkZf6jIbzer0cVo9VGVZpb89tTTLW04pk57dMJ5p9n/yXx/K&#10;ZbBuA3rrQ/wWPTQMyA7/QDqI6fW7TMJO0fPWDCLDRIbg6+vxI3+/B/v+ja/+AA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C7&#10;TxACFQIAACs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50"/>
      <w:gridCol w:w="5583"/>
    </w:tblGrid>
    <w:tr w:rsidR="00D33E55">
      <w:tc>
        <w:tcPr>
          <w:tcW w:w="2808" w:type="dxa"/>
        </w:tcPr>
        <w:p w:rsidR="00D33E55" w:rsidRDefault="00D33E55" w:rsidP="00D33E55">
          <w:pPr>
            <w:pStyle w:val="Koptekst"/>
          </w:pPr>
          <w:r>
            <w:t>11</w:t>
          </w:r>
        </w:p>
        <w:p w:rsidR="00D33E55" w:rsidRDefault="00D33E55" w:rsidP="00D33E55">
          <w:pPr>
            <w:pStyle w:val="Koptekst"/>
          </w:pPr>
        </w:p>
      </w:tc>
      <w:tc>
        <w:tcPr>
          <w:tcW w:w="5665" w:type="dxa"/>
        </w:tcPr>
        <w:p w:rsidR="00D33E55" w:rsidRDefault="00D33E55" w:rsidP="00D33E55">
          <w:pPr>
            <w:pStyle w:val="Koptekst"/>
          </w:pPr>
          <w:r>
            <w:t>Eigendoms- en auteursrecht van de adviseur</w:t>
          </w:r>
        </w:p>
      </w:tc>
    </w:tr>
  </w:tbl>
  <w:p w:rsidR="00D33E55" w:rsidRDefault="00892D63" w:rsidP="00D33E55">
    <w:pPr>
      <w:pStyle w:val="Koptekst"/>
    </w:pPr>
    <w:r>
      <w:rPr>
        <w:noProof/>
      </w:rPr>
      <mc:AlternateContent>
        <mc:Choice Requires="wps">
          <w:drawing>
            <wp:anchor distT="0" distB="0" distL="114300" distR="114300" simplePos="0" relativeHeight="251661824" behindDoc="0" locked="0" layoutInCell="1" allowOverlap="1" wp14:anchorId="7D4F68B3">
              <wp:simplePos x="0" y="0"/>
              <wp:positionH relativeFrom="column">
                <wp:posOffset>-1943100</wp:posOffset>
              </wp:positionH>
              <wp:positionV relativeFrom="paragraph">
                <wp:posOffset>0</wp:posOffset>
              </wp:positionV>
              <wp:extent cx="7543800" cy="0"/>
              <wp:effectExtent l="9525" t="9525" r="9525" b="9525"/>
              <wp:wrapSquare wrapText="bothSides"/>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4F3D4" id="Line 19"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lGHFQIAACoEAAAOAAAAZHJzL2Uyb0RvYy54bWysU02P2yAQvVfqf0DcE9tZJ5tYcVaVHfey&#10;7Uba7Q8ggGNUDAhInKjqf+9APpRtL1VVH/DAzDzezBuWT8deogO3TmhV4mycYsQV1UyoXYm/vTWj&#10;OUbOE8WI1IqX+MQdflp9/LAcTMEnutOScYsARLliMCXuvDdFkjja8Z64sTZcgbPVticetnaXMEsG&#10;QO9lMknTWTJoy4zVlDsHp/XZiVcRv2059S9t67hHssTAzcfVxnUb1mS1JMXOEtMJeqFB/oFFT4SC&#10;S29QNfEE7a34A6oX1GqnWz+muk902wrKYw1QTZb+Vs1rRwyPtUBznLm1yf0/WPr1sLFIsBLPMFKk&#10;B4meheIoW4TWDMYVEFGpjQ3F0aN6Nc+afndI6aojascjxbeTgbwsZCTvUsLGGbhgO3zRDGLI3uvY&#10;p2Nr+wAJHUDHKMfpJgc/ekTh8HGaP8xTUI1efQkpronGOv+Z6x4Fo8QSSEdgcnh2PhAhxTUk3KN0&#10;I6SMakuFBmC7SKdpzHBaCha8Ic7Z3baSFh1IGBj4miaWBZ77MKv3ikW0jhO2vtieCHm24XapAh7U&#10;Anwu1nkifizSxXq+nuejfDJbj/K0rkefmiofzZrscVo/1FVVZz8DtSwvOsEYV4HddTqz/O/Uv7yT&#10;81zd5vPWh+Q9emwYkL3+I+koZtDvPAlbzU4bexUZBjIGXx5PmPj7Pdj3T3z1Cw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AY&#10;VlGHFQIAACo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53"/>
      <w:gridCol w:w="5580"/>
    </w:tblGrid>
    <w:tr w:rsidR="00D33E55">
      <w:tc>
        <w:tcPr>
          <w:tcW w:w="2808" w:type="dxa"/>
        </w:tcPr>
        <w:p w:rsidR="00D33E55" w:rsidRDefault="00D33E55" w:rsidP="00D33E55">
          <w:pPr>
            <w:pStyle w:val="Koptekst"/>
          </w:pPr>
          <w:r>
            <w:t>12</w:t>
          </w:r>
        </w:p>
        <w:p w:rsidR="00D33E55" w:rsidRDefault="00D33E55" w:rsidP="00D33E55">
          <w:pPr>
            <w:pStyle w:val="Koptekst"/>
          </w:pPr>
        </w:p>
      </w:tc>
      <w:tc>
        <w:tcPr>
          <w:tcW w:w="5665" w:type="dxa"/>
        </w:tcPr>
        <w:p w:rsidR="00D33E55" w:rsidRDefault="00D33E55" w:rsidP="00D33E55">
          <w:pPr>
            <w:pStyle w:val="Koptekst"/>
          </w:pPr>
          <w:r>
            <w:t>Financiële bepalingen</w:t>
          </w:r>
        </w:p>
      </w:tc>
    </w:tr>
  </w:tbl>
  <w:p w:rsidR="00D33E55" w:rsidRDefault="00892D63" w:rsidP="00D33E55">
    <w:pPr>
      <w:pStyle w:val="Koptekst"/>
    </w:pPr>
    <w:r>
      <w:rPr>
        <w:noProof/>
      </w:rPr>
      <mc:AlternateContent>
        <mc:Choice Requires="wps">
          <w:drawing>
            <wp:anchor distT="0" distB="0" distL="114300" distR="114300" simplePos="0" relativeHeight="251662848" behindDoc="0" locked="0" layoutInCell="1" allowOverlap="1" wp14:anchorId="4EE74F4F">
              <wp:simplePos x="0" y="0"/>
              <wp:positionH relativeFrom="column">
                <wp:posOffset>-1943100</wp:posOffset>
              </wp:positionH>
              <wp:positionV relativeFrom="paragraph">
                <wp:posOffset>0</wp:posOffset>
              </wp:positionV>
              <wp:extent cx="7543800" cy="0"/>
              <wp:effectExtent l="9525" t="9525" r="9525" b="9525"/>
              <wp:wrapSquare wrapText="bothSides"/>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130BE" id="Line 2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n/3FgIAACoEAAAOAAAAZHJzL2Uyb0RvYy54bWysU02P2yAQvVfqf0DcE9tZJ5tYcVaVHfey&#10;7Uba7Q8ggGNUDAhInKjqf+9APpRtL1VVH/DADI8382aWT8deogO3TmhV4mycYsQV1UyoXYm/vTWj&#10;OUbOE8WI1IqX+MQdflp9/LAcTMEnutOScYsARLliMCXuvDdFkjja8Z64sTZcgbPVticetnaXMEsG&#10;QO9lMknTWTJoy4zVlDsHp/XZiVcRv2059S9t67hHssTAzcfVxnUb1mS1JMXOEtMJeqFB/oFFT4SC&#10;R29QNfEE7a34A6oX1GqnWz+muk902wrKYw6QTZb+ls1rRwyPuUBxnLmVyf0/WPr1sLFIsBJPMVKk&#10;B4meheJoEkszGFdARKU2NiRHj+rVPGv63SGlq46oHY8U304G7mWhmMm7K2HjDDywHb5oBjFk73Ws&#10;07G1fYCECqBjlON0k4MfPaJw+DjNH+YpqEavvoQU14vGOv+Z6x4Fo8QSSEdgcnh2PhAhxTUkvKN0&#10;I6SMakuFBmC7SKdpvOG0FCx4Q5yzu20lLTqQ0DDwNU1MCzz3YVbvFYtoHSdsfbE9EfJsw+tSBTzI&#10;BfhcrHNH/Fiki/V8Pc9H+WS2HuVpXY8+NVU+mjXZ47R+qKuqzn4GalledIIxrgK7a3dm+d+pf5mT&#10;c1/d+vNWh+Q9eiwYkL3+I+koZtAvjJMrtpqdNvYqMjRkDL4MT+j4+z3Y9yO++gUAAP//AwBQSwME&#10;FAAGAAgAAAAhAMmqXqPcAAAABgEAAA8AAABkcnMvZG93bnJldi54bWxMj8FuwjAQRO+V+g/WIvUG&#10;DtCiKI2DqkqFQ1UhaD/AxEsSiNdW7ITw911O7WW1o1nNvsnXo23FgF1oHCmYzxIQSKUzDVUKfr4/&#10;pimIEDUZ3TpCBTcMsC4eH3KdGXelPQ6HWAkOoZBpBXWMPpMylDVaHWbOI7F3cp3VkWVXSdPpK4fb&#10;Vi6SZCWtbog/1Nrje43l5dBbBX6z2zbV6eXzOezNbXvuv4adj0o9Tca3VxARx/h3DHd8RoeCmY6u&#10;JxNEq2C6TFZcJirgyX6aLng53qUscvkfv/gFAAD//wMAUEsBAi0AFAAGAAgAAAAhALaDOJL+AAAA&#10;4QEAABMAAAAAAAAAAAAAAAAAAAAAAFtDb250ZW50X1R5cGVzXS54bWxQSwECLQAUAAYACAAAACEA&#10;OP0h/9YAAACUAQAACwAAAAAAAAAAAAAAAAAvAQAAX3JlbHMvLnJlbHNQSwECLQAUAAYACAAAACEA&#10;k+J/9xYCAAAqBAAADgAAAAAAAAAAAAAAAAAuAgAAZHJzL2Uyb0RvYy54bWxQSwECLQAUAAYACAAA&#10;ACEAyapeo9wAAAAGAQAADwAAAAAAAAAAAAAAAABwBAAAZHJzL2Rvd25yZXYueG1sUEsFBgAAAAAE&#10;AAQA8wAAAHkFAAAAAA==&#10;" strokecolor="blue" strokeweight="1.5pt">
              <w10:wrap type="square"/>
            </v:lin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E55" w:rsidRDefault="00D33E55" w:rsidP="00D33E55"/>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63"/>
      <w:gridCol w:w="5570"/>
    </w:tblGrid>
    <w:tr w:rsidR="00D33E55">
      <w:tc>
        <w:tcPr>
          <w:tcW w:w="2808" w:type="dxa"/>
        </w:tcPr>
        <w:p w:rsidR="00D33E55" w:rsidRDefault="00D33E55" w:rsidP="00D33E55">
          <w:pPr>
            <w:pStyle w:val="Koptekst"/>
          </w:pPr>
        </w:p>
      </w:tc>
      <w:tc>
        <w:tcPr>
          <w:tcW w:w="5665" w:type="dxa"/>
        </w:tcPr>
        <w:p w:rsidR="00D33E55" w:rsidRDefault="00D33E55" w:rsidP="00D33E55">
          <w:pPr>
            <w:pStyle w:val="Koptekst"/>
          </w:pPr>
        </w:p>
      </w:tc>
    </w:tr>
  </w:tbl>
  <w:p w:rsidR="00D33E55" w:rsidRDefault="00892D63" w:rsidP="00D33E55">
    <w:pPr>
      <w:pStyle w:val="Koptekst"/>
    </w:pPr>
    <w:r>
      <w:rPr>
        <w:noProof/>
      </w:rPr>
      <mc:AlternateContent>
        <mc:Choice Requires="wps">
          <w:drawing>
            <wp:anchor distT="0" distB="0" distL="114300" distR="114300" simplePos="0" relativeHeight="251663872" behindDoc="0" locked="0" layoutInCell="1" allowOverlap="1" wp14:anchorId="53C4C2D2">
              <wp:simplePos x="0" y="0"/>
              <wp:positionH relativeFrom="column">
                <wp:posOffset>-1943100</wp:posOffset>
              </wp:positionH>
              <wp:positionV relativeFrom="paragraph">
                <wp:posOffset>0</wp:posOffset>
              </wp:positionV>
              <wp:extent cx="7543800" cy="0"/>
              <wp:effectExtent l="9525" t="9525" r="9525" b="9525"/>
              <wp:wrapSquare wrapText="bothSides"/>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30288" id="Line 2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FQIAACoEAAAOAAAAZHJzL2Uyb0RvYy54bWysU8GO2jAQvVfqP1i5QxIILESEVZWQXmgX&#10;abcfYGyHWHVsyzYEVPXfOzYEse2lqpqDM/bMPL+ZN149nzuBTsxYrmQRpeMkQkwSRbk8FNG3t3q0&#10;iJB1WFIslGRFdGE2el5//LDqdc4mqlWCMoMARNq810XUOqfzOLakZR22Y6WZBGejTIcdbM0hpgb3&#10;gN6JeJIk87hXhmqjCLMWTqurM1oH/KZhxL00jWUOiSICbi6sJqx7v8brFc4PBuuWkxsN/A8sOswl&#10;XHqHqrDD6Gj4H1AdJ0ZZ1bgxUV2smoYTFmqAatLkt2peW6xZqAWaY/W9Tfb/wZKvp51BnBbRNEIS&#10;dyDRlkuGJhPfml7bHCJKuTO+OHKWr3qryHeLpCpbLA8sUHy7aMhLfUb8LsVvrIYL9v0XRSEGH50K&#10;fTo3pvOQ0AF0DnJc7nKws0MEDp9m2XSRgGpk8MU4HxK1se4zUx3yRhEJIB2A8WlrnSeC8yHE3yNV&#10;zYUIaguJemC7TGZJyLBKcOq9Ps6aw74UBp2wHxj46jqUBZ7HMKOOkga0lmG6udkOc3G14XYhPR7U&#10;Anxu1nUifiyT5WaxWWSjbDLfjLKkqkaf6jIbzev0aVZNq7Ks0p+eWprlLaeUSc9umM40+zv1b+/k&#10;Olf3+bz3IX6PHhoGZId/IB3E9PpdJ2Gv6GVnBpFhIEPw7fH4iX/cg/34xNe/AA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D/&#10;/cYUFQIAACo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50"/>
      <w:gridCol w:w="5583"/>
    </w:tblGrid>
    <w:tr w:rsidR="00D33E55">
      <w:tc>
        <w:tcPr>
          <w:tcW w:w="2808" w:type="dxa"/>
        </w:tcPr>
        <w:p w:rsidR="00D33E55" w:rsidRDefault="00D33E55" w:rsidP="00D33E55">
          <w:pPr>
            <w:pStyle w:val="Koptekst"/>
          </w:pPr>
          <w:r>
            <w:t>13</w:t>
          </w:r>
        </w:p>
        <w:p w:rsidR="00D33E55" w:rsidRDefault="00D33E55" w:rsidP="00D33E55">
          <w:pPr>
            <w:pStyle w:val="Koptekst"/>
          </w:pPr>
        </w:p>
      </w:tc>
      <w:tc>
        <w:tcPr>
          <w:tcW w:w="5665" w:type="dxa"/>
        </w:tcPr>
        <w:p w:rsidR="00D33E55" w:rsidRDefault="00D33E55" w:rsidP="00D33E55">
          <w:pPr>
            <w:pStyle w:val="Koptekst"/>
          </w:pPr>
          <w:r>
            <w:t>Toepasselijk recht, geschillen en vaststelling</w:t>
          </w:r>
        </w:p>
      </w:tc>
    </w:tr>
  </w:tbl>
  <w:p w:rsidR="00D33E55" w:rsidRDefault="00892D63" w:rsidP="00D33E55">
    <w:pPr>
      <w:pStyle w:val="Koptekst"/>
    </w:pPr>
    <w:r>
      <w:rPr>
        <w:noProof/>
      </w:rPr>
      <mc:AlternateContent>
        <mc:Choice Requires="wps">
          <w:drawing>
            <wp:anchor distT="0" distB="0" distL="114300" distR="114300" simplePos="0" relativeHeight="251667968" behindDoc="0" locked="0" layoutInCell="1" allowOverlap="1" wp14:anchorId="1D89E6C7">
              <wp:simplePos x="0" y="0"/>
              <wp:positionH relativeFrom="column">
                <wp:posOffset>-1943100</wp:posOffset>
              </wp:positionH>
              <wp:positionV relativeFrom="paragraph">
                <wp:posOffset>0</wp:posOffset>
              </wp:positionV>
              <wp:extent cx="7543800" cy="0"/>
              <wp:effectExtent l="9525" t="9525" r="9525" b="9525"/>
              <wp:wrapSquare wrapText="bothSides"/>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27966" id="Line 25"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pZFgIAACoEAAAOAAAAZHJzL2Uyb0RvYy54bWysU02P2yAQvVfqf0DcE9tZJ5tYcVaVHfey&#10;7Uba7Q8ggGNUDAhInKjqf+9APpRtL1VVH/DAzDzezBuWT8deogO3TmhV4mycYsQV1UyoXYm/vTWj&#10;OUbOE8WI1IqX+MQdflp9/LAcTMEnutOScYsARLliMCXuvDdFkjja8Z64sTZcgbPVticetnaXMEsG&#10;QO9lMknTWTJoy4zVlDsHp/XZiVcRv2059S9t67hHssTAzcfVxnUb1mS1JMXOEtMJeqFB/oFFT4SC&#10;S29QNfEE7a34A6oX1GqnWz+muk902wrKYw1QTZb+Vs1rRwyPtUBznLm1yf0/WPr1sLFIsBJPMFKk&#10;B4meheJoMg2tGYwrIKJSGxuKo0f1ap41/e6Q0lVH1I5Him8nA3lZyEjepYSNM3DBdviiGcSQvdex&#10;T8fW9gESOoCOUY7TTQ5+9IjC4eM0f5inoBq9+hJSXBONdf4z1z0KRoklkI7A5PDsfCBCimtIuEfp&#10;RkgZ1ZYKDcB2kU7TmOG0FCx4Q5yzu20lLTqQMDDwNU0sCzz3YVbvFYtoHSdsfbE9EfJsw+1SBTyo&#10;BfhcrPNE/Fiki/V8Pc9H+WS2HuVpXY8+NVU+mjXZ47R+qKuqzn4GalledIIxrgK763Rm+d+pf3kn&#10;57m6zeetD8l79NgwIHv9R9JRzKDfeRK2mp029ioyDGQMvjyeMPH3e7Dvn/jqFwAAAP//AwBQSwME&#10;FAAGAAgAAAAhAMmqXqPcAAAABgEAAA8AAABkcnMvZG93bnJldi54bWxMj8FuwjAQRO+V+g/WIvUG&#10;DtCiKI2DqkqFQ1UhaD/AxEsSiNdW7ITw911O7WW1o1nNvsnXo23FgF1oHCmYzxIQSKUzDVUKfr4/&#10;pimIEDUZ3TpCBTcMsC4eH3KdGXelPQ6HWAkOoZBpBXWMPpMylDVaHWbOI7F3cp3VkWVXSdPpK4fb&#10;Vi6SZCWtbog/1Nrje43l5dBbBX6z2zbV6eXzOezNbXvuv4adj0o9Tca3VxARx/h3DHd8RoeCmY6u&#10;JxNEq2C6TFZcJirgyX6aLng53qUscvkfv/gFAAD//wMAUEsBAi0AFAAGAAgAAAAhALaDOJL+AAAA&#10;4QEAABMAAAAAAAAAAAAAAAAAAAAAAFtDb250ZW50X1R5cGVzXS54bWxQSwECLQAUAAYACAAAACEA&#10;OP0h/9YAAACUAQAACwAAAAAAAAAAAAAAAAAvAQAAX3JlbHMvLnJlbHNQSwECLQAUAAYACAAAACEA&#10;G4IqWRYCAAAqBAAADgAAAAAAAAAAAAAAAAAuAgAAZHJzL2Uyb0RvYy54bWxQSwECLQAUAAYACAAA&#10;ACEAyapeo9wAAAAGAQAADwAAAAAAAAAAAAAAAABwBAAAZHJzL2Rvd25yZXYueG1sUEsFBgAAAAAE&#10;AAQA8wAAAHkFAAAAAA==&#10;" strokecolor="blue" strokeweight="1.5pt">
              <w10:wrap type="square"/>
            </v:lin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47"/>
      <w:gridCol w:w="5586"/>
    </w:tblGrid>
    <w:tr w:rsidR="00D33E55">
      <w:tc>
        <w:tcPr>
          <w:tcW w:w="2808" w:type="dxa"/>
        </w:tcPr>
        <w:p w:rsidR="00D33E55" w:rsidRDefault="00D33E55" w:rsidP="00D33E55">
          <w:r>
            <w:t>14</w:t>
          </w:r>
        </w:p>
      </w:tc>
      <w:tc>
        <w:tcPr>
          <w:tcW w:w="5665" w:type="dxa"/>
        </w:tcPr>
        <w:p w:rsidR="00D33E55" w:rsidRDefault="00D33E55" w:rsidP="00D33E55">
          <w:pPr>
            <w:pStyle w:val="Koptekst"/>
          </w:pPr>
          <w:r>
            <w:t>Aanvullende bepalingen</w:t>
          </w:r>
        </w:p>
      </w:tc>
    </w:tr>
  </w:tbl>
  <w:p w:rsidR="00D33E55" w:rsidRDefault="00892D63" w:rsidP="00D33E55">
    <w:pPr>
      <w:pStyle w:val="Koptekst"/>
    </w:pPr>
    <w:r>
      <w:rPr>
        <w:noProof/>
      </w:rPr>
      <mc:AlternateContent>
        <mc:Choice Requires="wps">
          <w:drawing>
            <wp:anchor distT="0" distB="0" distL="114300" distR="114300" simplePos="0" relativeHeight="251665920" behindDoc="0" locked="0" layoutInCell="1" allowOverlap="1" wp14:anchorId="54F39F6D">
              <wp:simplePos x="0" y="0"/>
              <wp:positionH relativeFrom="column">
                <wp:posOffset>-1943100</wp:posOffset>
              </wp:positionH>
              <wp:positionV relativeFrom="paragraph">
                <wp:posOffset>0</wp:posOffset>
              </wp:positionV>
              <wp:extent cx="7543800" cy="0"/>
              <wp:effectExtent l="9525" t="9525" r="9525" b="9525"/>
              <wp:wrapSquare wrapText="bothSides"/>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0EB7B" id="Line 24"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YoFQIAACoEAAAOAAAAZHJzL2Uyb0RvYy54bWysU8GO2jAQvVfqP1i5QxI2sBARVlVCeqFd&#10;pN1+gLEdYtWxLdsQUNV/79gQxLaXarU5OGPPzPObeePl06kT6MiM5UoWUTpOIsQkUZTLfRH9eK1H&#10;8whZhyXFQklWRGdmo6fV50/LXudsololKDMIQKTNe11ErXM6j2NLWtZhO1aaSXA2ynTYwdbsY2pw&#10;D+idiCdJMot7Zag2ijBr4bS6OKNVwG8aRtxz01jmkCgi4ObCasK682u8WuJ8b7BuObnSwO9g0WEu&#10;4dIbVIUdRgfD/4HqODHKqsaNiepi1TScsFADVJMmf1Xz0mLNQi3QHKtvbbIfB0u+H7cGcQraRUji&#10;DiTacMnQJPOt6bXNIaKUW+OLIyf5ojeK/LRIqrLFcs8CxdezhrzUZ8RvUvzGarhg139TFGLwwanQ&#10;p1NjOg8JHUCnIMf5Jgc7OUTg8HGaPcwTUI0MvhjnQ6I21n1lqkPeKCIBpAMwPm6s80RwPoT4e6Sq&#10;uRBBbSFRD2wXyTQJGVYJTr3Xx1mz35XCoCP2AwNfXYeywHMfZtRB0oDWMkzXV9thLi423C6kx4Na&#10;gM/VukzEr0WyWM/X82yUTWbrUZZU1ehLXWajWZ0+TquHqiyr9LenlmZ5yyll0rMbpjPN/k/96zu5&#10;zNVtPm99iN+ih4YB2eEfSAcxvX6XSdgpet6aQWQYyBB8fTx+4u/3YN8/8dUfAA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Ct&#10;DfYoFQIAACo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8333"/>
    </w:tblGrid>
    <w:tr w:rsidR="00D33E55">
      <w:tc>
        <w:tcPr>
          <w:tcW w:w="8473" w:type="dxa"/>
        </w:tcPr>
        <w:p w:rsidR="00D33E55" w:rsidRDefault="00D33E55" w:rsidP="00D33E55">
          <w:pPr>
            <w:pStyle w:val="Koptekst"/>
          </w:pPr>
          <w:r>
            <w:t>Inleiding</w:t>
          </w:r>
        </w:p>
      </w:tc>
    </w:tr>
  </w:tbl>
  <w:p w:rsidR="00D33E55" w:rsidRDefault="00892D63" w:rsidP="00D33E55">
    <w:pPr>
      <w:pStyle w:val="Koptekst"/>
    </w:pPr>
    <w:r>
      <w:rPr>
        <w:noProof/>
      </w:rPr>
      <mc:AlternateContent>
        <mc:Choice Requires="wps">
          <w:drawing>
            <wp:anchor distT="0" distB="0" distL="114300" distR="114300" simplePos="0" relativeHeight="251672064" behindDoc="0" locked="0" layoutInCell="1" allowOverlap="1" wp14:anchorId="006401AE">
              <wp:simplePos x="0" y="0"/>
              <wp:positionH relativeFrom="column">
                <wp:posOffset>-1943100</wp:posOffset>
              </wp:positionH>
              <wp:positionV relativeFrom="paragraph">
                <wp:posOffset>0</wp:posOffset>
              </wp:positionV>
              <wp:extent cx="7543800" cy="0"/>
              <wp:effectExtent l="9525" t="9525" r="9525" b="9525"/>
              <wp:wrapSquare wrapText="bothSides"/>
              <wp:docPr id="1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1B69C" id="Line 27"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0rYFQIAACsEAAAOAAAAZHJzL2Uyb0RvYy54bWysU02P2yAQvVfqf0C+J7azzpcVZ1XZcS9p&#10;N9JufwABHKNiQEDiRFX/ewcSR9n2UlX1AQ/MzOPNvGH1fO4EOjFjuZJFlI6TCDFJFOXyUETf3urR&#10;IkLWYUmxUJIV0YXZ6Hn98cOq1zmbqFYJygwCEGnzXhdR65zO49iSlnXYjpVmEpyNMh12sDWHmBrc&#10;A3on4kmSzOJeGaqNIsxaOK2uzmgd8JuGEffSNJY5JIoIuLmwmrDu/RqvVzg/GKxbTm408D+w6DCX&#10;cOkdqsIOo6Phf0B1nBhlVePGRHWxahpOWKgBqkmT36p5bbFmoRZojtX3Ntn/B0u+nnYGcQragVIS&#10;d6DRlkuGJnPfm17bHEJKuTO+OnKWr3qryHeLpCpbLA8scHy7aMhLfUb8LsVvrIYb9v0XRSEGH50K&#10;jTo3pvOQ0AJ0Dnpc7nqws0MEDufT7GmRgGxk8MU4HxK1se4zUx3yRhEJIB2A8WlrnSeC8yHE3yNV&#10;zYUIcguJemC7TKZJyLBKcOq9Ps6aw74UBp2wnxj46jqUBZ7HMKOOkga0lmG6udkOc3G14XYhPR7U&#10;Anxu1nUkfiyT5WaxWWSjbDLbjLKkqkaf6jIbzep0Pq2eqrKs0p+eWprlLaeUSc9uGM80+zv5bw/l&#10;Olj3Ab33IX6PHhoGZId/IB3E9PpdJ2Gv6GVnBpFhIkPw7fX4kX/cg/34xte/AA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BU&#10;t0rYFQIAACs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29"/>
      <w:gridCol w:w="5604"/>
    </w:tblGrid>
    <w:tr w:rsidR="00D33E55">
      <w:tc>
        <w:tcPr>
          <w:tcW w:w="2808" w:type="dxa"/>
        </w:tcPr>
        <w:p w:rsidR="00D33E55" w:rsidRDefault="00D33E55" w:rsidP="00D33E55">
          <w:pPr>
            <w:pStyle w:val="Koptekst"/>
          </w:pPr>
          <w:r>
            <w:t>1</w:t>
          </w:r>
        </w:p>
        <w:p w:rsidR="00D33E55" w:rsidRDefault="00D33E55" w:rsidP="00D33E55">
          <w:pPr>
            <w:pStyle w:val="Koptekst"/>
          </w:pPr>
        </w:p>
      </w:tc>
      <w:tc>
        <w:tcPr>
          <w:tcW w:w="5665" w:type="dxa"/>
        </w:tcPr>
        <w:p w:rsidR="00D33E55" w:rsidRDefault="00D33E55" w:rsidP="00D33E55">
          <w:pPr>
            <w:pStyle w:val="Koptekst"/>
          </w:pPr>
          <w:r>
            <w:t>Begripsbepalingen</w:t>
          </w:r>
        </w:p>
      </w:tc>
    </w:tr>
  </w:tbl>
  <w:p w:rsidR="00D33E55" w:rsidRDefault="00892D63" w:rsidP="00D33E55">
    <w:pPr>
      <w:pStyle w:val="Koptekst"/>
    </w:pPr>
    <w:r>
      <w:rPr>
        <w:noProof/>
      </w:rPr>
      <mc:AlternateContent>
        <mc:Choice Requires="wps">
          <w:drawing>
            <wp:anchor distT="0" distB="0" distL="114300" distR="114300" simplePos="0" relativeHeight="251653632" behindDoc="0" locked="0" layoutInCell="1" allowOverlap="1" wp14:anchorId="39EDA48B">
              <wp:simplePos x="0" y="0"/>
              <wp:positionH relativeFrom="column">
                <wp:posOffset>-1943100</wp:posOffset>
              </wp:positionH>
              <wp:positionV relativeFrom="paragraph">
                <wp:posOffset>0</wp:posOffset>
              </wp:positionV>
              <wp:extent cx="7543800" cy="0"/>
              <wp:effectExtent l="9525" t="9525" r="9525" b="9525"/>
              <wp:wrapSquare wrapText="bothSides"/>
              <wp:docPr id="1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821FE" id="Line 9"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HBFQIAACoEAAAOAAAAZHJzL2Uyb0RvYy54bWysU02P2yAQvVfqf0C+J7azzpcVZ1XZcS9p&#10;N9JufwABHKNiQEDiRFX/ewcSR9n2UlX1AQ/MzOPNvGH1fO4EOjFjuZJFlI6TCDFJFOXyUETf3urR&#10;IkLWYUmxUJIV0YXZ6Hn98cOq1zmbqFYJygwCEGnzXhdR65zO49iSlnXYjpVmEpyNMh12sDWHmBrc&#10;A3on4kmSzOJeGaqNIsxaOK2uzmgd8JuGEffSNJY5JIoIuLmwmrDu/RqvVzg/GKxbTm408D+w6DCX&#10;cOkdqsIOo6Phf0B1nBhlVePGRHWxahpOWKgBqkmT36p5bbFmoRZojtX3Ntn/B0u+nnYGcQrazSMk&#10;cQcabblkaOlb02ubQ0Qpd8YXR87yVW8V+W6RVGWL5YEFim8XDWmpz4jfpfiN1XDBvv+iKMTgo1Oh&#10;T+fGdB4SOoDOQY7LXQ52dojA4XyaPS0SUI0MvhjnQ6I21n1mqkPeKCIBnAMwPm2t80RwPoT4e6Sq&#10;uRBBbSFRD2yXyTQJGVYJTr3Xx1lz2JfCoBP2AwNfXYeywPMYZtRR0oDWMkw3N9thLq423C6kx4Na&#10;gM/Nuk7Ej2Wy3Cw2i2yUTWabUZZU1ehTXWajWZ3Op9VTVZZV+tNTS7O85ZQy6dkN05lmf6f+7Z1c&#10;5+o+n/c+xO/RQ8OA7PAPpIOYXr/rJOwVvezMIDIMZAi+PR4/8Y97sB+f+PoXAA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Dc&#10;jPHBFQIAACo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E55" w:rsidRDefault="00D33E55" w:rsidP="00D33E5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50"/>
      <w:gridCol w:w="5583"/>
    </w:tblGrid>
    <w:tr w:rsidR="00D33E55">
      <w:tc>
        <w:tcPr>
          <w:tcW w:w="2808" w:type="dxa"/>
        </w:tcPr>
        <w:p w:rsidR="00D33E55" w:rsidRDefault="00D33E55" w:rsidP="00D33E55">
          <w:pPr>
            <w:pStyle w:val="Koptekst"/>
          </w:pPr>
          <w:r>
            <w:t>2</w:t>
          </w:r>
        </w:p>
        <w:p w:rsidR="00D33E55" w:rsidRDefault="00D33E55" w:rsidP="00D33E55">
          <w:pPr>
            <w:pStyle w:val="Koptekst"/>
          </w:pPr>
        </w:p>
      </w:tc>
      <w:tc>
        <w:tcPr>
          <w:tcW w:w="5665" w:type="dxa"/>
        </w:tcPr>
        <w:p w:rsidR="00D33E55" w:rsidRDefault="00D33E55" w:rsidP="00D33E55">
          <w:pPr>
            <w:pStyle w:val="Koptekst"/>
          </w:pPr>
          <w:r>
            <w:t>Algemene bepalingen omtrent de opdracht</w:t>
          </w:r>
        </w:p>
      </w:tc>
    </w:tr>
  </w:tbl>
  <w:p w:rsidR="00D33E55" w:rsidRDefault="00892D63" w:rsidP="00D33E55">
    <w:pPr>
      <w:pStyle w:val="Koptekst"/>
    </w:pPr>
    <w:r>
      <w:rPr>
        <w:noProof/>
      </w:rPr>
      <mc:AlternateContent>
        <mc:Choice Requires="wps">
          <w:drawing>
            <wp:anchor distT="0" distB="0" distL="114300" distR="114300" simplePos="0" relativeHeight="251650560" behindDoc="0" locked="0" layoutInCell="1" allowOverlap="1" wp14:anchorId="5CDA9635">
              <wp:simplePos x="0" y="0"/>
              <wp:positionH relativeFrom="column">
                <wp:posOffset>-1943100</wp:posOffset>
              </wp:positionH>
              <wp:positionV relativeFrom="paragraph">
                <wp:posOffset>0</wp:posOffset>
              </wp:positionV>
              <wp:extent cx="7543800" cy="0"/>
              <wp:effectExtent l="9525" t="9525" r="9525" b="9525"/>
              <wp:wrapSquare wrapText="bothSides"/>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34279" id="Line 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9GRFQIAACoEAAAOAAAAZHJzL2Uyb0RvYy54bWysU8GO2jAQvVfqP1i5QxI2sBARVlVCeqFd&#10;pN1+gLEdYtWxLdsQUNV/79gQxLaXarU5OGPPzPObeePl06kT6MiM5UoWUTpOIsQkUZTLfRH9eK1H&#10;8whZhyXFQklWRGdmo6fV50/LXudsololKDMIQKTNe11ErXM6j2NLWtZhO1aaSXA2ynTYwdbsY2pw&#10;D+idiCdJMot7Zag2ijBr4bS6OKNVwG8aRtxz01jmkCgi4ObCasK682u8WuJ8b7BuObnSwO9g0WEu&#10;4dIbVIUdRgfD/4HqODHKqsaNiepi1TScsFADVJMmf1Xz0mLNQi3QHKtvbbIfB0u+H7cGcQrazSIk&#10;cQcabbhkKPOt6bXNIaKUW+OLIyf5ojeK/LRIqrLFcs8CxdezhrTUZ8RvUvzGarhg139TFGLwwanQ&#10;p1NjOg8JHUCnIMf5Jgc7OUTg8HGaPcwTUI0MvhjnQ6I21n1lqkPeKCIBnAMwPm6s80RwPoT4e6Sq&#10;uRBBbSFRD2wXyTQJGVYJTr3Xx1mz35XCoCP2AwNfXYeywHMfZtRB0oDWMkzXV9thLi423C6kx4Na&#10;gM/VukzEr0WyWM/X82yUTWbrUZZU1ehLXWajWZ0+TquHqiyr9LenlmZ5yyll0rMbpjPN/k/96zu5&#10;zNVtPm99iN+ih4YB2eEfSAcxvX6XSdgpet6aQWQYyBB8fTx+4u/3YN8/8dUfAA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Df&#10;R9GRFQIAACo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E55" w:rsidRDefault="00D33E55" w:rsidP="00D33E55"/>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50"/>
      <w:gridCol w:w="5583"/>
    </w:tblGrid>
    <w:tr w:rsidR="00D33E55">
      <w:tc>
        <w:tcPr>
          <w:tcW w:w="2808" w:type="dxa"/>
        </w:tcPr>
        <w:p w:rsidR="00D33E55" w:rsidRDefault="00D33E55" w:rsidP="00D33E55">
          <w:pPr>
            <w:pStyle w:val="Koptekst"/>
          </w:pPr>
          <w:r>
            <w:t>3</w:t>
          </w:r>
        </w:p>
        <w:p w:rsidR="00D33E55" w:rsidRDefault="00D33E55" w:rsidP="00D33E55">
          <w:pPr>
            <w:pStyle w:val="Koptekst"/>
          </w:pPr>
        </w:p>
      </w:tc>
      <w:tc>
        <w:tcPr>
          <w:tcW w:w="5665" w:type="dxa"/>
        </w:tcPr>
        <w:p w:rsidR="00D33E55" w:rsidRDefault="00D33E55" w:rsidP="00D33E55">
          <w:pPr>
            <w:pStyle w:val="Koptekst"/>
          </w:pPr>
          <w:r>
            <w:t>Bijzondere bepalingen omtrent de opdracht</w:t>
          </w:r>
        </w:p>
      </w:tc>
    </w:tr>
  </w:tbl>
  <w:p w:rsidR="00D33E55" w:rsidRDefault="00892D63" w:rsidP="00D33E55">
    <w:pPr>
      <w:pStyle w:val="Koptekst"/>
    </w:pPr>
    <w:r>
      <w:rPr>
        <w:noProof/>
      </w:rPr>
      <mc:AlternateContent>
        <mc:Choice Requires="wps">
          <w:drawing>
            <wp:anchor distT="0" distB="0" distL="114300" distR="114300" simplePos="0" relativeHeight="251652608" behindDoc="0" locked="0" layoutInCell="1" allowOverlap="1" wp14:anchorId="3CD20164">
              <wp:simplePos x="0" y="0"/>
              <wp:positionH relativeFrom="column">
                <wp:posOffset>-1943100</wp:posOffset>
              </wp:positionH>
              <wp:positionV relativeFrom="paragraph">
                <wp:posOffset>0</wp:posOffset>
              </wp:positionV>
              <wp:extent cx="7543800" cy="0"/>
              <wp:effectExtent l="9525" t="9525" r="9525" b="9525"/>
              <wp:wrapSquare wrapText="bothSides"/>
              <wp:docPr id="1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AA7A1" id="Line 8"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Jr0FQIAACoEAAAOAAAAZHJzL2Uyb0RvYy54bWysU8GO2jAQvVfqP1i5QxI2sBARVlVCeqFd&#10;pN1+gLEdYtWxLdsQUNV/79gQxLaXarU5OGPPzPObeePl06kT6MiM5UoWUTpOIsQkUZTLfRH9eK1H&#10;8whZhyXFQklWRGdmo6fV50/LXudsololKDMIQKTNe11ErXM6j2NLWtZhO1aaSXA2ynTYwdbsY2pw&#10;D+idiCdJMot7Zag2ijBr4bS6OKNVwG8aRtxz01jmkCgi4ObCasK682u8WuJ8b7BuObnSwO9g0WEu&#10;4dIbVIUdRgfD/4HqODHKqsaNiepi1TScsFADVJMmf1Xz0mLNQi3QHKtvbbIfB0u+H7cGcQraTSMk&#10;cQcabbhkaO5b02ubQ0Qpt8YXR07yRW8U+WmRVGWL5Z4Fiq9nDWmpz4jfpPiN1XDBrv+mKMTgg1Oh&#10;T6fGdB4SOoBOQY7zTQ52cojA4eM0e5gnoBoZfDHOh0RtrPvKVIe8UUQCOAdgfNxY54ngfAjx90hV&#10;cyGC2kKiHtgukmkSMqwSnHqvj7NmvyuFQUfsBwa+ug5lgec+zKiDpAGtZZiur7bDXFxsuF1Ijwe1&#10;AJ+rdZmIX4tksZ6v59kom8zWoyypqtGXusxGszp9nFYPVVlW6W9PLc3yllPKpGc3TGea/Z/613dy&#10;mavbfN76EL9FDw0DssM/kA5iev0uk7BT9Lw1g8gwkCH4+nj8xN/vwb5/4qs/AAAA//8DAFBLAwQU&#10;AAYACAAAACEAyapeo9wAAAAGAQAADwAAAGRycy9kb3ducmV2LnhtbEyPwW7CMBBE75X6D9Yi9QYO&#10;0KIojYOqSoVDVSFoP8DESxKI11bshPD3XU7tZbWjWc2+ydejbcWAXWgcKZjPEhBIpTMNVQp+vj+m&#10;KYgQNRndOkIFNwywLh4fcp0Zd6U9DodYCQ6hkGkFdYw+kzKUNVodZs4jsXdyndWRZVdJ0+krh9tW&#10;LpJkJa1uiD/U2uN7jeXl0FsFfrPbNtXp5fM57M1te+6/hp2PSj1NxrdXEBHH+HcMd3xGh4KZjq4n&#10;E0SrYLpMVlwmKuDJfpoueDnepSxy+R+/+AUAAP//AwBQSwECLQAUAAYACAAAACEAtoM4kv4AAADh&#10;AQAAEwAAAAAAAAAAAAAAAAAAAAAAW0NvbnRlbnRfVHlwZXNdLnhtbFBLAQItABQABgAIAAAAIQA4&#10;/SH/1gAAAJQBAAALAAAAAAAAAAAAAAAAAC8BAABfcmVscy8ucmVsc1BLAQItABQABgAIAAAAIQCQ&#10;zJr0FQIAACoEAAAOAAAAAAAAAAAAAAAAAC4CAABkcnMvZTJvRG9jLnhtbFBLAQItABQABgAIAAAA&#10;IQDJql6j3AAAAAYBAAAPAAAAAAAAAAAAAAAAAG8EAABkcnMvZG93bnJldi54bWxQSwUGAAAAAAQA&#10;BADzAAAAeAUAAAAA&#10;" strokecolor="blue" strokeweight="1.5pt">
              <w10:wrap type="squar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743"/>
      <w:gridCol w:w="5590"/>
    </w:tblGrid>
    <w:tr w:rsidR="00D33E55">
      <w:tc>
        <w:tcPr>
          <w:tcW w:w="2808" w:type="dxa"/>
        </w:tcPr>
        <w:p w:rsidR="00D33E55" w:rsidRDefault="00D33E55" w:rsidP="00D33E55">
          <w:pPr>
            <w:pStyle w:val="Koptekst"/>
          </w:pPr>
          <w:r>
            <w:t>4</w:t>
          </w:r>
        </w:p>
        <w:p w:rsidR="00D33E55" w:rsidRDefault="00D33E55" w:rsidP="00D33E55">
          <w:pPr>
            <w:pStyle w:val="Koptekst"/>
          </w:pPr>
        </w:p>
      </w:tc>
      <w:tc>
        <w:tcPr>
          <w:tcW w:w="5665" w:type="dxa"/>
        </w:tcPr>
        <w:p w:rsidR="00D33E55" w:rsidRDefault="00D33E55" w:rsidP="00D33E55">
          <w:pPr>
            <w:pStyle w:val="Koptekst"/>
          </w:pPr>
          <w:r>
            <w:t>Aanpassingen en wijzigingen</w:t>
          </w:r>
        </w:p>
      </w:tc>
    </w:tr>
  </w:tbl>
  <w:p w:rsidR="00D33E55" w:rsidRDefault="00892D63" w:rsidP="00D33E55">
    <w:pPr>
      <w:pStyle w:val="Koptekst"/>
    </w:pPr>
    <w:r>
      <w:rPr>
        <w:noProof/>
      </w:rPr>
      <mc:AlternateContent>
        <mc:Choice Requires="wps">
          <w:drawing>
            <wp:anchor distT="0" distB="0" distL="114300" distR="114300" simplePos="0" relativeHeight="251654656" behindDoc="0" locked="0" layoutInCell="1" allowOverlap="1" wp14:anchorId="54122082">
              <wp:simplePos x="0" y="0"/>
              <wp:positionH relativeFrom="column">
                <wp:posOffset>-1943100</wp:posOffset>
              </wp:positionH>
              <wp:positionV relativeFrom="paragraph">
                <wp:posOffset>0</wp:posOffset>
              </wp:positionV>
              <wp:extent cx="7543800" cy="0"/>
              <wp:effectExtent l="9525" t="9525" r="9525" b="9525"/>
              <wp:wrapSquare wrapText="bothSides"/>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DD1D7" id="Line 1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DEFgIAACsEAAAOAAAAZHJzL2Uyb0RvYy54bWysU8GO2jAQvVfqP1i5QxI2sBARVlVCeqFd&#10;pN1+gLEdYtWxLdsQUNV/79gQxLaXarU5OGPP+PnNvJnl06kT6MiM5UoWUTpOIsQkUZTLfRH9eK1H&#10;8whZhyXFQklWRGdmo6fV50/LXudsololKDMIQKTNe11ErXM6j2NLWtZhO1aaSXA2ynTYwdbsY2pw&#10;D+idiCdJMot7Zag2ijBr4bS6OKNVwG8aRtxz01jmkCgi4ObCasK682u8WuJ8b7BuObnSwO9g0WEu&#10;4dEbVIUdRgfD/4HqODHKqsaNiepi1TScsJADZJMmf2Xz0mLNQi5QHKtvZbIfB0u+H7cGcQraZRGS&#10;uAONNlwylIba9NrmEFLKrfHZkZN80RtFflokVdliuWeB4+tZw73UVzN+c8VvrIYXdv03RSEGH5wK&#10;hTo1pvOQUAJ0Cnqcb3qwk0MEDh+n2cM8AdnI4ItxPlzUxrqvTHXIG0UkgHQAxseNdZ4IzocQ/45U&#10;NRciyC0k6oHtIpkm4YZVglPv9XHW7HelMOiIfcfAV9chLfDchxl1kDSgtQzT9dV2mIuLDa8L6fEg&#10;F+BztS4t8WuRLNbz9TwbZZPZepQlVTX6UpfZaFanj9PqoSrLKv3tqaVZ3nJKmfTshvZMs/+T/zoo&#10;l8a6NeitDvFb9FAwIDv8A+kgptfPz5PNd4qet2YQGToyBF+nx7f8/R7s+xlf/QEAAP//AwBQSwME&#10;FAAGAAgAAAAhAMmqXqPcAAAABgEAAA8AAABkcnMvZG93bnJldi54bWxMj8FuwjAQRO+V+g/WIvUG&#10;DtCiKI2DqkqFQ1UhaD/AxEsSiNdW7ITw911O7WW1o1nNvsnXo23FgF1oHCmYzxIQSKUzDVUKfr4/&#10;pimIEDUZ3TpCBTcMsC4eH3KdGXelPQ6HWAkOoZBpBXWMPpMylDVaHWbOI7F3cp3VkWVXSdPpK4fb&#10;Vi6SZCWtbog/1Nrje43l5dBbBX6z2zbV6eXzOezNbXvuv4adj0o9Tca3VxARx/h3DHd8RoeCmY6u&#10;JxNEq2C6TFZcJirgyX6aLng53qUscvkfv/gFAAD//wMAUEsBAi0AFAAGAAgAAAAhALaDOJL+AAAA&#10;4QEAABMAAAAAAAAAAAAAAAAAAAAAAFtDb250ZW50X1R5cGVzXS54bWxQSwECLQAUAAYACAAAACEA&#10;OP0h/9YAAACUAQAACwAAAAAAAAAAAAAAAAAvAQAAX3JlbHMvLnJlbHNQSwECLQAUAAYACAAAACEA&#10;z3swxBYCAAArBAAADgAAAAAAAAAAAAAAAAAuAgAAZHJzL2Uyb0RvYy54bWxQSwECLQAUAAYACAAA&#10;ACEAyapeo9wAAAAGAQAADwAAAAAAAAAAAAAAAABwBAAAZHJzL2Rvd25yZXYueG1sUEsFBgAAAAAE&#10;AAQA8wAAAHkFAAAAAA==&#10;" strokecolor="blue" strokeweight="1.5pt">
              <w10:wrap type="squar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7E0"/>
    <w:multiLevelType w:val="hybridMultilevel"/>
    <w:tmpl w:val="AEB4A35C"/>
    <w:lvl w:ilvl="0" w:tplc="4620C360">
      <w:start w:val="1"/>
      <w:numFmt w:val="bullet"/>
      <w:lvlText w:val=""/>
      <w:lvlJc w:val="left"/>
      <w:pPr>
        <w:tabs>
          <w:tab w:val="num" w:pos="360"/>
        </w:tabs>
        <w:ind w:left="360" w:hanging="360"/>
      </w:pPr>
      <w:rPr>
        <w:rFonts w:ascii="Symbol" w:hAnsi="Symbol" w:hint="default"/>
        <w:color w:val="auto"/>
        <w:sz w:val="14"/>
        <w:szCs w:val="1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F474D"/>
    <w:multiLevelType w:val="multilevel"/>
    <w:tmpl w:val="28C695FC"/>
    <w:lvl w:ilvl="0">
      <w:start w:val="1"/>
      <w:numFmt w:val="bullet"/>
      <w:lvlText w:val=""/>
      <w:lvlJc w:val="left"/>
      <w:pPr>
        <w:tabs>
          <w:tab w:val="num" w:pos="360"/>
        </w:tabs>
        <w:ind w:left="357" w:hanging="357"/>
      </w:pPr>
      <w:rPr>
        <w:rFonts w:ascii="Symbol" w:hAnsi="Symbol" w:cs="Times New Roman" w:hint="default"/>
        <w:color w:val="auto"/>
        <w:sz w:val="14"/>
        <w:szCs w:val="1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01AF7"/>
    <w:multiLevelType w:val="hybridMultilevel"/>
    <w:tmpl w:val="6EB6DC80"/>
    <w:lvl w:ilvl="0" w:tplc="4620C360">
      <w:start w:val="1"/>
      <w:numFmt w:val="bullet"/>
      <w:lvlText w:val=""/>
      <w:lvlJc w:val="left"/>
      <w:pPr>
        <w:tabs>
          <w:tab w:val="num" w:pos="360"/>
        </w:tabs>
        <w:ind w:left="360" w:hanging="360"/>
      </w:pPr>
      <w:rPr>
        <w:rFonts w:ascii="Symbol" w:hAnsi="Symbol" w:hint="default"/>
        <w:color w:val="auto"/>
        <w:sz w:val="14"/>
        <w:szCs w:val="1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002A1"/>
    <w:multiLevelType w:val="multilevel"/>
    <w:tmpl w:val="64E07080"/>
    <w:lvl w:ilvl="0">
      <w:start w:val="1"/>
      <w:numFmt w:val="bullet"/>
      <w:lvlText w:val=""/>
      <w:lvlJc w:val="left"/>
      <w:pPr>
        <w:tabs>
          <w:tab w:val="num" w:pos="360"/>
        </w:tabs>
        <w:ind w:left="357" w:hanging="357"/>
      </w:pPr>
      <w:rPr>
        <w:rFonts w:ascii="Symbol" w:hAnsi="Symbol" w:cs="Times New Roman" w:hint="default"/>
        <w:color w:val="auto"/>
        <w:sz w:val="14"/>
        <w:szCs w:val="1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B728B6"/>
    <w:multiLevelType w:val="hybridMultilevel"/>
    <w:tmpl w:val="28C695FC"/>
    <w:lvl w:ilvl="0" w:tplc="0F382ABA">
      <w:start w:val="1"/>
      <w:numFmt w:val="bullet"/>
      <w:lvlText w:val=""/>
      <w:lvlJc w:val="left"/>
      <w:pPr>
        <w:tabs>
          <w:tab w:val="num" w:pos="360"/>
        </w:tabs>
        <w:ind w:left="357" w:hanging="357"/>
      </w:pPr>
      <w:rPr>
        <w:rFonts w:ascii="Symbol" w:hAnsi="Symbol" w:cs="Times New Roman" w:hint="default"/>
        <w:color w:val="auto"/>
        <w:sz w:val="14"/>
        <w:szCs w:val="1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DB4F8E"/>
    <w:multiLevelType w:val="hybridMultilevel"/>
    <w:tmpl w:val="64E07080"/>
    <w:lvl w:ilvl="0" w:tplc="0F382ABA">
      <w:start w:val="1"/>
      <w:numFmt w:val="bullet"/>
      <w:lvlText w:val=""/>
      <w:lvlJc w:val="left"/>
      <w:pPr>
        <w:tabs>
          <w:tab w:val="num" w:pos="360"/>
        </w:tabs>
        <w:ind w:left="357" w:hanging="357"/>
      </w:pPr>
      <w:rPr>
        <w:rFonts w:ascii="Symbol" w:hAnsi="Symbol" w:cs="Times New Roman" w:hint="default"/>
        <w:color w:val="auto"/>
        <w:sz w:val="14"/>
        <w:szCs w:val="1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98F"/>
    <w:rsid w:val="000210F1"/>
    <w:rsid w:val="00051156"/>
    <w:rsid w:val="000542ED"/>
    <w:rsid w:val="00054884"/>
    <w:rsid w:val="00063DCF"/>
    <w:rsid w:val="000828D8"/>
    <w:rsid w:val="000924B3"/>
    <w:rsid w:val="00132A3F"/>
    <w:rsid w:val="00136BC8"/>
    <w:rsid w:val="00156F02"/>
    <w:rsid w:val="00160AF3"/>
    <w:rsid w:val="00176613"/>
    <w:rsid w:val="001B05E1"/>
    <w:rsid w:val="001B3A15"/>
    <w:rsid w:val="00225E8A"/>
    <w:rsid w:val="0024382A"/>
    <w:rsid w:val="0027051E"/>
    <w:rsid w:val="00280608"/>
    <w:rsid w:val="002A10F0"/>
    <w:rsid w:val="00303B4D"/>
    <w:rsid w:val="00320D32"/>
    <w:rsid w:val="0038688A"/>
    <w:rsid w:val="003A498E"/>
    <w:rsid w:val="003B0EB4"/>
    <w:rsid w:val="003C63E8"/>
    <w:rsid w:val="003D0491"/>
    <w:rsid w:val="003D30D7"/>
    <w:rsid w:val="003D44DD"/>
    <w:rsid w:val="004126E0"/>
    <w:rsid w:val="004475C4"/>
    <w:rsid w:val="004551B8"/>
    <w:rsid w:val="0046244F"/>
    <w:rsid w:val="00467D80"/>
    <w:rsid w:val="004777B8"/>
    <w:rsid w:val="00484CC2"/>
    <w:rsid w:val="004929FB"/>
    <w:rsid w:val="00493468"/>
    <w:rsid w:val="004B70DB"/>
    <w:rsid w:val="004E2FAC"/>
    <w:rsid w:val="004F2E9A"/>
    <w:rsid w:val="004F6DEF"/>
    <w:rsid w:val="005029CA"/>
    <w:rsid w:val="005158F0"/>
    <w:rsid w:val="00522977"/>
    <w:rsid w:val="00525234"/>
    <w:rsid w:val="00532E52"/>
    <w:rsid w:val="00572C37"/>
    <w:rsid w:val="005B06BF"/>
    <w:rsid w:val="005E7D22"/>
    <w:rsid w:val="005F3561"/>
    <w:rsid w:val="005F44C8"/>
    <w:rsid w:val="00600E63"/>
    <w:rsid w:val="0065243A"/>
    <w:rsid w:val="00697696"/>
    <w:rsid w:val="006A5713"/>
    <w:rsid w:val="006B14F9"/>
    <w:rsid w:val="00735327"/>
    <w:rsid w:val="00746F57"/>
    <w:rsid w:val="00756DF1"/>
    <w:rsid w:val="00773F69"/>
    <w:rsid w:val="007A7EBD"/>
    <w:rsid w:val="007B2308"/>
    <w:rsid w:val="007B7622"/>
    <w:rsid w:val="0080798F"/>
    <w:rsid w:val="00842F04"/>
    <w:rsid w:val="00873D1B"/>
    <w:rsid w:val="00874162"/>
    <w:rsid w:val="00881539"/>
    <w:rsid w:val="00892D63"/>
    <w:rsid w:val="00896E72"/>
    <w:rsid w:val="008B0759"/>
    <w:rsid w:val="009672A2"/>
    <w:rsid w:val="009775A6"/>
    <w:rsid w:val="009C0AF8"/>
    <w:rsid w:val="009D0D11"/>
    <w:rsid w:val="00A257D3"/>
    <w:rsid w:val="00A31458"/>
    <w:rsid w:val="00A52D47"/>
    <w:rsid w:val="00A52F9E"/>
    <w:rsid w:val="00AC3A8C"/>
    <w:rsid w:val="00B200CF"/>
    <w:rsid w:val="00B22F5B"/>
    <w:rsid w:val="00B40049"/>
    <w:rsid w:val="00B733AC"/>
    <w:rsid w:val="00B8610E"/>
    <w:rsid w:val="00BC2144"/>
    <w:rsid w:val="00BD1D99"/>
    <w:rsid w:val="00BE6E32"/>
    <w:rsid w:val="00C15DE4"/>
    <w:rsid w:val="00C40894"/>
    <w:rsid w:val="00C70746"/>
    <w:rsid w:val="00C85248"/>
    <w:rsid w:val="00CA51DE"/>
    <w:rsid w:val="00CC7C88"/>
    <w:rsid w:val="00CD3FBE"/>
    <w:rsid w:val="00D00E7D"/>
    <w:rsid w:val="00D04957"/>
    <w:rsid w:val="00D33328"/>
    <w:rsid w:val="00D33E55"/>
    <w:rsid w:val="00D3753D"/>
    <w:rsid w:val="00D64462"/>
    <w:rsid w:val="00DA14C4"/>
    <w:rsid w:val="00E01AD8"/>
    <w:rsid w:val="00E07C2A"/>
    <w:rsid w:val="00E1182E"/>
    <w:rsid w:val="00E610D0"/>
    <w:rsid w:val="00E804FE"/>
    <w:rsid w:val="00E84160"/>
    <w:rsid w:val="00EA64DA"/>
    <w:rsid w:val="00EB01DD"/>
    <w:rsid w:val="00EC5FA5"/>
    <w:rsid w:val="00ED5717"/>
    <w:rsid w:val="00EE4B76"/>
    <w:rsid w:val="00EF2988"/>
    <w:rsid w:val="00EF6EFF"/>
    <w:rsid w:val="00F018AC"/>
    <w:rsid w:val="00F63D47"/>
    <w:rsid w:val="00F647BA"/>
    <w:rsid w:val="00FB3568"/>
    <w:rsid w:val="00FD346C"/>
    <w:rsid w:val="00FF72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7DE4315"/>
  <w15:docId w15:val="{3EF06701-FCE7-4F1A-B05C-DA7A7368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D33E55"/>
    <w:rPr>
      <w:rFonts w:ascii="Arial" w:hAnsi="Arial"/>
      <w:sz w:val="18"/>
      <w:szCs w:val="24"/>
    </w:rPr>
  </w:style>
  <w:style w:type="paragraph" w:styleId="Kop1">
    <w:name w:val="heading 1"/>
    <w:basedOn w:val="Standaard"/>
    <w:next w:val="Standaard"/>
    <w:qFormat/>
    <w:rsid w:val="006A5713"/>
    <w:pPr>
      <w:keepNext/>
      <w:spacing w:before="240" w:after="60"/>
      <w:outlineLvl w:val="0"/>
    </w:pPr>
    <w:rPr>
      <w:rFonts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1"/>
    <w:rsid w:val="006A5713"/>
    <w:pPr>
      <w:spacing w:after="0"/>
    </w:pPr>
    <w:rPr>
      <w:sz w:val="28"/>
    </w:rPr>
  </w:style>
  <w:style w:type="paragraph" w:styleId="Koptekst">
    <w:name w:val="header"/>
    <w:basedOn w:val="Standaard"/>
    <w:autoRedefine/>
    <w:semiHidden/>
    <w:rsid w:val="006A5713"/>
    <w:pPr>
      <w:tabs>
        <w:tab w:val="center" w:pos="4536"/>
        <w:tab w:val="right" w:pos="9072"/>
      </w:tabs>
    </w:pPr>
    <w:rPr>
      <w:b/>
      <w:color w:val="0000FF"/>
      <w:sz w:val="40"/>
      <w:szCs w:val="40"/>
    </w:rPr>
  </w:style>
  <w:style w:type="paragraph" w:styleId="Voettekst">
    <w:name w:val="footer"/>
    <w:basedOn w:val="Standaard"/>
    <w:semiHidden/>
    <w:rsid w:val="006A5713"/>
    <w:pPr>
      <w:tabs>
        <w:tab w:val="center" w:pos="4536"/>
        <w:tab w:val="right" w:pos="9072"/>
      </w:tabs>
    </w:pPr>
  </w:style>
  <w:style w:type="paragraph" w:styleId="Ballontekst">
    <w:name w:val="Balloon Text"/>
    <w:basedOn w:val="Standaard"/>
    <w:semiHidden/>
    <w:rsid w:val="006A5713"/>
    <w:rPr>
      <w:rFonts w:ascii="Tahoma" w:hAnsi="Tahoma" w:cs="Tahoma"/>
      <w:sz w:val="16"/>
      <w:szCs w:val="16"/>
    </w:rPr>
  </w:style>
  <w:style w:type="character" w:styleId="Paginanummer">
    <w:name w:val="page number"/>
    <w:basedOn w:val="Standaardalinea-lettertype"/>
    <w:semiHidden/>
    <w:rsid w:val="006A5713"/>
  </w:style>
  <w:style w:type="character" w:styleId="Verwijzingopmerking">
    <w:name w:val="annotation reference"/>
    <w:basedOn w:val="Standaardalinea-lettertype"/>
    <w:uiPriority w:val="99"/>
    <w:semiHidden/>
    <w:unhideWhenUsed/>
    <w:rsid w:val="007A7EBD"/>
    <w:rPr>
      <w:sz w:val="16"/>
      <w:szCs w:val="16"/>
    </w:rPr>
  </w:style>
  <w:style w:type="paragraph" w:styleId="Tekstopmerking">
    <w:name w:val="annotation text"/>
    <w:basedOn w:val="Standaard"/>
    <w:link w:val="TekstopmerkingChar"/>
    <w:uiPriority w:val="99"/>
    <w:semiHidden/>
    <w:unhideWhenUsed/>
    <w:rsid w:val="007A7EBD"/>
    <w:rPr>
      <w:sz w:val="20"/>
      <w:szCs w:val="20"/>
    </w:rPr>
  </w:style>
  <w:style w:type="character" w:customStyle="1" w:styleId="TekstopmerkingChar">
    <w:name w:val="Tekst opmerking Char"/>
    <w:basedOn w:val="Standaardalinea-lettertype"/>
    <w:link w:val="Tekstopmerking"/>
    <w:uiPriority w:val="99"/>
    <w:semiHidden/>
    <w:rsid w:val="007A7EBD"/>
    <w:rPr>
      <w:rFonts w:ascii="Arial" w:hAnsi="Arial"/>
    </w:rPr>
  </w:style>
  <w:style w:type="paragraph" w:styleId="Onderwerpvanopmerking">
    <w:name w:val="annotation subject"/>
    <w:basedOn w:val="Tekstopmerking"/>
    <w:next w:val="Tekstopmerking"/>
    <w:link w:val="OnderwerpvanopmerkingChar"/>
    <w:uiPriority w:val="99"/>
    <w:semiHidden/>
    <w:unhideWhenUsed/>
    <w:rsid w:val="007A7EBD"/>
    <w:rPr>
      <w:b/>
      <w:bCs/>
    </w:rPr>
  </w:style>
  <w:style w:type="character" w:customStyle="1" w:styleId="OnderwerpvanopmerkingChar">
    <w:name w:val="Onderwerp van opmerking Char"/>
    <w:basedOn w:val="TekstopmerkingChar"/>
    <w:link w:val="Onderwerpvanopmerking"/>
    <w:uiPriority w:val="99"/>
    <w:semiHidden/>
    <w:rsid w:val="007A7EBD"/>
    <w:rPr>
      <w:rFonts w:ascii="Arial" w:hAnsi="Arial"/>
      <w:b/>
      <w:bCs/>
    </w:rPr>
  </w:style>
  <w:style w:type="paragraph" w:styleId="Lijstalinea">
    <w:name w:val="List Paragraph"/>
    <w:basedOn w:val="Standaard"/>
    <w:uiPriority w:val="34"/>
    <w:qFormat/>
    <w:rsid w:val="001B3A15"/>
    <w:pPr>
      <w:ind w:left="720"/>
      <w:contextualSpacing/>
    </w:pPr>
  </w:style>
  <w:style w:type="paragraph" w:styleId="Normaalweb">
    <w:name w:val="Normal (Web)"/>
    <w:basedOn w:val="Standaard"/>
    <w:uiPriority w:val="99"/>
    <w:unhideWhenUsed/>
    <w:rsid w:val="00C85248"/>
    <w:pPr>
      <w:spacing w:before="100" w:beforeAutospacing="1" w:after="100" w:afterAutospacing="1"/>
    </w:pPr>
    <w:rPr>
      <w:rFonts w:ascii="Times New Roman" w:hAnsi="Times New Roman"/>
      <w:sz w:val="24"/>
    </w:rPr>
  </w:style>
  <w:style w:type="table" w:customStyle="1" w:styleId="Tabelrasterlicht1">
    <w:name w:val="Tabelraster licht1"/>
    <w:basedOn w:val="Standaardtabel"/>
    <w:uiPriority w:val="40"/>
    <w:rsid w:val="0027051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97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customXml" Target="../customXml/item4.xml"/><Relationship Id="rId21" Type="http://schemas.openxmlformats.org/officeDocument/2006/relationships/header" Target="header12.xml"/><Relationship Id="rId34"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2C6D7B-2E5D-48FE-BAF7-F52C16A6BF38}">
  <ds:schemaRefs>
    <ds:schemaRef ds:uri="http://schemas.openxmlformats.org/officeDocument/2006/bibliography"/>
  </ds:schemaRefs>
</ds:datastoreItem>
</file>

<file path=customXml/itemProps2.xml><?xml version="1.0" encoding="utf-8"?>
<ds:datastoreItem xmlns:ds="http://schemas.openxmlformats.org/officeDocument/2006/customXml" ds:itemID="{214F06C0-352C-480A-858F-E42D554175BD}"/>
</file>

<file path=customXml/itemProps3.xml><?xml version="1.0" encoding="utf-8"?>
<ds:datastoreItem xmlns:ds="http://schemas.openxmlformats.org/officeDocument/2006/customXml" ds:itemID="{0E7FE166-7B07-4F2C-9C17-500687F6A0F1}"/>
</file>

<file path=customXml/itemProps4.xml><?xml version="1.0" encoding="utf-8"?>
<ds:datastoreItem xmlns:ds="http://schemas.openxmlformats.org/officeDocument/2006/customXml" ds:itemID="{EC6ADE5A-7192-4166-93CD-4399F261477A}"/>
</file>

<file path=docProps/app.xml><?xml version="1.0" encoding="utf-8"?>
<Properties xmlns="http://schemas.openxmlformats.org/officeDocument/2006/extended-properties" xmlns:vt="http://schemas.openxmlformats.org/officeDocument/2006/docPropsVTypes">
  <Template>Normal</Template>
  <TotalTime>0</TotalTime>
  <Pages>23</Pages>
  <Words>3843</Words>
  <Characters>21836</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Ad Artikel 1 DNR</vt:lpstr>
    </vt:vector>
  </TitlesOfParts>
  <Company>Spekkink C&amp;R</Company>
  <LinksUpToDate>false</LinksUpToDate>
  <CharactersWithSpaces>25628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 Artikel 1 DNR</dc:title>
  <dc:creator>Dik  Spekkink</dc:creator>
  <cp:lastModifiedBy>Santbulte, Dennis</cp:lastModifiedBy>
  <cp:revision>3</cp:revision>
  <cp:lastPrinted>2018-09-28T10:01:00Z</cp:lastPrinted>
  <dcterms:created xsi:type="dcterms:W3CDTF">2020-04-08T10:36:00Z</dcterms:created>
  <dcterms:modified xsi:type="dcterms:W3CDTF">2020-04-29T08:00:00Z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