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75C5A" w14:textId="4578F0E1" w:rsidR="00B245C7" w:rsidRPr="00E47CE1" w:rsidRDefault="00B245C7" w:rsidP="00B245C7">
      <w:pPr>
        <w:spacing w:after="120"/>
        <w:rPr>
          <w:rFonts w:asciiTheme="majorHAnsi" w:hAnsiTheme="majorHAnsi" w:cstheme="majorHAnsi"/>
          <w:color w:val="4472C4" w:themeColor="accent1"/>
        </w:rPr>
      </w:pPr>
      <w:bookmarkStart w:id="0" w:name="_Toc11998915"/>
      <w:r w:rsidRPr="00E47CE1">
        <w:rPr>
          <w:rFonts w:asciiTheme="majorHAnsi" w:hAnsiTheme="majorHAnsi" w:cstheme="majorHAnsi"/>
          <w:b/>
          <w:bCs/>
          <w:color w:val="4472C4" w:themeColor="accent1"/>
        </w:rPr>
        <w:t>Bijlage 7</w:t>
      </w:r>
      <w:r w:rsidRPr="00E47CE1">
        <w:rPr>
          <w:rFonts w:asciiTheme="majorHAnsi" w:hAnsiTheme="majorHAnsi" w:cstheme="majorHAnsi"/>
          <w:color w:val="4472C4" w:themeColor="accent1"/>
        </w:rPr>
        <w:tab/>
        <w:t>Conformiteitenlijst</w:t>
      </w:r>
      <w:bookmarkEnd w:id="0"/>
      <w:r w:rsidR="00B02196" w:rsidRPr="00E47CE1">
        <w:rPr>
          <w:rFonts w:asciiTheme="majorHAnsi" w:hAnsiTheme="majorHAnsi" w:cstheme="majorHAnsi"/>
          <w:color w:val="4472C4" w:themeColor="accent1"/>
        </w:rPr>
        <w:t xml:space="preserve"> </w:t>
      </w:r>
    </w:p>
    <w:p w14:paraId="5F8AC317" w14:textId="5370C4CE" w:rsidR="00AA203A" w:rsidRPr="00E47CE1" w:rsidRDefault="0045793B" w:rsidP="00AA203A">
      <w:pPr>
        <w:rPr>
          <w:rFonts w:asciiTheme="majorHAnsi" w:hAnsiTheme="majorHAnsi" w:cstheme="majorHAnsi"/>
          <w:b/>
          <w:bCs/>
          <w:color w:val="4472C4" w:themeColor="accent1"/>
        </w:rPr>
      </w:pPr>
      <w:r w:rsidRPr="00E47CE1">
        <w:rPr>
          <w:rFonts w:asciiTheme="majorHAnsi" w:hAnsiTheme="majorHAnsi" w:cstheme="majorHAnsi"/>
          <w:color w:val="4472C4" w:themeColor="accent1"/>
        </w:rPr>
        <w:t>Europese Openbare aanbesteding ten behoeve van het contracteren van een meubelinrichter voor het circulair inrichten van de gebouwen van</w:t>
      </w:r>
      <w:r w:rsidR="007951F4">
        <w:rPr>
          <w:rFonts w:asciiTheme="majorHAnsi" w:hAnsiTheme="majorHAnsi" w:cstheme="majorHAnsi"/>
          <w:color w:val="4472C4" w:themeColor="accent1"/>
        </w:rPr>
        <w:t xml:space="preserve"> Rijn IJssel</w:t>
      </w:r>
      <w:bookmarkStart w:id="1" w:name="_GoBack"/>
      <w:bookmarkEnd w:id="1"/>
      <w:r w:rsidRPr="00E47CE1">
        <w:rPr>
          <w:rFonts w:asciiTheme="majorHAnsi" w:hAnsiTheme="majorHAnsi" w:cstheme="majorHAnsi"/>
          <w:color w:val="4472C4" w:themeColor="accent1"/>
        </w:rPr>
        <w:t xml:space="preserve">. Kenmerk: </w:t>
      </w:r>
      <w:r w:rsidR="00AA203A" w:rsidRPr="00E47CE1">
        <w:rPr>
          <w:rFonts w:asciiTheme="majorHAnsi" w:hAnsiTheme="majorHAnsi" w:cstheme="majorHAnsi"/>
          <w:color w:val="4472C4" w:themeColor="accent1"/>
        </w:rPr>
        <w:t xml:space="preserve"> </w:t>
      </w:r>
      <w:r w:rsidR="00AA203A" w:rsidRPr="00E47CE1">
        <w:rPr>
          <w:rFonts w:asciiTheme="majorHAnsi" w:hAnsiTheme="majorHAnsi" w:cstheme="majorHAnsi"/>
          <w:b/>
          <w:bCs/>
          <w:color w:val="4472C4" w:themeColor="accent1"/>
        </w:rPr>
        <w:t>RIJMEU19EA</w:t>
      </w:r>
    </w:p>
    <w:p w14:paraId="14DE8CF7" w14:textId="77777777" w:rsidR="00B245C7" w:rsidRPr="00E47CE1" w:rsidRDefault="00B245C7" w:rsidP="0045793B">
      <w:pPr>
        <w:rPr>
          <w:rFonts w:asciiTheme="majorHAnsi" w:hAnsiTheme="majorHAnsi" w:cstheme="majorHAnsi"/>
        </w:rPr>
      </w:pPr>
      <w:r w:rsidRPr="00E47CE1">
        <w:rPr>
          <w:rFonts w:asciiTheme="majorHAnsi" w:hAnsiTheme="majorHAnsi" w:cstheme="majorHAnsi"/>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Indien een item met “nee” wordt beantwoord zal de inschrijving voor verdere beoordeling worden uitgesloten.</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
        <w:gridCol w:w="7494"/>
        <w:gridCol w:w="411"/>
        <w:gridCol w:w="504"/>
      </w:tblGrid>
      <w:tr w:rsidR="00B245C7" w:rsidRPr="00E47CE1" w14:paraId="00E7AF9F" w14:textId="77777777" w:rsidTr="00B245C7">
        <w:trPr>
          <w:trHeight w:val="248"/>
        </w:trPr>
        <w:tc>
          <w:tcPr>
            <w:tcW w:w="5000" w:type="pct"/>
            <w:gridSpan w:val="4"/>
            <w:shd w:val="clear" w:color="auto" w:fill="4472C4" w:themeFill="accent1"/>
          </w:tcPr>
          <w:p w14:paraId="38D28FE9" w14:textId="77777777" w:rsidR="00B245C7" w:rsidRPr="00E47CE1" w:rsidRDefault="00B245C7" w:rsidP="00B245C7">
            <w:pPr>
              <w:rPr>
                <w:rFonts w:asciiTheme="majorHAnsi" w:hAnsiTheme="majorHAnsi" w:cstheme="majorHAnsi"/>
                <w:color w:val="FFFFFF" w:themeColor="background1"/>
              </w:rPr>
            </w:pPr>
            <w:r w:rsidRPr="00E47CE1">
              <w:rPr>
                <w:rFonts w:asciiTheme="majorHAnsi" w:hAnsiTheme="majorHAnsi" w:cstheme="majorHAnsi"/>
                <w:color w:val="FFFFFF" w:themeColor="background1"/>
              </w:rPr>
              <w:t>Conformiteitenlijst</w:t>
            </w:r>
          </w:p>
        </w:tc>
      </w:tr>
      <w:tr w:rsidR="00B245C7" w:rsidRPr="00E47CE1" w14:paraId="3544491C" w14:textId="77777777" w:rsidTr="00B245C7">
        <w:trPr>
          <w:trHeight w:val="488"/>
        </w:trPr>
        <w:tc>
          <w:tcPr>
            <w:tcW w:w="360" w:type="pct"/>
          </w:tcPr>
          <w:p w14:paraId="53490F4C" w14:textId="77777777" w:rsidR="00B245C7" w:rsidRPr="00E47CE1" w:rsidRDefault="00B245C7" w:rsidP="00B245C7">
            <w:pPr>
              <w:pStyle w:val="Lijstalinea"/>
              <w:numPr>
                <w:ilvl w:val="0"/>
                <w:numId w:val="8"/>
              </w:numPr>
              <w:rPr>
                <w:rFonts w:asciiTheme="majorHAnsi" w:hAnsiTheme="majorHAnsi" w:cstheme="majorHAnsi"/>
              </w:rPr>
            </w:pPr>
          </w:p>
        </w:tc>
        <w:tc>
          <w:tcPr>
            <w:tcW w:w="4135" w:type="pct"/>
          </w:tcPr>
          <w:p w14:paraId="34DCBAB7" w14:textId="77777777" w:rsidR="00B245C7" w:rsidRPr="00E47CE1" w:rsidRDefault="00B245C7" w:rsidP="00E6708B">
            <w:pPr>
              <w:spacing w:after="0"/>
              <w:rPr>
                <w:rFonts w:asciiTheme="majorHAnsi" w:hAnsiTheme="majorHAnsi" w:cstheme="majorHAnsi"/>
              </w:rPr>
            </w:pPr>
            <w:r w:rsidRPr="00E47CE1">
              <w:rPr>
                <w:rFonts w:asciiTheme="majorHAnsi" w:hAnsiTheme="majorHAnsi" w:cstheme="majorHAnsi"/>
              </w:rPr>
              <w:t xml:space="preserve">Het indienen van een inschrijving houdt in dat door Inschrijver onvoorwaardelijk met de bepalingen, eisen en voorwaarden van dit aanbestedingsdocument en de Nota van inlichtingen wordt ingestemd. </w:t>
            </w:r>
          </w:p>
        </w:tc>
        <w:tc>
          <w:tcPr>
            <w:tcW w:w="227" w:type="pct"/>
          </w:tcPr>
          <w:p w14:paraId="12F3D733"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Ja</w:t>
            </w:r>
          </w:p>
          <w:p w14:paraId="2F937567"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470BBAE6"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Nee</w:t>
            </w:r>
          </w:p>
          <w:p w14:paraId="280DD229"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r w:rsidR="00B245C7" w:rsidRPr="00E47CE1" w14:paraId="3C4A8972" w14:textId="77777777" w:rsidTr="00E47CE1">
        <w:trPr>
          <w:trHeight w:val="839"/>
        </w:trPr>
        <w:tc>
          <w:tcPr>
            <w:tcW w:w="360" w:type="pct"/>
          </w:tcPr>
          <w:p w14:paraId="17B58553" w14:textId="77777777" w:rsidR="00B245C7" w:rsidRPr="00E47CE1" w:rsidRDefault="00B245C7" w:rsidP="00E6708B">
            <w:pPr>
              <w:pStyle w:val="Lijstalinea"/>
              <w:numPr>
                <w:ilvl w:val="0"/>
                <w:numId w:val="8"/>
              </w:numPr>
              <w:spacing w:after="0" w:line="240" w:lineRule="auto"/>
              <w:rPr>
                <w:rFonts w:asciiTheme="majorHAnsi" w:hAnsiTheme="majorHAnsi" w:cstheme="majorHAnsi"/>
              </w:rPr>
            </w:pPr>
          </w:p>
        </w:tc>
        <w:tc>
          <w:tcPr>
            <w:tcW w:w="4135" w:type="pct"/>
          </w:tcPr>
          <w:p w14:paraId="29C885F0" w14:textId="77777777" w:rsidR="00B245C7" w:rsidRPr="00E47CE1" w:rsidRDefault="00B245C7" w:rsidP="00E6708B">
            <w:pPr>
              <w:spacing w:after="0" w:line="240" w:lineRule="auto"/>
              <w:rPr>
                <w:rFonts w:asciiTheme="majorHAnsi" w:hAnsiTheme="majorHAnsi" w:cstheme="majorHAnsi"/>
                <w:iCs/>
                <w:color w:val="000000"/>
              </w:rPr>
            </w:pPr>
            <w:r w:rsidRPr="00E47CE1">
              <w:rPr>
                <w:rFonts w:asciiTheme="majorHAnsi" w:hAnsiTheme="majorHAnsi" w:cstheme="majorHAnsi"/>
              </w:rPr>
              <w:t>Inschrijver verklaart kennis te hebben genomen van de procedurevoorschriften zoals opgenomen in dit aanbestedingsdocument en gaat met deze voorschriften onverkort akkoord.</w:t>
            </w:r>
          </w:p>
        </w:tc>
        <w:tc>
          <w:tcPr>
            <w:tcW w:w="227" w:type="pct"/>
          </w:tcPr>
          <w:p w14:paraId="0CC7184A" w14:textId="77777777" w:rsidR="00B245C7" w:rsidRPr="00E47CE1" w:rsidRDefault="00B245C7" w:rsidP="00E6708B">
            <w:pPr>
              <w:spacing w:after="0" w:line="240" w:lineRule="auto"/>
              <w:rPr>
                <w:rFonts w:asciiTheme="majorHAnsi" w:hAnsiTheme="majorHAnsi" w:cstheme="majorHAnsi"/>
              </w:rPr>
            </w:pPr>
            <w:r w:rsidRPr="00E47CE1">
              <w:rPr>
                <w:rFonts w:asciiTheme="majorHAnsi" w:hAnsiTheme="majorHAnsi" w:cstheme="majorHAnsi"/>
              </w:rPr>
              <w:t>Ja</w:t>
            </w:r>
          </w:p>
          <w:p w14:paraId="4CFB8907" w14:textId="77777777" w:rsidR="00B245C7" w:rsidRPr="00E47CE1" w:rsidRDefault="00B245C7" w:rsidP="00E6708B">
            <w:pPr>
              <w:spacing w:after="0" w:line="240" w:lineRule="auto"/>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68C4A995" w14:textId="77777777" w:rsidR="00B245C7" w:rsidRPr="00E47CE1" w:rsidRDefault="00B245C7" w:rsidP="00E6708B">
            <w:pPr>
              <w:spacing w:after="0" w:line="240" w:lineRule="auto"/>
              <w:rPr>
                <w:rFonts w:asciiTheme="majorHAnsi" w:hAnsiTheme="majorHAnsi" w:cstheme="majorHAnsi"/>
              </w:rPr>
            </w:pPr>
            <w:r w:rsidRPr="00E47CE1">
              <w:rPr>
                <w:rFonts w:asciiTheme="majorHAnsi" w:hAnsiTheme="majorHAnsi" w:cstheme="majorHAnsi"/>
              </w:rPr>
              <w:t>Nee</w:t>
            </w:r>
          </w:p>
          <w:p w14:paraId="5BAAA360" w14:textId="77777777" w:rsidR="00B245C7" w:rsidRPr="00E47CE1" w:rsidRDefault="00B245C7" w:rsidP="00E6708B">
            <w:pPr>
              <w:spacing w:after="0" w:line="240" w:lineRule="auto"/>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r w:rsidR="00B245C7" w:rsidRPr="00E47CE1" w14:paraId="7E9BA898" w14:textId="77777777" w:rsidTr="00B245C7">
        <w:trPr>
          <w:trHeight w:val="488"/>
        </w:trPr>
        <w:tc>
          <w:tcPr>
            <w:tcW w:w="360" w:type="pct"/>
          </w:tcPr>
          <w:p w14:paraId="12879FA7" w14:textId="77777777" w:rsidR="00B245C7" w:rsidRPr="00E47CE1" w:rsidRDefault="00B245C7" w:rsidP="00B245C7">
            <w:pPr>
              <w:pStyle w:val="Lijstalinea"/>
              <w:numPr>
                <w:ilvl w:val="0"/>
                <w:numId w:val="8"/>
              </w:numPr>
              <w:rPr>
                <w:rFonts w:asciiTheme="majorHAnsi" w:hAnsiTheme="majorHAnsi" w:cstheme="majorHAnsi"/>
              </w:rPr>
            </w:pPr>
          </w:p>
        </w:tc>
        <w:tc>
          <w:tcPr>
            <w:tcW w:w="4135" w:type="pct"/>
          </w:tcPr>
          <w:p w14:paraId="780476D9" w14:textId="77777777" w:rsidR="00B245C7" w:rsidRPr="00E47CE1" w:rsidRDefault="00B245C7" w:rsidP="00E6708B">
            <w:pPr>
              <w:spacing w:after="0"/>
              <w:rPr>
                <w:rFonts w:asciiTheme="majorHAnsi" w:hAnsiTheme="majorHAnsi" w:cstheme="majorHAnsi"/>
              </w:rPr>
            </w:pPr>
            <w:r w:rsidRPr="00E47CE1">
              <w:rPr>
                <w:rFonts w:asciiTheme="majorHAnsi" w:hAnsiTheme="majorHAnsi" w:cstheme="majorHAnsi"/>
              </w:rPr>
              <w:t>Inschrijver verklaart kennis te hebben genomen van de beoordelingsmethodiek zoals opgenomen in dit aanbestedingsdocument en gaat met deze procedure onverkort akkoord.</w:t>
            </w:r>
          </w:p>
        </w:tc>
        <w:tc>
          <w:tcPr>
            <w:tcW w:w="227" w:type="pct"/>
          </w:tcPr>
          <w:p w14:paraId="5E5050FA"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Ja</w:t>
            </w:r>
          </w:p>
          <w:p w14:paraId="4A3F6142"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7C830407"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Nee</w:t>
            </w:r>
          </w:p>
          <w:p w14:paraId="493E85B1"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r w:rsidR="00B245C7" w:rsidRPr="00E47CE1" w14:paraId="4B502390" w14:textId="77777777" w:rsidTr="00B245C7">
        <w:trPr>
          <w:trHeight w:val="488"/>
        </w:trPr>
        <w:tc>
          <w:tcPr>
            <w:tcW w:w="360" w:type="pct"/>
          </w:tcPr>
          <w:p w14:paraId="349FD27E" w14:textId="77777777" w:rsidR="00B245C7" w:rsidRPr="00E47CE1" w:rsidRDefault="00B245C7" w:rsidP="00B245C7">
            <w:pPr>
              <w:pStyle w:val="Lijstalinea"/>
              <w:numPr>
                <w:ilvl w:val="0"/>
                <w:numId w:val="8"/>
              </w:numPr>
              <w:rPr>
                <w:rFonts w:asciiTheme="majorHAnsi" w:hAnsiTheme="majorHAnsi" w:cstheme="majorHAnsi"/>
              </w:rPr>
            </w:pPr>
          </w:p>
        </w:tc>
        <w:tc>
          <w:tcPr>
            <w:tcW w:w="4135" w:type="pct"/>
          </w:tcPr>
          <w:p w14:paraId="725B0E9A" w14:textId="77777777" w:rsidR="00B245C7" w:rsidRPr="00E47CE1" w:rsidRDefault="00B245C7" w:rsidP="00E6708B">
            <w:pPr>
              <w:spacing w:after="0"/>
              <w:rPr>
                <w:rFonts w:asciiTheme="majorHAnsi" w:hAnsiTheme="majorHAnsi" w:cstheme="majorHAnsi"/>
              </w:rPr>
            </w:pPr>
            <w:r w:rsidRPr="00E47CE1">
              <w:rPr>
                <w:rFonts w:asciiTheme="majorHAnsi" w:hAnsiTheme="majorHAnsi" w:cstheme="majorHAnsi"/>
              </w:rPr>
              <w:t>Indien er onduidelijkheid of verschil van mening is over de uitleg van een onderwerp inzake de overeenkomst, zal voor de beantwoording van het betreffende vraagstuk gekeken worden naar de volgende documenten in aflopende volgorde van belangrijkheid:</w:t>
            </w:r>
          </w:p>
          <w:p w14:paraId="2A4C1A31" w14:textId="77777777" w:rsidR="00B245C7" w:rsidRPr="00E47CE1" w:rsidRDefault="00B245C7" w:rsidP="00B245C7">
            <w:pPr>
              <w:pStyle w:val="Lijstalinea"/>
              <w:numPr>
                <w:ilvl w:val="0"/>
                <w:numId w:val="7"/>
              </w:numPr>
              <w:rPr>
                <w:rFonts w:asciiTheme="majorHAnsi" w:hAnsiTheme="majorHAnsi" w:cstheme="majorHAnsi"/>
              </w:rPr>
            </w:pPr>
            <w:r w:rsidRPr="00E47CE1">
              <w:rPr>
                <w:rFonts w:asciiTheme="majorHAnsi" w:hAnsiTheme="majorHAnsi" w:cstheme="majorHAnsi"/>
              </w:rPr>
              <w:t xml:space="preserve">De (Concept)overeenkomst </w:t>
            </w:r>
          </w:p>
          <w:p w14:paraId="4495812C" w14:textId="77777777" w:rsidR="00B245C7" w:rsidRPr="00E47CE1" w:rsidRDefault="00B245C7" w:rsidP="00B245C7">
            <w:pPr>
              <w:pStyle w:val="Lijstalinea"/>
              <w:numPr>
                <w:ilvl w:val="0"/>
                <w:numId w:val="7"/>
              </w:numPr>
              <w:rPr>
                <w:rFonts w:asciiTheme="majorHAnsi" w:hAnsiTheme="majorHAnsi" w:cstheme="majorHAnsi"/>
              </w:rPr>
            </w:pPr>
            <w:r w:rsidRPr="00E47CE1">
              <w:rPr>
                <w:rFonts w:asciiTheme="majorHAnsi" w:hAnsiTheme="majorHAnsi" w:cstheme="majorHAnsi"/>
              </w:rPr>
              <w:t>De Nota van inlichtingen (laatste versie als hoogste in de rangorde)</w:t>
            </w:r>
          </w:p>
          <w:p w14:paraId="368957BE" w14:textId="77777777" w:rsidR="00B245C7" w:rsidRPr="00E47CE1" w:rsidRDefault="00B245C7" w:rsidP="00B245C7">
            <w:pPr>
              <w:pStyle w:val="Lijstalinea"/>
              <w:numPr>
                <w:ilvl w:val="0"/>
                <w:numId w:val="7"/>
              </w:numPr>
              <w:rPr>
                <w:rFonts w:asciiTheme="majorHAnsi" w:hAnsiTheme="majorHAnsi" w:cstheme="majorHAnsi"/>
              </w:rPr>
            </w:pPr>
            <w:r w:rsidRPr="00E47CE1">
              <w:rPr>
                <w:rFonts w:asciiTheme="majorHAnsi" w:hAnsiTheme="majorHAnsi" w:cstheme="majorHAnsi"/>
              </w:rPr>
              <w:t>Dit aanbestedingsdocument inclusief de bijlagen</w:t>
            </w:r>
          </w:p>
          <w:p w14:paraId="4DF7D6EF" w14:textId="77777777" w:rsidR="00B245C7" w:rsidRPr="00E47CE1" w:rsidRDefault="00B245C7" w:rsidP="00B245C7">
            <w:pPr>
              <w:pStyle w:val="Lijstalinea"/>
              <w:numPr>
                <w:ilvl w:val="0"/>
                <w:numId w:val="7"/>
              </w:numPr>
              <w:rPr>
                <w:rFonts w:asciiTheme="majorHAnsi" w:hAnsiTheme="majorHAnsi" w:cstheme="majorHAnsi"/>
              </w:rPr>
            </w:pPr>
            <w:r w:rsidRPr="00E47CE1">
              <w:rPr>
                <w:rFonts w:asciiTheme="majorHAnsi" w:hAnsiTheme="majorHAnsi" w:cstheme="majorHAnsi"/>
              </w:rPr>
              <w:t>Algemene FSR Inkoopvoorwaarden</w:t>
            </w:r>
          </w:p>
          <w:p w14:paraId="37FD7088" w14:textId="77777777" w:rsidR="00B245C7" w:rsidRPr="00E47CE1" w:rsidRDefault="00B245C7" w:rsidP="00B245C7">
            <w:pPr>
              <w:pStyle w:val="Lijstalinea"/>
              <w:numPr>
                <w:ilvl w:val="0"/>
                <w:numId w:val="7"/>
              </w:numPr>
              <w:rPr>
                <w:rFonts w:asciiTheme="majorHAnsi" w:hAnsiTheme="majorHAnsi" w:cstheme="majorHAnsi"/>
              </w:rPr>
            </w:pPr>
            <w:r w:rsidRPr="00E47CE1">
              <w:rPr>
                <w:rFonts w:asciiTheme="majorHAnsi" w:hAnsiTheme="majorHAnsi" w:cstheme="majorHAnsi"/>
              </w:rPr>
              <w:t>De inschrijving van opdrachtnemer.</w:t>
            </w:r>
          </w:p>
        </w:tc>
        <w:tc>
          <w:tcPr>
            <w:tcW w:w="227" w:type="pct"/>
          </w:tcPr>
          <w:p w14:paraId="10D2E5DB"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Ja</w:t>
            </w:r>
          </w:p>
          <w:p w14:paraId="05C8AAE0"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7E4FFC35"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Nee</w:t>
            </w:r>
          </w:p>
          <w:p w14:paraId="5D8B7D3B"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r w:rsidR="00B245C7" w:rsidRPr="00E47CE1" w14:paraId="627C1B80" w14:textId="77777777" w:rsidTr="00B245C7">
        <w:trPr>
          <w:trHeight w:val="488"/>
        </w:trPr>
        <w:tc>
          <w:tcPr>
            <w:tcW w:w="360" w:type="pct"/>
          </w:tcPr>
          <w:p w14:paraId="5C713110" w14:textId="77777777" w:rsidR="00B245C7" w:rsidRPr="00E47CE1" w:rsidRDefault="00B245C7" w:rsidP="00B245C7">
            <w:pPr>
              <w:pStyle w:val="Lijstalinea"/>
              <w:numPr>
                <w:ilvl w:val="0"/>
                <w:numId w:val="8"/>
              </w:numPr>
              <w:rPr>
                <w:rFonts w:asciiTheme="majorHAnsi" w:hAnsiTheme="majorHAnsi" w:cstheme="majorHAnsi"/>
              </w:rPr>
            </w:pPr>
          </w:p>
        </w:tc>
        <w:tc>
          <w:tcPr>
            <w:tcW w:w="4135" w:type="pct"/>
          </w:tcPr>
          <w:p w14:paraId="7D742646" w14:textId="5EC63C03" w:rsidR="00B245C7" w:rsidRPr="00E47CE1" w:rsidRDefault="00B245C7" w:rsidP="00E6708B">
            <w:pPr>
              <w:spacing w:after="0"/>
              <w:rPr>
                <w:rFonts w:asciiTheme="majorHAnsi" w:hAnsiTheme="majorHAnsi" w:cstheme="majorHAnsi"/>
              </w:rPr>
            </w:pPr>
            <w:r w:rsidRPr="00E47CE1">
              <w:rPr>
                <w:rFonts w:asciiTheme="majorHAnsi" w:hAnsiTheme="majorHAnsi" w:cstheme="majorHAnsi"/>
              </w:rPr>
              <w:t xml:space="preserve">Inschrijver verklaart zich onvoorwaardelijk akkoord met </w:t>
            </w:r>
            <w:r w:rsidR="00F15212" w:rsidRPr="00E47CE1">
              <w:rPr>
                <w:rFonts w:asciiTheme="majorHAnsi" w:hAnsiTheme="majorHAnsi" w:cstheme="majorHAnsi"/>
              </w:rPr>
              <w:t>het Concept Commitment</w:t>
            </w:r>
            <w:r w:rsidR="008A7650" w:rsidRPr="00E47CE1">
              <w:rPr>
                <w:rFonts w:asciiTheme="majorHAnsi" w:hAnsiTheme="majorHAnsi" w:cstheme="majorHAnsi"/>
              </w:rPr>
              <w:t xml:space="preserve"> Contract dat </w:t>
            </w:r>
            <w:r w:rsidRPr="00E47CE1">
              <w:rPr>
                <w:rFonts w:asciiTheme="majorHAnsi" w:hAnsiTheme="majorHAnsi" w:cstheme="majorHAnsi"/>
              </w:rPr>
              <w:t xml:space="preserve">is bijgesloten onder </w:t>
            </w:r>
            <w:r w:rsidR="008A7650" w:rsidRPr="00E47CE1">
              <w:rPr>
                <w:rFonts w:asciiTheme="majorHAnsi" w:hAnsiTheme="majorHAnsi" w:cstheme="majorHAnsi"/>
              </w:rPr>
              <w:t>b</w:t>
            </w:r>
            <w:r w:rsidRPr="00E47CE1">
              <w:rPr>
                <w:rFonts w:asciiTheme="majorHAnsi" w:hAnsiTheme="majorHAnsi" w:cstheme="majorHAnsi"/>
              </w:rPr>
              <w:t xml:space="preserve">ijlage </w:t>
            </w:r>
            <w:r w:rsidR="008A7650" w:rsidRPr="00E47CE1">
              <w:rPr>
                <w:rFonts w:asciiTheme="majorHAnsi" w:hAnsiTheme="majorHAnsi" w:cstheme="majorHAnsi"/>
              </w:rPr>
              <w:t>1</w:t>
            </w:r>
            <w:r w:rsidRPr="00E47CE1">
              <w:rPr>
                <w:rFonts w:asciiTheme="majorHAnsi" w:hAnsiTheme="majorHAnsi" w:cstheme="majorHAnsi"/>
              </w:rPr>
              <w:t xml:space="preserve"> en </w:t>
            </w:r>
            <w:r w:rsidR="008A7650" w:rsidRPr="00E47CE1">
              <w:rPr>
                <w:rFonts w:asciiTheme="majorHAnsi" w:hAnsiTheme="majorHAnsi" w:cstheme="majorHAnsi"/>
              </w:rPr>
              <w:t xml:space="preserve">het concept </w:t>
            </w:r>
            <w:proofErr w:type="spellStart"/>
            <w:r w:rsidRPr="00E47CE1">
              <w:rPr>
                <w:rFonts w:asciiTheme="majorHAnsi" w:hAnsiTheme="majorHAnsi" w:cstheme="majorHAnsi"/>
              </w:rPr>
              <w:t>Wachtkamerovereen</w:t>
            </w:r>
            <w:proofErr w:type="spellEnd"/>
            <w:r w:rsidR="009A449F" w:rsidRPr="00E47CE1">
              <w:rPr>
                <w:rFonts w:asciiTheme="majorHAnsi" w:hAnsiTheme="majorHAnsi" w:cstheme="majorHAnsi"/>
              </w:rPr>
              <w:t xml:space="preserve">- </w:t>
            </w:r>
            <w:r w:rsidRPr="00E47CE1">
              <w:rPr>
                <w:rFonts w:asciiTheme="majorHAnsi" w:hAnsiTheme="majorHAnsi" w:cstheme="majorHAnsi"/>
              </w:rPr>
              <w:t xml:space="preserve">komst die is bijgesloten onder </w:t>
            </w:r>
            <w:r w:rsidR="009A449F" w:rsidRPr="00E47CE1">
              <w:rPr>
                <w:rFonts w:asciiTheme="majorHAnsi" w:hAnsiTheme="majorHAnsi" w:cstheme="majorHAnsi"/>
              </w:rPr>
              <w:t>b</w:t>
            </w:r>
            <w:r w:rsidRPr="00E47CE1">
              <w:rPr>
                <w:rFonts w:asciiTheme="majorHAnsi" w:hAnsiTheme="majorHAnsi" w:cstheme="majorHAnsi"/>
              </w:rPr>
              <w:t xml:space="preserve">ijlage </w:t>
            </w:r>
            <w:r w:rsidR="009A449F" w:rsidRPr="00E47CE1">
              <w:rPr>
                <w:rFonts w:asciiTheme="majorHAnsi" w:hAnsiTheme="majorHAnsi" w:cstheme="majorHAnsi"/>
              </w:rPr>
              <w:t>4</w:t>
            </w:r>
            <w:r w:rsidRPr="00E47CE1">
              <w:rPr>
                <w:rFonts w:asciiTheme="majorHAnsi" w:hAnsiTheme="majorHAnsi" w:cstheme="majorHAnsi"/>
              </w:rPr>
              <w:t xml:space="preserve"> of, indien tekst suggesties zijn overgenomen, die is (zijn) meegestuurd met de laatste Nota van Inlichtingen.</w:t>
            </w:r>
          </w:p>
        </w:tc>
        <w:tc>
          <w:tcPr>
            <w:tcW w:w="227" w:type="pct"/>
          </w:tcPr>
          <w:p w14:paraId="6BED481C"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Ja</w:t>
            </w:r>
          </w:p>
          <w:p w14:paraId="08F43D9B"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1CEC1849"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Nee</w:t>
            </w:r>
          </w:p>
          <w:p w14:paraId="286C6C1B"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r w:rsidR="00B245C7" w:rsidRPr="00E47CE1" w14:paraId="1A7BC655" w14:textId="77777777" w:rsidTr="00B245C7">
        <w:trPr>
          <w:trHeight w:val="488"/>
        </w:trPr>
        <w:tc>
          <w:tcPr>
            <w:tcW w:w="360" w:type="pct"/>
          </w:tcPr>
          <w:p w14:paraId="4E37F995" w14:textId="77777777" w:rsidR="00B245C7" w:rsidRPr="00E47CE1" w:rsidRDefault="00B245C7" w:rsidP="00B245C7">
            <w:pPr>
              <w:pStyle w:val="Lijstalinea"/>
              <w:numPr>
                <w:ilvl w:val="0"/>
                <w:numId w:val="8"/>
              </w:numPr>
              <w:rPr>
                <w:rFonts w:asciiTheme="majorHAnsi" w:hAnsiTheme="majorHAnsi" w:cstheme="majorHAnsi"/>
              </w:rPr>
            </w:pPr>
          </w:p>
        </w:tc>
        <w:tc>
          <w:tcPr>
            <w:tcW w:w="4135" w:type="pct"/>
          </w:tcPr>
          <w:p w14:paraId="546E9B2D" w14:textId="186073AC" w:rsidR="00B245C7" w:rsidRPr="00E47CE1" w:rsidRDefault="00B245C7" w:rsidP="00E6708B">
            <w:pPr>
              <w:spacing w:after="0"/>
              <w:rPr>
                <w:rFonts w:asciiTheme="majorHAnsi" w:hAnsiTheme="majorHAnsi" w:cstheme="majorHAnsi"/>
              </w:rPr>
            </w:pPr>
            <w:r w:rsidRPr="00E47CE1">
              <w:rPr>
                <w:rFonts w:asciiTheme="majorHAnsi" w:hAnsiTheme="majorHAnsi" w:cstheme="majorHAnsi"/>
              </w:rPr>
              <w:t xml:space="preserve">Inschrijver verklaart zich onvoorwaardelijk akkoord met de Algemene FSR Inkoopvoorwaarden Leveringen en Diensten aan MBO-instellingen, die zijn bijgesloten onder bijlage </w:t>
            </w:r>
            <w:r w:rsidR="00300371" w:rsidRPr="00E47CE1">
              <w:rPr>
                <w:rFonts w:asciiTheme="majorHAnsi" w:hAnsiTheme="majorHAnsi" w:cstheme="majorHAnsi"/>
              </w:rPr>
              <w:t>2</w:t>
            </w:r>
            <w:r w:rsidRPr="00E47CE1">
              <w:rPr>
                <w:rFonts w:asciiTheme="majorHAnsi" w:hAnsiTheme="majorHAnsi" w:cstheme="majorHAnsi"/>
              </w:rPr>
              <w:t>, of, indien tekstsuggesties zijn overgenomen, aan de algemene Inkoopvoorwaarden, inclusief de gewijzigde bepaling(en), die is (zijn) meegestuurd met de laatste Nota van Inlichtingen.</w:t>
            </w:r>
          </w:p>
        </w:tc>
        <w:tc>
          <w:tcPr>
            <w:tcW w:w="227" w:type="pct"/>
          </w:tcPr>
          <w:p w14:paraId="3243E337"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Ja</w:t>
            </w:r>
          </w:p>
          <w:p w14:paraId="717094F6"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c>
          <w:tcPr>
            <w:tcW w:w="278" w:type="pct"/>
          </w:tcPr>
          <w:p w14:paraId="070F955C"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t>Nee</w:t>
            </w:r>
          </w:p>
          <w:p w14:paraId="7BE1A4CA" w14:textId="77777777" w:rsidR="00B245C7" w:rsidRPr="00E47CE1" w:rsidRDefault="00B245C7" w:rsidP="00B245C7">
            <w:pPr>
              <w:rPr>
                <w:rFonts w:asciiTheme="majorHAnsi" w:hAnsiTheme="majorHAnsi" w:cstheme="majorHAnsi"/>
              </w:rPr>
            </w:pPr>
            <w:r w:rsidRPr="00E47CE1">
              <w:rPr>
                <w:rFonts w:asciiTheme="majorHAnsi" w:hAnsiTheme="majorHAnsi" w:cstheme="majorHAnsi"/>
              </w:rPr>
              <w:fldChar w:fldCharType="begin">
                <w:ffData>
                  <w:name w:val="Selectievakje1"/>
                  <w:enabled/>
                  <w:calcOnExit w:val="0"/>
                  <w:checkBox>
                    <w:sizeAuto/>
                    <w:default w:val="0"/>
                  </w:checkBox>
                </w:ffData>
              </w:fldChar>
            </w:r>
            <w:r w:rsidRPr="00E47CE1">
              <w:rPr>
                <w:rFonts w:asciiTheme="majorHAnsi" w:hAnsiTheme="majorHAnsi" w:cstheme="majorHAnsi"/>
              </w:rPr>
              <w:instrText xml:space="preserve"> FORMCHECKBOX </w:instrText>
            </w:r>
            <w:r w:rsidR="007951F4">
              <w:rPr>
                <w:rFonts w:asciiTheme="majorHAnsi" w:hAnsiTheme="majorHAnsi" w:cstheme="majorHAnsi"/>
              </w:rPr>
            </w:r>
            <w:r w:rsidR="007951F4">
              <w:rPr>
                <w:rFonts w:asciiTheme="majorHAnsi" w:hAnsiTheme="majorHAnsi" w:cstheme="majorHAnsi"/>
              </w:rPr>
              <w:fldChar w:fldCharType="separate"/>
            </w:r>
            <w:r w:rsidRPr="00E47CE1">
              <w:rPr>
                <w:rFonts w:asciiTheme="majorHAnsi" w:hAnsiTheme="majorHAnsi" w:cstheme="majorHAnsi"/>
              </w:rPr>
              <w:fldChar w:fldCharType="end"/>
            </w:r>
          </w:p>
        </w:tc>
      </w:tr>
    </w:tbl>
    <w:p w14:paraId="247BD9A7" w14:textId="77777777" w:rsidR="00B245C7" w:rsidRPr="00E47CE1" w:rsidRDefault="00B245C7" w:rsidP="00B245C7">
      <w:pPr>
        <w:pStyle w:val="Plattetekst"/>
        <w:rPr>
          <w:rFonts w:asciiTheme="majorHAnsi" w:hAnsiTheme="majorHAnsi" w:cstheme="majorHAnsi"/>
        </w:rPr>
      </w:pPr>
      <w:r w:rsidRPr="00E47CE1">
        <w:rPr>
          <w:rFonts w:asciiTheme="majorHAnsi" w:hAnsiTheme="majorHAnsi" w:cstheme="majorHAnsi"/>
        </w:rPr>
        <w:t>Getekend voor akkoord:</w:t>
      </w:r>
    </w:p>
    <w:tbl>
      <w:tblPr>
        <w:tblStyle w:val="Tabelraster"/>
        <w:tblW w:w="0" w:type="auto"/>
        <w:tblLook w:val="04A0" w:firstRow="1" w:lastRow="0" w:firstColumn="1" w:lastColumn="0" w:noHBand="0" w:noVBand="1"/>
      </w:tblPr>
      <w:tblGrid>
        <w:gridCol w:w="2369"/>
        <w:gridCol w:w="6693"/>
      </w:tblGrid>
      <w:tr w:rsidR="00B245C7" w:rsidRPr="00E47CE1" w14:paraId="0541F2B2" w14:textId="77777777" w:rsidTr="00B245C7">
        <w:tc>
          <w:tcPr>
            <w:tcW w:w="2376" w:type="dxa"/>
            <w:shd w:val="clear" w:color="auto" w:fill="4472C4" w:themeFill="accent1"/>
          </w:tcPr>
          <w:p w14:paraId="3E59AF83" w14:textId="77777777" w:rsidR="00B245C7" w:rsidRPr="00E47CE1" w:rsidRDefault="00B245C7" w:rsidP="00B245C7">
            <w:pPr>
              <w:rPr>
                <w:rFonts w:asciiTheme="majorHAnsi" w:hAnsiTheme="majorHAnsi" w:cstheme="majorHAnsi"/>
                <w:b/>
                <w:color w:val="FFFFFF" w:themeColor="background1"/>
                <w:sz w:val="22"/>
                <w:szCs w:val="22"/>
              </w:rPr>
            </w:pPr>
            <w:r w:rsidRPr="00E47CE1">
              <w:rPr>
                <w:rFonts w:asciiTheme="majorHAnsi" w:hAnsiTheme="majorHAnsi" w:cstheme="majorHAnsi"/>
                <w:color w:val="FFFFFF" w:themeColor="background1"/>
                <w:sz w:val="22"/>
                <w:szCs w:val="22"/>
              </w:rPr>
              <w:t>Inschrijver</w:t>
            </w:r>
          </w:p>
        </w:tc>
        <w:tc>
          <w:tcPr>
            <w:tcW w:w="6744" w:type="dxa"/>
            <w:shd w:val="clear" w:color="auto" w:fill="D9E2F3" w:themeFill="accent1" w:themeFillTint="33"/>
          </w:tcPr>
          <w:p w14:paraId="11AF183F" w14:textId="77777777" w:rsidR="00B245C7" w:rsidRPr="00E47CE1" w:rsidRDefault="00B245C7" w:rsidP="00B245C7">
            <w:pPr>
              <w:rPr>
                <w:rFonts w:asciiTheme="majorHAnsi" w:hAnsiTheme="majorHAnsi" w:cstheme="majorHAnsi"/>
                <w:sz w:val="22"/>
                <w:szCs w:val="22"/>
              </w:rPr>
            </w:pPr>
          </w:p>
        </w:tc>
      </w:tr>
      <w:tr w:rsidR="00B245C7" w:rsidRPr="00E47CE1" w14:paraId="381B8DD7" w14:textId="77777777" w:rsidTr="00B245C7">
        <w:tc>
          <w:tcPr>
            <w:tcW w:w="2376" w:type="dxa"/>
            <w:shd w:val="clear" w:color="auto" w:fill="4472C4" w:themeFill="accent1"/>
          </w:tcPr>
          <w:p w14:paraId="4E0846EB" w14:textId="77777777" w:rsidR="00B245C7" w:rsidRPr="00E47CE1" w:rsidRDefault="00B245C7" w:rsidP="00B245C7">
            <w:pPr>
              <w:rPr>
                <w:rFonts w:asciiTheme="majorHAnsi" w:hAnsiTheme="majorHAnsi" w:cstheme="majorHAnsi"/>
                <w:b/>
                <w:color w:val="FFFFFF" w:themeColor="background1"/>
                <w:sz w:val="22"/>
                <w:szCs w:val="22"/>
              </w:rPr>
            </w:pPr>
            <w:r w:rsidRPr="00E47CE1">
              <w:rPr>
                <w:rFonts w:asciiTheme="majorHAnsi" w:hAnsiTheme="majorHAnsi" w:cstheme="majorHAnsi"/>
                <w:color w:val="FFFFFF" w:themeColor="background1"/>
                <w:sz w:val="22"/>
                <w:szCs w:val="22"/>
              </w:rPr>
              <w:t>Naam</w:t>
            </w:r>
          </w:p>
        </w:tc>
        <w:tc>
          <w:tcPr>
            <w:tcW w:w="6744" w:type="dxa"/>
            <w:shd w:val="clear" w:color="auto" w:fill="D9E2F3" w:themeFill="accent1" w:themeFillTint="33"/>
          </w:tcPr>
          <w:p w14:paraId="2E957E50" w14:textId="77777777" w:rsidR="00B245C7" w:rsidRPr="00E47CE1" w:rsidRDefault="00B245C7" w:rsidP="00B245C7">
            <w:pPr>
              <w:rPr>
                <w:rFonts w:asciiTheme="majorHAnsi" w:hAnsiTheme="majorHAnsi" w:cstheme="majorHAnsi"/>
                <w:sz w:val="22"/>
                <w:szCs w:val="22"/>
              </w:rPr>
            </w:pPr>
          </w:p>
        </w:tc>
      </w:tr>
      <w:tr w:rsidR="00B245C7" w:rsidRPr="00E47CE1" w14:paraId="10C5CB5C" w14:textId="77777777" w:rsidTr="00B245C7">
        <w:tc>
          <w:tcPr>
            <w:tcW w:w="2376" w:type="dxa"/>
            <w:shd w:val="clear" w:color="auto" w:fill="4472C4" w:themeFill="accent1"/>
          </w:tcPr>
          <w:p w14:paraId="141D5596" w14:textId="77777777" w:rsidR="00B245C7" w:rsidRPr="00E47CE1" w:rsidRDefault="00B245C7" w:rsidP="00B245C7">
            <w:pPr>
              <w:rPr>
                <w:rFonts w:asciiTheme="majorHAnsi" w:hAnsiTheme="majorHAnsi" w:cstheme="majorHAnsi"/>
                <w:b/>
                <w:color w:val="FFFFFF" w:themeColor="background1"/>
                <w:sz w:val="22"/>
                <w:szCs w:val="22"/>
              </w:rPr>
            </w:pPr>
            <w:r w:rsidRPr="00E47CE1">
              <w:rPr>
                <w:rFonts w:asciiTheme="majorHAnsi" w:hAnsiTheme="majorHAnsi" w:cstheme="majorHAnsi"/>
                <w:color w:val="FFFFFF" w:themeColor="background1"/>
                <w:sz w:val="22"/>
                <w:szCs w:val="22"/>
              </w:rPr>
              <w:t>Functie</w:t>
            </w:r>
          </w:p>
        </w:tc>
        <w:tc>
          <w:tcPr>
            <w:tcW w:w="6744" w:type="dxa"/>
            <w:shd w:val="clear" w:color="auto" w:fill="D9E2F3" w:themeFill="accent1" w:themeFillTint="33"/>
          </w:tcPr>
          <w:p w14:paraId="44692539" w14:textId="77777777" w:rsidR="00B245C7" w:rsidRPr="00E47CE1" w:rsidRDefault="00B245C7" w:rsidP="00B245C7">
            <w:pPr>
              <w:rPr>
                <w:rFonts w:asciiTheme="majorHAnsi" w:hAnsiTheme="majorHAnsi" w:cstheme="majorHAnsi"/>
                <w:sz w:val="22"/>
                <w:szCs w:val="22"/>
              </w:rPr>
            </w:pPr>
          </w:p>
        </w:tc>
      </w:tr>
      <w:tr w:rsidR="00B245C7" w:rsidRPr="00E47CE1" w14:paraId="0AB92BC3" w14:textId="77777777" w:rsidTr="00B245C7">
        <w:tc>
          <w:tcPr>
            <w:tcW w:w="2376" w:type="dxa"/>
            <w:shd w:val="clear" w:color="auto" w:fill="4472C4" w:themeFill="accent1"/>
          </w:tcPr>
          <w:p w14:paraId="0F173F1F" w14:textId="77777777" w:rsidR="00B245C7" w:rsidRPr="00E47CE1" w:rsidRDefault="00B245C7" w:rsidP="00B245C7">
            <w:pPr>
              <w:rPr>
                <w:rFonts w:asciiTheme="majorHAnsi" w:hAnsiTheme="majorHAnsi" w:cstheme="majorHAnsi"/>
                <w:b/>
                <w:color w:val="FFFFFF" w:themeColor="background1"/>
                <w:sz w:val="22"/>
                <w:szCs w:val="22"/>
              </w:rPr>
            </w:pPr>
            <w:r w:rsidRPr="00E47CE1">
              <w:rPr>
                <w:rFonts w:asciiTheme="majorHAnsi" w:hAnsiTheme="majorHAnsi" w:cstheme="majorHAnsi"/>
                <w:color w:val="FFFFFF" w:themeColor="background1"/>
                <w:sz w:val="22"/>
                <w:szCs w:val="22"/>
              </w:rPr>
              <w:t xml:space="preserve">Datum </w:t>
            </w:r>
          </w:p>
        </w:tc>
        <w:tc>
          <w:tcPr>
            <w:tcW w:w="6744" w:type="dxa"/>
            <w:shd w:val="clear" w:color="auto" w:fill="D9E2F3" w:themeFill="accent1" w:themeFillTint="33"/>
          </w:tcPr>
          <w:p w14:paraId="09DD52AB" w14:textId="77777777" w:rsidR="00B245C7" w:rsidRPr="00E47CE1" w:rsidRDefault="00B245C7" w:rsidP="00B245C7">
            <w:pPr>
              <w:rPr>
                <w:rFonts w:asciiTheme="majorHAnsi" w:hAnsiTheme="majorHAnsi" w:cstheme="majorHAnsi"/>
                <w:sz w:val="22"/>
                <w:szCs w:val="22"/>
              </w:rPr>
            </w:pPr>
          </w:p>
        </w:tc>
      </w:tr>
      <w:tr w:rsidR="00B245C7" w:rsidRPr="00E47CE1" w14:paraId="0382F0C0" w14:textId="77777777" w:rsidTr="00B245C7">
        <w:tc>
          <w:tcPr>
            <w:tcW w:w="2376" w:type="dxa"/>
            <w:shd w:val="clear" w:color="auto" w:fill="4472C4" w:themeFill="accent1"/>
          </w:tcPr>
          <w:p w14:paraId="7CD08FCF" w14:textId="77777777" w:rsidR="00B245C7" w:rsidRPr="00E47CE1" w:rsidRDefault="00B245C7" w:rsidP="00B245C7">
            <w:pPr>
              <w:rPr>
                <w:rFonts w:asciiTheme="majorHAnsi" w:hAnsiTheme="majorHAnsi" w:cstheme="majorHAnsi"/>
                <w:b/>
                <w:color w:val="FFFFFF" w:themeColor="background1"/>
                <w:sz w:val="22"/>
                <w:szCs w:val="22"/>
              </w:rPr>
            </w:pPr>
            <w:r w:rsidRPr="00E47CE1">
              <w:rPr>
                <w:rFonts w:asciiTheme="majorHAnsi" w:hAnsiTheme="majorHAnsi" w:cstheme="majorHAnsi"/>
                <w:color w:val="FFFFFF" w:themeColor="background1"/>
                <w:sz w:val="22"/>
                <w:szCs w:val="22"/>
              </w:rPr>
              <w:t>Handtekening</w:t>
            </w:r>
          </w:p>
        </w:tc>
        <w:tc>
          <w:tcPr>
            <w:tcW w:w="6744" w:type="dxa"/>
            <w:shd w:val="clear" w:color="auto" w:fill="D9E2F3" w:themeFill="accent1" w:themeFillTint="33"/>
          </w:tcPr>
          <w:p w14:paraId="6829EC56" w14:textId="77777777" w:rsidR="00B245C7" w:rsidRPr="00E47CE1" w:rsidRDefault="00B245C7" w:rsidP="00B245C7">
            <w:pPr>
              <w:rPr>
                <w:rFonts w:asciiTheme="majorHAnsi" w:hAnsiTheme="majorHAnsi" w:cstheme="majorHAnsi"/>
                <w:sz w:val="22"/>
                <w:szCs w:val="22"/>
              </w:rPr>
            </w:pPr>
          </w:p>
          <w:p w14:paraId="2B5C8E10" w14:textId="77777777" w:rsidR="00B245C7" w:rsidRPr="00E47CE1" w:rsidRDefault="00B245C7" w:rsidP="00B245C7">
            <w:pPr>
              <w:rPr>
                <w:rFonts w:asciiTheme="majorHAnsi" w:hAnsiTheme="majorHAnsi" w:cstheme="majorHAnsi"/>
                <w:sz w:val="22"/>
                <w:szCs w:val="22"/>
              </w:rPr>
            </w:pPr>
          </w:p>
          <w:p w14:paraId="18C2C818" w14:textId="77777777" w:rsidR="00B245C7" w:rsidRPr="00E47CE1" w:rsidRDefault="00B245C7" w:rsidP="00B245C7">
            <w:pPr>
              <w:rPr>
                <w:rFonts w:asciiTheme="majorHAnsi" w:hAnsiTheme="majorHAnsi" w:cstheme="majorHAnsi"/>
                <w:sz w:val="22"/>
                <w:szCs w:val="22"/>
              </w:rPr>
            </w:pPr>
          </w:p>
        </w:tc>
      </w:tr>
    </w:tbl>
    <w:p w14:paraId="515AB9C9" w14:textId="77777777" w:rsidR="00B245C7" w:rsidRPr="00E47CE1" w:rsidRDefault="00B245C7" w:rsidP="00B245C7">
      <w:pPr>
        <w:rPr>
          <w:rFonts w:asciiTheme="majorHAnsi" w:hAnsiTheme="majorHAnsi" w:cstheme="majorHAnsi"/>
        </w:rPr>
      </w:pPr>
    </w:p>
    <w:sectPr w:rsidR="00B245C7" w:rsidRPr="00E47CE1" w:rsidSect="00B245C7">
      <w:head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B42AE" w14:textId="77777777" w:rsidR="00294020" w:rsidRDefault="00294020" w:rsidP="00B245C7">
      <w:pPr>
        <w:spacing w:line="240" w:lineRule="auto"/>
      </w:pPr>
      <w:r>
        <w:separator/>
      </w:r>
    </w:p>
  </w:endnote>
  <w:endnote w:type="continuationSeparator" w:id="0">
    <w:p w14:paraId="5709CC7A" w14:textId="77777777" w:rsidR="00294020" w:rsidRDefault="00294020" w:rsidP="00B24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B033C" w14:textId="77777777" w:rsidR="00294020" w:rsidRDefault="00294020" w:rsidP="00B245C7">
      <w:pPr>
        <w:spacing w:line="240" w:lineRule="auto"/>
      </w:pPr>
      <w:r>
        <w:separator/>
      </w:r>
    </w:p>
  </w:footnote>
  <w:footnote w:type="continuationSeparator" w:id="0">
    <w:p w14:paraId="2AB7AFA9" w14:textId="77777777" w:rsidR="00294020" w:rsidRDefault="00294020" w:rsidP="00B24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E158" w14:textId="77777777" w:rsidR="00B245C7" w:rsidRDefault="00B245C7">
    <w:pPr>
      <w:pStyle w:val="Koptekst"/>
    </w:pPr>
    <w:r>
      <w:tab/>
    </w:r>
    <w:r>
      <w:tab/>
    </w:r>
    <w:r w:rsidRPr="00D44541">
      <w:rPr>
        <w:rFonts w:eastAsia="Tahoma"/>
        <w:noProof/>
        <w:sz w:val="40"/>
        <w:szCs w:val="40"/>
        <w:lang w:eastAsia="nl-NL"/>
      </w:rPr>
      <w:drawing>
        <wp:inline distT="0" distB="0" distL="0" distR="0" wp14:anchorId="4659AE91" wp14:editId="798ACEA2">
          <wp:extent cx="1566883" cy="3619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RIJN IJSSEL_kle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627" cy="370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479"/>
    <w:multiLevelType w:val="multilevel"/>
    <w:tmpl w:val="96E085AE"/>
    <w:lvl w:ilvl="0">
      <w:start w:val="1"/>
      <w:numFmt w:val="decimal"/>
      <w:lvlText w:val="%1."/>
      <w:lvlJc w:val="left"/>
      <w:pPr>
        <w:ind w:left="786" w:hanging="360"/>
      </w:pPr>
      <w:rPr>
        <w:rFonts w:hint="default"/>
      </w:rPr>
    </w:lvl>
    <w:lvl w:ilvl="1">
      <w:start w:val="1"/>
      <w:numFmt w:val="decimal"/>
      <w:pStyle w:val="Kop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6C150B"/>
    <w:multiLevelType w:val="hybridMultilevel"/>
    <w:tmpl w:val="04F8063A"/>
    <w:lvl w:ilvl="0" w:tplc="C7A0F01E">
      <w:start w:val="1"/>
      <w:numFmt w:val="bullet"/>
      <w:lvlText w:val=""/>
      <w:lvlJc w:val="left"/>
      <w:pPr>
        <w:ind w:left="-981" w:hanging="360"/>
      </w:pPr>
      <w:rPr>
        <w:rFonts w:ascii="Symbol" w:hAnsi="Symbol" w:hint="default"/>
      </w:rPr>
    </w:lvl>
    <w:lvl w:ilvl="1" w:tplc="04130003" w:tentative="1">
      <w:start w:val="1"/>
      <w:numFmt w:val="bullet"/>
      <w:lvlText w:val="o"/>
      <w:lvlJc w:val="left"/>
      <w:pPr>
        <w:ind w:left="-261" w:hanging="360"/>
      </w:pPr>
      <w:rPr>
        <w:rFonts w:ascii="Courier New" w:hAnsi="Courier New" w:cs="Courier New" w:hint="default"/>
      </w:rPr>
    </w:lvl>
    <w:lvl w:ilvl="2" w:tplc="04130005" w:tentative="1">
      <w:start w:val="1"/>
      <w:numFmt w:val="bullet"/>
      <w:lvlText w:val=""/>
      <w:lvlJc w:val="left"/>
      <w:pPr>
        <w:ind w:left="459" w:hanging="360"/>
      </w:pPr>
      <w:rPr>
        <w:rFonts w:ascii="Wingdings" w:hAnsi="Wingdings" w:hint="default"/>
      </w:rPr>
    </w:lvl>
    <w:lvl w:ilvl="3" w:tplc="04130001" w:tentative="1">
      <w:start w:val="1"/>
      <w:numFmt w:val="bullet"/>
      <w:lvlText w:val=""/>
      <w:lvlJc w:val="left"/>
      <w:pPr>
        <w:ind w:left="1179" w:hanging="360"/>
      </w:pPr>
      <w:rPr>
        <w:rFonts w:ascii="Symbol" w:hAnsi="Symbol" w:hint="default"/>
      </w:rPr>
    </w:lvl>
    <w:lvl w:ilvl="4" w:tplc="04130003" w:tentative="1">
      <w:start w:val="1"/>
      <w:numFmt w:val="bullet"/>
      <w:lvlText w:val="o"/>
      <w:lvlJc w:val="left"/>
      <w:pPr>
        <w:ind w:left="1899" w:hanging="360"/>
      </w:pPr>
      <w:rPr>
        <w:rFonts w:ascii="Courier New" w:hAnsi="Courier New" w:cs="Courier New" w:hint="default"/>
      </w:rPr>
    </w:lvl>
    <w:lvl w:ilvl="5" w:tplc="04130005" w:tentative="1">
      <w:start w:val="1"/>
      <w:numFmt w:val="bullet"/>
      <w:lvlText w:val=""/>
      <w:lvlJc w:val="left"/>
      <w:pPr>
        <w:ind w:left="2619" w:hanging="360"/>
      </w:pPr>
      <w:rPr>
        <w:rFonts w:ascii="Wingdings" w:hAnsi="Wingdings" w:hint="default"/>
      </w:rPr>
    </w:lvl>
    <w:lvl w:ilvl="6" w:tplc="04130001" w:tentative="1">
      <w:start w:val="1"/>
      <w:numFmt w:val="bullet"/>
      <w:lvlText w:val=""/>
      <w:lvlJc w:val="left"/>
      <w:pPr>
        <w:ind w:left="3339" w:hanging="360"/>
      </w:pPr>
      <w:rPr>
        <w:rFonts w:ascii="Symbol" w:hAnsi="Symbol" w:hint="default"/>
      </w:rPr>
    </w:lvl>
    <w:lvl w:ilvl="7" w:tplc="04130003" w:tentative="1">
      <w:start w:val="1"/>
      <w:numFmt w:val="bullet"/>
      <w:lvlText w:val="o"/>
      <w:lvlJc w:val="left"/>
      <w:pPr>
        <w:ind w:left="4059" w:hanging="360"/>
      </w:pPr>
      <w:rPr>
        <w:rFonts w:ascii="Courier New" w:hAnsi="Courier New" w:cs="Courier New" w:hint="default"/>
      </w:rPr>
    </w:lvl>
    <w:lvl w:ilvl="8" w:tplc="04130005" w:tentative="1">
      <w:start w:val="1"/>
      <w:numFmt w:val="bullet"/>
      <w:lvlText w:val=""/>
      <w:lvlJc w:val="left"/>
      <w:pPr>
        <w:ind w:left="4779" w:hanging="360"/>
      </w:pPr>
      <w:rPr>
        <w:rFonts w:ascii="Wingdings" w:hAnsi="Wingdings" w:hint="default"/>
      </w:rPr>
    </w:lvl>
  </w:abstractNum>
  <w:abstractNum w:abstractNumId="3" w15:restartNumberingAfterBreak="0">
    <w:nsid w:val="4AA13B91"/>
    <w:multiLevelType w:val="multilevel"/>
    <w:tmpl w:val="B2ACF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326664"/>
    <w:multiLevelType w:val="multilevel"/>
    <w:tmpl w:val="6C244278"/>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8112356"/>
    <w:multiLevelType w:val="hybridMultilevel"/>
    <w:tmpl w:val="983CB380"/>
    <w:lvl w:ilvl="0" w:tplc="1998251E">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15:restartNumberingAfterBreak="0">
    <w:nsid w:val="7B5365D9"/>
    <w:multiLevelType w:val="hybridMultilevel"/>
    <w:tmpl w:val="C4E65B1A"/>
    <w:lvl w:ilvl="0" w:tplc="D8AA8A94">
      <w:start w:val="1"/>
      <w:numFmt w:val="bullet"/>
      <w:lvlText w:val=""/>
      <w:lvlJc w:val="left"/>
      <w:pPr>
        <w:ind w:left="360" w:hanging="360"/>
      </w:pPr>
      <w:rPr>
        <w:rFonts w:ascii="Symbol" w:hAnsi="Symbol" w:hint="default"/>
      </w:rPr>
    </w:lvl>
    <w:lvl w:ilvl="1" w:tplc="94F85208">
      <w:start w:val="1"/>
      <w:numFmt w:val="bullet"/>
      <w:lvlText w:val="o"/>
      <w:lvlJc w:val="left"/>
      <w:pPr>
        <w:ind w:left="1080" w:hanging="360"/>
      </w:pPr>
      <w:rPr>
        <w:rFonts w:ascii="Courier New" w:hAnsi="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hint="default"/>
      </w:rPr>
    </w:lvl>
    <w:lvl w:ilvl="8" w:tplc="0413001B"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1"/>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C7"/>
    <w:rsid w:val="00096F88"/>
    <w:rsid w:val="00174042"/>
    <w:rsid w:val="00294020"/>
    <w:rsid w:val="00300371"/>
    <w:rsid w:val="003D487A"/>
    <w:rsid w:val="003E1E4D"/>
    <w:rsid w:val="0045793B"/>
    <w:rsid w:val="00521A05"/>
    <w:rsid w:val="006A142B"/>
    <w:rsid w:val="007951F4"/>
    <w:rsid w:val="00896E60"/>
    <w:rsid w:val="008A7650"/>
    <w:rsid w:val="008C2F6D"/>
    <w:rsid w:val="00940361"/>
    <w:rsid w:val="009A449F"/>
    <w:rsid w:val="00AA203A"/>
    <w:rsid w:val="00B02196"/>
    <w:rsid w:val="00B245C7"/>
    <w:rsid w:val="00B7062D"/>
    <w:rsid w:val="00BD5FE3"/>
    <w:rsid w:val="00C66EC7"/>
    <w:rsid w:val="00CD6359"/>
    <w:rsid w:val="00E47CE1"/>
    <w:rsid w:val="00E6708B"/>
    <w:rsid w:val="00F15212"/>
    <w:rsid w:val="00F22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61483"/>
  <w15:chartTrackingRefBased/>
  <w15:docId w15:val="{25209D73-B63B-4E30-B013-D3CBC461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bCs/>
        <w:color w:val="424242"/>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5C7"/>
    <w:rPr>
      <w:rFonts w:asciiTheme="minorHAnsi" w:eastAsia="Times New Roman" w:hAnsiTheme="minorHAnsi" w:cstheme="minorHAnsi"/>
      <w:bCs w:val="0"/>
      <w:color w:val="auto"/>
    </w:rPr>
  </w:style>
  <w:style w:type="paragraph" w:styleId="Kop1">
    <w:name w:val="heading 1"/>
    <w:basedOn w:val="Standaard"/>
    <w:next w:val="Standaard"/>
    <w:link w:val="Kop1Char"/>
    <w:autoRedefine/>
    <w:uiPriority w:val="9"/>
    <w:qFormat/>
    <w:rsid w:val="00B245C7"/>
    <w:pPr>
      <w:keepNext/>
      <w:keepLines/>
      <w:numPr>
        <w:numId w:val="9"/>
      </w:numPr>
      <w:spacing w:before="240" w:after="240"/>
      <w:ind w:left="0" w:hanging="284"/>
      <w:outlineLvl w:val="0"/>
    </w:pPr>
    <w:rPr>
      <w:rFonts w:eastAsiaTheme="majorEastAsia" w:cstheme="majorBidi"/>
      <w:b/>
      <w:bCs/>
      <w:caps/>
      <w:color w:val="4472C4" w:themeColor="accent1"/>
    </w:rPr>
  </w:style>
  <w:style w:type="paragraph" w:styleId="Kop2">
    <w:name w:val="heading 2"/>
    <w:basedOn w:val="Geenafstand"/>
    <w:next w:val="Standaard"/>
    <w:link w:val="Kop2Char"/>
    <w:autoRedefine/>
    <w:qFormat/>
    <w:rsid w:val="008C2F6D"/>
    <w:pPr>
      <w:numPr>
        <w:ilvl w:val="1"/>
        <w:numId w:val="3"/>
      </w:numPr>
      <w:spacing w:after="120"/>
      <w:outlineLvl w:val="1"/>
    </w:pPr>
    <w:rPr>
      <w:rFonts w:asciiTheme="minorHAnsi" w:hAnsiTheme="minorHAnsi"/>
      <w:b/>
      <w:color w:val="4472C4" w:themeColor="accent1"/>
    </w:rPr>
  </w:style>
  <w:style w:type="paragraph" w:styleId="Kop3">
    <w:name w:val="heading 3"/>
    <w:basedOn w:val="Lijstalinea"/>
    <w:next w:val="Standaard"/>
    <w:link w:val="Kop3Char"/>
    <w:autoRedefine/>
    <w:qFormat/>
    <w:rsid w:val="008C2F6D"/>
    <w:pPr>
      <w:ind w:hanging="720"/>
      <w:outlineLvl w:val="2"/>
    </w:pPr>
    <w:rPr>
      <w:rFonts w:cs="Times New Roman"/>
      <w:color w:val="4472C4" w:themeColor="accent1"/>
      <w:szCs w:val="24"/>
      <w:lang w:eastAsia="nl-NL"/>
    </w:rPr>
  </w:style>
  <w:style w:type="paragraph" w:styleId="Kop4">
    <w:name w:val="heading 4"/>
    <w:basedOn w:val="Standaard"/>
    <w:next w:val="Standaard"/>
    <w:link w:val="Kop4Char"/>
    <w:unhideWhenUsed/>
    <w:qFormat/>
    <w:rsid w:val="00B245C7"/>
    <w:pPr>
      <w:keepNext/>
      <w:keepLines/>
      <w:ind w:left="864" w:hanging="864"/>
      <w:outlineLvl w:val="3"/>
    </w:pPr>
    <w:rPr>
      <w:rFonts w:eastAsiaTheme="majorEastAsia" w:cstheme="majorBidi"/>
      <w:bCs/>
      <w:i/>
      <w:iCs/>
    </w:rPr>
  </w:style>
  <w:style w:type="paragraph" w:styleId="Kop5">
    <w:name w:val="heading 5"/>
    <w:basedOn w:val="Standaard"/>
    <w:next w:val="Standaard"/>
    <w:link w:val="Kop5Char"/>
    <w:unhideWhenUsed/>
    <w:qFormat/>
    <w:rsid w:val="00B245C7"/>
    <w:pPr>
      <w:keepNext/>
      <w:keepLines/>
      <w:spacing w:before="200"/>
      <w:ind w:left="1008" w:hanging="1008"/>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nhideWhenUsed/>
    <w:qFormat/>
    <w:rsid w:val="00B245C7"/>
    <w:pPr>
      <w:keepNext/>
      <w:keepLines/>
      <w:spacing w:before="200"/>
      <w:ind w:left="1152" w:hanging="1152"/>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nhideWhenUsed/>
    <w:qFormat/>
    <w:rsid w:val="00B245C7"/>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B245C7"/>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B245C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C2F6D"/>
    <w:rPr>
      <w:rFonts w:eastAsia="Times New Roman" w:cs="Times New Roman"/>
      <w:color w:val="4472C4" w:themeColor="accent1"/>
      <w:szCs w:val="24"/>
      <w:lang w:eastAsia="nl-NL"/>
    </w:rPr>
  </w:style>
  <w:style w:type="character" w:customStyle="1" w:styleId="Kop2Char">
    <w:name w:val="Kop 2 Char"/>
    <w:basedOn w:val="Standaardalinea-lettertype"/>
    <w:link w:val="Kop2"/>
    <w:uiPriority w:val="9"/>
    <w:rsid w:val="008C2F6D"/>
    <w:rPr>
      <w:b/>
      <w:color w:val="4472C4" w:themeColor="accent1"/>
    </w:rPr>
  </w:style>
  <w:style w:type="paragraph" w:styleId="Geenafstand">
    <w:name w:val="No Spacing"/>
    <w:uiPriority w:val="1"/>
    <w:qFormat/>
    <w:rsid w:val="008C2F6D"/>
    <w:pPr>
      <w:spacing w:after="0" w:line="240" w:lineRule="auto"/>
    </w:pPr>
  </w:style>
  <w:style w:type="character" w:customStyle="1" w:styleId="Kop1Char">
    <w:name w:val="Kop 1 Char"/>
    <w:basedOn w:val="Standaardalinea-lettertype"/>
    <w:link w:val="Kop1"/>
    <w:uiPriority w:val="9"/>
    <w:rsid w:val="00B245C7"/>
    <w:rPr>
      <w:rFonts w:asciiTheme="minorHAnsi" w:eastAsiaTheme="majorEastAsia" w:hAnsiTheme="minorHAnsi" w:cstheme="majorBidi"/>
      <w:b/>
      <w:caps/>
      <w:color w:val="4472C4" w:themeColor="accent1"/>
    </w:rPr>
  </w:style>
  <w:style w:type="paragraph" w:styleId="Lijstalinea">
    <w:name w:val="List Paragraph"/>
    <w:basedOn w:val="Standaard"/>
    <w:uiPriority w:val="1"/>
    <w:qFormat/>
    <w:rsid w:val="008C2F6D"/>
    <w:pPr>
      <w:ind w:left="720"/>
      <w:contextualSpacing/>
    </w:pPr>
  </w:style>
  <w:style w:type="character" w:customStyle="1" w:styleId="Kop4Char">
    <w:name w:val="Kop 4 Char"/>
    <w:basedOn w:val="Standaardalinea-lettertype"/>
    <w:link w:val="Kop4"/>
    <w:rsid w:val="00B245C7"/>
    <w:rPr>
      <w:rFonts w:ascii="Trebuchet MS" w:eastAsiaTheme="majorEastAsia" w:hAnsi="Trebuchet MS" w:cstheme="majorBidi"/>
      <w:i/>
      <w:iCs/>
      <w:color w:val="auto"/>
      <w:sz w:val="18"/>
      <w:szCs w:val="24"/>
    </w:rPr>
  </w:style>
  <w:style w:type="character" w:customStyle="1" w:styleId="Kop5Char">
    <w:name w:val="Kop 5 Char"/>
    <w:basedOn w:val="Standaardalinea-lettertype"/>
    <w:link w:val="Kop5"/>
    <w:rsid w:val="00B245C7"/>
    <w:rPr>
      <w:rFonts w:asciiTheme="majorHAnsi" w:eastAsiaTheme="majorEastAsia" w:hAnsiTheme="majorHAnsi" w:cstheme="majorBidi"/>
      <w:bCs w:val="0"/>
      <w:color w:val="1F3763" w:themeColor="accent1" w:themeShade="7F"/>
      <w:sz w:val="18"/>
      <w:szCs w:val="24"/>
    </w:rPr>
  </w:style>
  <w:style w:type="character" w:customStyle="1" w:styleId="Kop6Char">
    <w:name w:val="Kop 6 Char"/>
    <w:basedOn w:val="Standaardalinea-lettertype"/>
    <w:link w:val="Kop6"/>
    <w:rsid w:val="00B245C7"/>
    <w:rPr>
      <w:rFonts w:asciiTheme="majorHAnsi" w:eastAsiaTheme="majorEastAsia" w:hAnsiTheme="majorHAnsi" w:cstheme="majorBidi"/>
      <w:bCs w:val="0"/>
      <w:i/>
      <w:iCs/>
      <w:color w:val="1F3763" w:themeColor="accent1" w:themeShade="7F"/>
      <w:sz w:val="18"/>
      <w:szCs w:val="24"/>
    </w:rPr>
  </w:style>
  <w:style w:type="character" w:customStyle="1" w:styleId="Kop7Char">
    <w:name w:val="Kop 7 Char"/>
    <w:basedOn w:val="Standaardalinea-lettertype"/>
    <w:link w:val="Kop7"/>
    <w:rsid w:val="00B245C7"/>
    <w:rPr>
      <w:rFonts w:asciiTheme="majorHAnsi" w:eastAsiaTheme="majorEastAsia" w:hAnsiTheme="majorHAnsi" w:cstheme="majorBidi"/>
      <w:bCs w:val="0"/>
      <w:i/>
      <w:iCs/>
      <w:color w:val="404040" w:themeColor="text1" w:themeTint="BF"/>
      <w:sz w:val="18"/>
      <w:szCs w:val="24"/>
    </w:rPr>
  </w:style>
  <w:style w:type="character" w:customStyle="1" w:styleId="Kop8Char">
    <w:name w:val="Kop 8 Char"/>
    <w:basedOn w:val="Standaardalinea-lettertype"/>
    <w:link w:val="Kop8"/>
    <w:rsid w:val="00B245C7"/>
    <w:rPr>
      <w:rFonts w:asciiTheme="majorHAnsi" w:eastAsiaTheme="majorEastAsia" w:hAnsiTheme="majorHAnsi" w:cstheme="majorBidi"/>
      <w:bCs w:val="0"/>
      <w:color w:val="404040" w:themeColor="text1" w:themeTint="BF"/>
      <w:sz w:val="20"/>
      <w:szCs w:val="20"/>
    </w:rPr>
  </w:style>
  <w:style w:type="character" w:customStyle="1" w:styleId="Kop9Char">
    <w:name w:val="Kop 9 Char"/>
    <w:basedOn w:val="Standaardalinea-lettertype"/>
    <w:link w:val="Kop9"/>
    <w:rsid w:val="00B245C7"/>
    <w:rPr>
      <w:rFonts w:asciiTheme="majorHAnsi" w:eastAsiaTheme="majorEastAsia" w:hAnsiTheme="majorHAnsi" w:cstheme="majorBidi"/>
      <w:bCs w:val="0"/>
      <w:i/>
      <w:iCs/>
      <w:color w:val="404040" w:themeColor="text1" w:themeTint="BF"/>
      <w:sz w:val="20"/>
      <w:szCs w:val="20"/>
    </w:rPr>
  </w:style>
  <w:style w:type="table" w:styleId="Tabelraster">
    <w:name w:val="Table Grid"/>
    <w:basedOn w:val="Standaardtabel"/>
    <w:uiPriority w:val="39"/>
    <w:rsid w:val="00B245C7"/>
    <w:pPr>
      <w:spacing w:after="0" w:line="240" w:lineRule="auto"/>
    </w:pPr>
    <w:rPr>
      <w:rFonts w:ascii="Times New Roman" w:eastAsia="Times New Roman" w:hAnsi="Times New Roman" w:cs="Times New Roman"/>
      <w:bCs w:val="0"/>
      <w:color w:val="auto"/>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bullets">
    <w:name w:val="enumeration_bullets"/>
    <w:basedOn w:val="Standaard"/>
    <w:qFormat/>
    <w:rsid w:val="00B245C7"/>
    <w:pPr>
      <w:numPr>
        <w:numId w:val="5"/>
      </w:numPr>
    </w:pPr>
  </w:style>
  <w:style w:type="paragraph" w:customStyle="1" w:styleId="enumerationbulletsindent">
    <w:name w:val="enumeration_bullets_indent"/>
    <w:basedOn w:val="Standaard"/>
    <w:qFormat/>
    <w:rsid w:val="00B245C7"/>
    <w:pPr>
      <w:numPr>
        <w:ilvl w:val="1"/>
        <w:numId w:val="5"/>
      </w:numPr>
    </w:pPr>
  </w:style>
  <w:style w:type="paragraph" w:customStyle="1" w:styleId="enumerationbulletsindent2">
    <w:name w:val="enumeration_bullets_indent_2"/>
    <w:basedOn w:val="enumerationbulletsindent"/>
    <w:qFormat/>
    <w:rsid w:val="00B245C7"/>
    <w:pPr>
      <w:numPr>
        <w:ilvl w:val="2"/>
      </w:numPr>
    </w:pPr>
  </w:style>
  <w:style w:type="paragraph" w:customStyle="1" w:styleId="enumerationbulletsindent3">
    <w:name w:val="enumeration_bullets_indent_3"/>
    <w:basedOn w:val="enumerationbulletsindent2"/>
    <w:qFormat/>
    <w:rsid w:val="00B245C7"/>
    <w:pPr>
      <w:numPr>
        <w:ilvl w:val="3"/>
      </w:numPr>
    </w:pPr>
  </w:style>
  <w:style w:type="paragraph" w:styleId="Plattetekst">
    <w:name w:val="Body Text"/>
    <w:basedOn w:val="Standaard"/>
    <w:link w:val="PlattetekstChar"/>
    <w:rsid w:val="00B245C7"/>
    <w:pPr>
      <w:spacing w:after="120"/>
    </w:pPr>
  </w:style>
  <w:style w:type="character" w:customStyle="1" w:styleId="PlattetekstChar">
    <w:name w:val="Platte tekst Char"/>
    <w:basedOn w:val="Standaardalinea-lettertype"/>
    <w:link w:val="Plattetekst"/>
    <w:rsid w:val="00B245C7"/>
    <w:rPr>
      <w:rFonts w:ascii="Trebuchet MS" w:eastAsia="Times New Roman" w:hAnsi="Trebuchet MS" w:cs="Times New Roman"/>
      <w:bCs w:val="0"/>
      <w:color w:val="auto"/>
      <w:sz w:val="18"/>
      <w:szCs w:val="24"/>
    </w:rPr>
  </w:style>
  <w:style w:type="paragraph" w:styleId="Koptekst">
    <w:name w:val="header"/>
    <w:basedOn w:val="Standaard"/>
    <w:link w:val="KoptekstChar"/>
    <w:uiPriority w:val="99"/>
    <w:unhideWhenUsed/>
    <w:rsid w:val="00B245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45C7"/>
    <w:rPr>
      <w:rFonts w:asciiTheme="minorHAnsi" w:eastAsia="Times New Roman" w:hAnsiTheme="minorHAnsi" w:cstheme="minorHAnsi"/>
      <w:bCs w:val="0"/>
      <w:color w:val="auto"/>
    </w:rPr>
  </w:style>
  <w:style w:type="paragraph" w:styleId="Voettekst">
    <w:name w:val="footer"/>
    <w:basedOn w:val="Standaard"/>
    <w:link w:val="VoettekstChar"/>
    <w:uiPriority w:val="99"/>
    <w:unhideWhenUsed/>
    <w:rsid w:val="00B245C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45C7"/>
    <w:rPr>
      <w:rFonts w:asciiTheme="minorHAnsi" w:eastAsia="Times New Roman" w:hAnsiTheme="minorHAnsi" w:cstheme="minorHAns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002152C06FE4287FCB9D90BF5BAA2" ma:contentTypeVersion="8" ma:contentTypeDescription="Een nieuw document maken." ma:contentTypeScope="" ma:versionID="a822dbce636c304f748812e08db29c7c">
  <xsd:schema xmlns:xsd="http://www.w3.org/2001/XMLSchema" xmlns:xs="http://www.w3.org/2001/XMLSchema" xmlns:p="http://schemas.microsoft.com/office/2006/metadata/properties" xmlns:ns2="07cba3d3-7fd6-4f00-8e08-face9e75fa2f" xmlns:ns3="49deaa9e-6286-42d5-b62d-d55f2c52a255" targetNamespace="http://schemas.microsoft.com/office/2006/metadata/properties" ma:root="true" ma:fieldsID="f87835aff35bfb31d513c35d236aba48" ns2:_="" ns3:_="">
    <xsd:import namespace="07cba3d3-7fd6-4f00-8e08-face9e75fa2f"/>
    <xsd:import namespace="49deaa9e-6286-42d5-b62d-d55f2c52a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a3d3-7fd6-4f00-8e08-face9e75fa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eaa9e-6286-42d5-b62d-d55f2c52a25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9441-EBAF-4C97-8FE1-13746AC3C9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190C5-D185-470B-8ABC-43E24A2DD3B3}">
  <ds:schemaRefs>
    <ds:schemaRef ds:uri="http://schemas.microsoft.com/sharepoint/v3/contenttype/forms"/>
  </ds:schemaRefs>
</ds:datastoreItem>
</file>

<file path=customXml/itemProps3.xml><?xml version="1.0" encoding="utf-8"?>
<ds:datastoreItem xmlns:ds="http://schemas.openxmlformats.org/officeDocument/2006/customXml" ds:itemID="{B0FC8899-B284-4444-9353-D8157B3A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a3d3-7fd6-4f00-8e08-face9e75fa2f"/>
    <ds:schemaRef ds:uri="49deaa9e-6286-42d5-b62d-d55f2c52a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Muilenburg, Kees</dc:creator>
  <cp:keywords/>
  <dc:description/>
  <cp:lastModifiedBy>Muilenburg, Kees</cp:lastModifiedBy>
  <cp:revision>8</cp:revision>
  <dcterms:created xsi:type="dcterms:W3CDTF">2019-07-15T07:04:00Z</dcterms:created>
  <dcterms:modified xsi:type="dcterms:W3CDTF">2019-11-14T14:17:00Z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0x010100C65002152C06FE4287FCB9D90BF5BAA2</vt:lpwstr>
  </property>
</Properties>
</file>