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0457" w:rsidRPr="00A70457" w:rsidRDefault="005A547C" w:rsidP="00A70457">
      <w:pPr>
        <w:rPr>
          <w:rFonts w:eastAsia="Times New Roman" w:cs="Times New Roman"/>
          <w:b/>
          <w:sz w:val="24"/>
          <w:szCs w:val="24"/>
        </w:rPr>
      </w:pPr>
      <w:r>
        <w:rPr>
          <w:rFonts w:eastAsia="Times New Roman" w:cs="Times New Roman"/>
          <w:b/>
          <w:sz w:val="24"/>
          <w:szCs w:val="24"/>
        </w:rPr>
        <w:t>Bijlage 4</w:t>
      </w:r>
      <w:r w:rsidR="00A61F9E">
        <w:rPr>
          <w:rFonts w:eastAsia="Times New Roman" w:cs="Times New Roman"/>
          <w:b/>
          <w:sz w:val="24"/>
          <w:szCs w:val="24"/>
        </w:rPr>
        <w:t>b</w:t>
      </w:r>
      <w:r>
        <w:rPr>
          <w:rFonts w:eastAsia="Times New Roman" w:cs="Times New Roman"/>
          <w:b/>
          <w:sz w:val="24"/>
          <w:szCs w:val="24"/>
        </w:rPr>
        <w:t xml:space="preserve"> </w:t>
      </w:r>
      <w:r w:rsidR="00327E86" w:rsidRPr="00327E86">
        <w:rPr>
          <w:rFonts w:eastAsia="Times New Roman" w:cs="Times New Roman"/>
          <w:b/>
          <w:sz w:val="24"/>
          <w:szCs w:val="24"/>
        </w:rPr>
        <w:t>Bereidverklaring adequaat verzekeren</w:t>
      </w:r>
    </w:p>
    <w:p w:rsidR="00A70457" w:rsidRPr="00A70457" w:rsidRDefault="00A70457" w:rsidP="00A70457">
      <w:pPr>
        <w:rPr>
          <w:rFonts w:eastAsia="Times New Roman" w:cs="Times New Roman"/>
          <w:szCs w:val="24"/>
        </w:rPr>
      </w:pPr>
    </w:p>
    <w:p w:rsidR="00A70457" w:rsidRPr="00A70457" w:rsidRDefault="00A70457" w:rsidP="003D3309">
      <w:pPr>
        <w:suppressAutoHyphens/>
        <w:rPr>
          <w:rFonts w:eastAsia="Times New Roman" w:cs="Arial"/>
          <w:szCs w:val="24"/>
        </w:rPr>
      </w:pPr>
      <w:r w:rsidRPr="00A70457">
        <w:rPr>
          <w:rFonts w:eastAsia="Times New Roman" w:cs="Times New Roman"/>
          <w:szCs w:val="24"/>
          <w:lang w:eastAsia="en-US"/>
        </w:rPr>
        <w:t>Behorende bij selectieleidraad “Planuitwerkingsfase en realisatiefase KIJK”, HHSK 2019.01518</w:t>
      </w:r>
    </w:p>
    <w:p w:rsidR="00A70457" w:rsidRPr="00A70457" w:rsidRDefault="00A70457" w:rsidP="003D3309">
      <w:pPr>
        <w:rPr>
          <w:rFonts w:eastAsia="Times New Roman" w:cs="Times New Roman"/>
          <w:szCs w:val="24"/>
        </w:rPr>
      </w:pPr>
      <w:r w:rsidRPr="00A70457">
        <w:rPr>
          <w:rFonts w:eastAsia="Times New Roman" w:cs="Times New Roman"/>
          <w:szCs w:val="24"/>
        </w:rPr>
        <w:tab/>
      </w:r>
    </w:p>
    <w:p w:rsidR="00082AC4" w:rsidRPr="00A61F9E" w:rsidRDefault="003D3309" w:rsidP="00082AC4">
      <w:pPr>
        <w:rPr>
          <w:b/>
          <w:szCs w:val="20"/>
        </w:rPr>
      </w:pPr>
      <w:r w:rsidRPr="003D3309">
        <w:rPr>
          <w:szCs w:val="20"/>
        </w:rPr>
        <w:t xml:space="preserve">De Gegadigde, althans de  Opdrachtnemer verklaart zich bereid om in het kader van de </w:t>
      </w:r>
      <w:r w:rsidRPr="00A61F9E">
        <w:rPr>
          <w:szCs w:val="20"/>
        </w:rPr>
        <w:t>selectie en eventuele aansluitende gunning van project KIJK een</w:t>
      </w:r>
      <w:r w:rsidR="00DA04C6" w:rsidRPr="00A61F9E">
        <w:rPr>
          <w:szCs w:val="20"/>
        </w:rPr>
        <w:t xml:space="preserve"> project gerelateerde Aansprakelijkheidsverzekering voor bedrijven (AVB)</w:t>
      </w:r>
      <w:r w:rsidRPr="00A61F9E">
        <w:rPr>
          <w:szCs w:val="20"/>
        </w:rPr>
        <w:t xml:space="preserve">, een Aansprakelijkheidsverzekering </w:t>
      </w:r>
      <w:r w:rsidR="00DA04C6" w:rsidRPr="00A61F9E">
        <w:rPr>
          <w:szCs w:val="20"/>
        </w:rPr>
        <w:t xml:space="preserve">voor voertuigen en </w:t>
      </w:r>
      <w:r w:rsidRPr="00A61F9E">
        <w:rPr>
          <w:szCs w:val="20"/>
        </w:rPr>
        <w:t xml:space="preserve">Werkmaterieel  en een </w:t>
      </w:r>
      <w:r w:rsidR="00DA04C6" w:rsidRPr="00A61F9E">
        <w:rPr>
          <w:szCs w:val="20"/>
        </w:rPr>
        <w:t>Bouw Ontwerp Verzekering (BOV)</w:t>
      </w:r>
      <w:r w:rsidR="00FB48D5" w:rsidRPr="00FB48D5">
        <w:t xml:space="preserve"> </w:t>
      </w:r>
      <w:r w:rsidR="00FB48D5">
        <w:t>en een (primaire) Transportverzekering</w:t>
      </w:r>
      <w:r w:rsidR="00DA04C6" w:rsidRPr="00A61F9E">
        <w:rPr>
          <w:szCs w:val="20"/>
        </w:rPr>
        <w:t xml:space="preserve"> </w:t>
      </w:r>
      <w:r w:rsidRPr="00A61F9E">
        <w:rPr>
          <w:szCs w:val="20"/>
        </w:rPr>
        <w:t>te sluiten conform de eisen</w:t>
      </w:r>
      <w:r w:rsidR="00DA04C6" w:rsidRPr="00A61F9E">
        <w:rPr>
          <w:b/>
          <w:szCs w:val="20"/>
        </w:rPr>
        <w:t xml:space="preserve"> </w:t>
      </w:r>
      <w:r w:rsidR="00082AC4" w:rsidRPr="00A61F9E">
        <w:rPr>
          <w:szCs w:val="20"/>
        </w:rPr>
        <w:t>gesteld  in de Gunningsleidraad en zoals hieronder – verkort -  aangehaald.</w:t>
      </w:r>
    </w:p>
    <w:p w:rsidR="00082AC4" w:rsidRPr="00A61F9E" w:rsidRDefault="00082AC4" w:rsidP="00082AC4">
      <w:pPr>
        <w:rPr>
          <w:szCs w:val="20"/>
        </w:rPr>
      </w:pPr>
    </w:p>
    <w:p w:rsidR="003D3309" w:rsidRPr="00A61F9E" w:rsidRDefault="00082AC4" w:rsidP="00082AC4">
      <w:pPr>
        <w:rPr>
          <w:szCs w:val="20"/>
        </w:rPr>
      </w:pPr>
      <w:r w:rsidRPr="00A61F9E">
        <w:rPr>
          <w:b/>
          <w:szCs w:val="20"/>
        </w:rPr>
        <w:t>Aansprakelijkheidsverzekering voor bedrijven (AVB</w:t>
      </w:r>
      <w:r w:rsidR="00265FC0" w:rsidRPr="00A61F9E">
        <w:rPr>
          <w:b/>
          <w:szCs w:val="20"/>
        </w:rPr>
        <w:t>)</w:t>
      </w:r>
    </w:p>
    <w:p w:rsidR="003D3309" w:rsidRPr="00A61F9E" w:rsidRDefault="003D3309" w:rsidP="003D3309">
      <w:pPr>
        <w:rPr>
          <w:szCs w:val="20"/>
        </w:rPr>
      </w:pPr>
      <w:r w:rsidRPr="00A61F9E">
        <w:rPr>
          <w:szCs w:val="20"/>
        </w:rPr>
        <w:t>Door de Gegadigde , althans de Opdrachtnemer) dient voor de gehele realisatiefase van de Overeenkomst te worden zorggedragen voor adequate dekking van zijn wettelijke en contractuele aansprakelijkheid, gebruik van materieel, en waar toepasselijk inzet van vaartuigen, daaronder begrepen. Deze aansprakelijkheidsverzekering</w:t>
      </w:r>
      <w:r w:rsidR="00DA04C6" w:rsidRPr="00A61F9E">
        <w:rPr>
          <w:szCs w:val="20"/>
        </w:rPr>
        <w:t xml:space="preserve"> voor bedrijven</w:t>
      </w:r>
      <w:r w:rsidRPr="00A61F9E">
        <w:rPr>
          <w:szCs w:val="20"/>
        </w:rPr>
        <w:t xml:space="preserve"> (AVB) dient tevens dekking te bieden voor:</w:t>
      </w:r>
    </w:p>
    <w:p w:rsidR="003D3309" w:rsidRPr="00A61F9E" w:rsidRDefault="003D3309" w:rsidP="003D3309">
      <w:pPr>
        <w:rPr>
          <w:szCs w:val="20"/>
        </w:rPr>
      </w:pPr>
    </w:p>
    <w:p w:rsidR="003D3309" w:rsidRPr="00A61F9E" w:rsidRDefault="003D3309" w:rsidP="003D3309">
      <w:pPr>
        <w:rPr>
          <w:szCs w:val="20"/>
        </w:rPr>
      </w:pPr>
      <w:r w:rsidRPr="00A61F9E">
        <w:rPr>
          <w:szCs w:val="20"/>
        </w:rPr>
        <w:t>▪ Aansprakelijkheid uit hoofde van artikel 7:658 BW en 7:611 BW,</w:t>
      </w:r>
    </w:p>
    <w:p w:rsidR="003D3309" w:rsidRPr="00A61F9E" w:rsidRDefault="003D3309" w:rsidP="003D3309">
      <w:pPr>
        <w:rPr>
          <w:szCs w:val="20"/>
        </w:rPr>
      </w:pPr>
      <w:r w:rsidRPr="00A61F9E">
        <w:rPr>
          <w:szCs w:val="20"/>
        </w:rPr>
        <w:t>▪ Onderaannemers, leveranciers, adviseurs e.d.,</w:t>
      </w:r>
    </w:p>
    <w:p w:rsidR="003D3309" w:rsidRPr="003D3309" w:rsidRDefault="003D3309" w:rsidP="003D3309">
      <w:pPr>
        <w:rPr>
          <w:szCs w:val="20"/>
        </w:rPr>
      </w:pPr>
      <w:r w:rsidRPr="003D3309">
        <w:rPr>
          <w:szCs w:val="20"/>
        </w:rPr>
        <w:t>▪ De Opdrachtgever, zomede diens adviseurs,</w:t>
      </w:r>
    </w:p>
    <w:p w:rsidR="003D3309" w:rsidRPr="003D3309" w:rsidRDefault="003D3309" w:rsidP="003D3309">
      <w:pPr>
        <w:rPr>
          <w:szCs w:val="20"/>
        </w:rPr>
      </w:pPr>
      <w:r w:rsidRPr="003D3309">
        <w:rPr>
          <w:szCs w:val="20"/>
        </w:rPr>
        <w:t>▪ Regres door brandverzekeraar(s),</w:t>
      </w:r>
    </w:p>
    <w:p w:rsidR="003D3309" w:rsidRDefault="003D3309" w:rsidP="003D3309">
      <w:pPr>
        <w:rPr>
          <w:szCs w:val="20"/>
        </w:rPr>
      </w:pPr>
      <w:r w:rsidRPr="003D3309">
        <w:rPr>
          <w:szCs w:val="20"/>
        </w:rPr>
        <w:t>▪ Eventuele claims van bezoekers in de ruimste zin.</w:t>
      </w:r>
    </w:p>
    <w:p w:rsidR="003D3309" w:rsidRPr="003D3309" w:rsidRDefault="003D3309" w:rsidP="003D3309">
      <w:pPr>
        <w:rPr>
          <w:szCs w:val="20"/>
        </w:rPr>
      </w:pPr>
    </w:p>
    <w:p w:rsidR="003D3309" w:rsidRDefault="003D3309" w:rsidP="003D3309">
      <w:pPr>
        <w:rPr>
          <w:szCs w:val="20"/>
        </w:rPr>
      </w:pPr>
      <w:r w:rsidRPr="003D3309">
        <w:rPr>
          <w:szCs w:val="20"/>
        </w:rPr>
        <w:t>De polis moet dekking bieden voor onderlinge aansprakelijkheid van alle voornoemde partijen. De polis mag voorzien in regresbepalingen naar onderaannemers, leveranciers, adviseurs en dergelijke. De polis mag secundair zijn ten opzichte van de door HHKS als Opdrachtgever gesloten CAR-verzekering.</w:t>
      </w:r>
    </w:p>
    <w:p w:rsidR="003D3309" w:rsidRPr="003D3309" w:rsidRDefault="003D3309" w:rsidP="003D3309">
      <w:pPr>
        <w:rPr>
          <w:szCs w:val="20"/>
        </w:rPr>
      </w:pPr>
    </w:p>
    <w:p w:rsidR="003D3309" w:rsidRDefault="003D3309" w:rsidP="003D3309">
      <w:pPr>
        <w:rPr>
          <w:szCs w:val="20"/>
        </w:rPr>
      </w:pPr>
      <w:r w:rsidRPr="003D3309">
        <w:rPr>
          <w:szCs w:val="20"/>
        </w:rPr>
        <w:t>Aansprakelijkheid uit hoofde van art. 7: 658 BW en 7: 611 BW dient niet te worden meeverzekerd op een eventuele project-polis, maar dient verzekerd te blijven op de eigen doorlopende aansprakelijkheidsverzekering van de Opdrachtnemer.</w:t>
      </w:r>
    </w:p>
    <w:p w:rsidR="003D3309" w:rsidRPr="003D3309" w:rsidRDefault="003D3309" w:rsidP="003D3309">
      <w:pPr>
        <w:rPr>
          <w:szCs w:val="20"/>
        </w:rPr>
      </w:pPr>
    </w:p>
    <w:p w:rsidR="003D3309" w:rsidRDefault="003D3309" w:rsidP="003D3309">
      <w:pPr>
        <w:rPr>
          <w:szCs w:val="20"/>
        </w:rPr>
      </w:pPr>
      <w:r w:rsidRPr="003D3309">
        <w:rPr>
          <w:szCs w:val="20"/>
        </w:rPr>
        <w:t>Het verzekerde bedrag bedraagt minimaal EUR 10.000.000,00 en het eigen risico maximaal EUR 25.000,00, beide per schade of reeks van schaden met één en dezelfde oorzaak. Het verzekerde bedrag mag worden gemaximeerd tot twee maal het verzekerd bedrag per jaar, dan wel in geval van een projectpolis tot EUR 20.000.000,00 voor de verzekeringsduur.</w:t>
      </w:r>
    </w:p>
    <w:p w:rsidR="003D3309" w:rsidRPr="003D3309" w:rsidRDefault="003D3309" w:rsidP="003D3309">
      <w:pPr>
        <w:rPr>
          <w:szCs w:val="20"/>
        </w:rPr>
      </w:pPr>
    </w:p>
    <w:p w:rsidR="003D3309" w:rsidRPr="003D3309" w:rsidRDefault="003D3309" w:rsidP="003D3309">
      <w:pPr>
        <w:rPr>
          <w:szCs w:val="20"/>
        </w:rPr>
      </w:pPr>
      <w:r w:rsidRPr="003D3309">
        <w:rPr>
          <w:b/>
          <w:szCs w:val="20"/>
        </w:rPr>
        <w:t>Aansprakelijkheidsverzekering voor voertuigen en materieel</w:t>
      </w:r>
    </w:p>
    <w:p w:rsidR="003D3309" w:rsidRDefault="00382F58" w:rsidP="003D3309">
      <w:pPr>
        <w:rPr>
          <w:szCs w:val="20"/>
        </w:rPr>
      </w:pPr>
      <w:r>
        <w:rPr>
          <w:szCs w:val="20"/>
        </w:rPr>
        <w:t xml:space="preserve">De Gegadigde, althans de </w:t>
      </w:r>
      <w:r w:rsidR="003D3309" w:rsidRPr="003D3309">
        <w:rPr>
          <w:szCs w:val="20"/>
        </w:rPr>
        <w:t>Opdrachtnemer dient voor de gehele realisatiefase van de Overeenkomst een Aansprakelijkheidsverzekering Werkmaterieel te sluiten. De verzekering biedt dekking voor de aansprakelijkheid van de Opdrachtgever, De Gegadigde, althans de  Opdrachtnemer en hun adviseurs ter zake van het gebruik van rijdend, drijvend en varend materieel (ten behoeve van het Werk), daaronder begrepen gebruik van materieel waarbij graafschade ontstaat.</w:t>
      </w:r>
    </w:p>
    <w:p w:rsidR="003D3309" w:rsidRPr="003D3309" w:rsidRDefault="003D3309" w:rsidP="003D3309">
      <w:pPr>
        <w:rPr>
          <w:szCs w:val="20"/>
        </w:rPr>
      </w:pPr>
    </w:p>
    <w:p w:rsidR="003D3309" w:rsidRDefault="003D3309" w:rsidP="003D3309">
      <w:pPr>
        <w:rPr>
          <w:szCs w:val="20"/>
        </w:rPr>
      </w:pPr>
      <w:r w:rsidRPr="003D3309">
        <w:rPr>
          <w:szCs w:val="20"/>
        </w:rPr>
        <w:t>De verzekering moet ook dekking bieden voor de aansprakelijkheid ten gevolge van zowel bedienings- als regiefouten (ook als onvoldoende preventieve maatregelen zijn genomen om graafschade te voorkomen).</w:t>
      </w:r>
    </w:p>
    <w:p w:rsidR="003D3309" w:rsidRPr="003D3309" w:rsidRDefault="003D3309" w:rsidP="003D3309">
      <w:pPr>
        <w:rPr>
          <w:szCs w:val="20"/>
        </w:rPr>
      </w:pPr>
    </w:p>
    <w:p w:rsidR="003D3309" w:rsidRDefault="003D3309" w:rsidP="003D3309">
      <w:pPr>
        <w:rPr>
          <w:szCs w:val="20"/>
        </w:rPr>
      </w:pPr>
      <w:r w:rsidRPr="003D3309">
        <w:rPr>
          <w:szCs w:val="20"/>
        </w:rPr>
        <w:lastRenderedPageBreak/>
        <w:t>De verzekering biedt dekking bij zowel gebruik van eigen materieel als bij gebruik van materieel van derden.</w:t>
      </w:r>
    </w:p>
    <w:p w:rsidR="003D3309" w:rsidRPr="003D3309" w:rsidRDefault="003D3309" w:rsidP="003D3309">
      <w:pPr>
        <w:rPr>
          <w:szCs w:val="20"/>
        </w:rPr>
      </w:pPr>
    </w:p>
    <w:p w:rsidR="003D3309" w:rsidRDefault="003D3309" w:rsidP="003D3309">
      <w:pPr>
        <w:rPr>
          <w:szCs w:val="20"/>
        </w:rPr>
      </w:pPr>
      <w:r w:rsidRPr="003D3309">
        <w:rPr>
          <w:szCs w:val="20"/>
        </w:rPr>
        <w:t>De verzekering moet voldoen aan de eisen die voor een dergelijke verzekering voortvloeien uit de Wet Aansprakelijkheidsverzekering Motorrijtuigen.</w:t>
      </w:r>
    </w:p>
    <w:p w:rsidR="003D3309" w:rsidRPr="003D3309" w:rsidRDefault="003D3309" w:rsidP="003D3309">
      <w:pPr>
        <w:rPr>
          <w:szCs w:val="20"/>
        </w:rPr>
      </w:pPr>
    </w:p>
    <w:p w:rsidR="003D3309" w:rsidRPr="003D3309" w:rsidRDefault="003D3309" w:rsidP="003D3309">
      <w:pPr>
        <w:rPr>
          <w:szCs w:val="20"/>
        </w:rPr>
      </w:pPr>
      <w:r w:rsidRPr="003D3309">
        <w:rPr>
          <w:szCs w:val="20"/>
        </w:rPr>
        <w:t>▪ De verzekerde som bedraagt minimaal EUR 5.500.000,00 per aanspraak of gebeurtenis,</w:t>
      </w:r>
    </w:p>
    <w:p w:rsidR="003D3309" w:rsidRPr="003D3309" w:rsidRDefault="003D3309" w:rsidP="003D3309">
      <w:pPr>
        <w:rPr>
          <w:szCs w:val="20"/>
        </w:rPr>
      </w:pPr>
      <w:r w:rsidRPr="003D3309">
        <w:rPr>
          <w:szCs w:val="20"/>
        </w:rPr>
        <w:t>▪ Het maximale eigen risico bedraagt EUR 25.000,00 per aanspraak of gebeurtenis,</w:t>
      </w:r>
    </w:p>
    <w:p w:rsidR="003D3309" w:rsidRPr="00CD7376" w:rsidRDefault="003D3309" w:rsidP="003D3309">
      <w:pPr>
        <w:rPr>
          <w:szCs w:val="20"/>
        </w:rPr>
      </w:pPr>
      <w:r w:rsidRPr="003D3309">
        <w:rPr>
          <w:szCs w:val="20"/>
        </w:rPr>
        <w:t>▪ Voor zover materieel niet overeenkomstig het vorenstaande is verzekerd, mag het niet worden ingezet ten behoeve van de Werkzaamheden.</w:t>
      </w:r>
    </w:p>
    <w:p w:rsidR="003D3309" w:rsidRPr="003D3309" w:rsidRDefault="003D3309" w:rsidP="003D3309">
      <w:pPr>
        <w:rPr>
          <w:b/>
          <w:szCs w:val="20"/>
        </w:rPr>
      </w:pPr>
    </w:p>
    <w:p w:rsidR="003D3309" w:rsidRPr="003D3309" w:rsidRDefault="003D3309" w:rsidP="003D3309">
      <w:pPr>
        <w:rPr>
          <w:szCs w:val="20"/>
        </w:rPr>
      </w:pPr>
      <w:r w:rsidRPr="003D3309">
        <w:rPr>
          <w:b/>
          <w:szCs w:val="20"/>
        </w:rPr>
        <w:t>Bouw Ontwerp Verzekering (BOV)</w:t>
      </w:r>
    </w:p>
    <w:p w:rsidR="003D3309" w:rsidRPr="003D3309" w:rsidRDefault="003D3309" w:rsidP="003D3309">
      <w:pPr>
        <w:rPr>
          <w:szCs w:val="20"/>
        </w:rPr>
      </w:pPr>
    </w:p>
    <w:p w:rsidR="003D3309" w:rsidRPr="003D3309" w:rsidRDefault="003D3309" w:rsidP="003D3309">
      <w:pPr>
        <w:rPr>
          <w:szCs w:val="20"/>
        </w:rPr>
      </w:pPr>
      <w:r w:rsidRPr="003D3309">
        <w:rPr>
          <w:szCs w:val="20"/>
        </w:rPr>
        <w:t>De verzekering biedt dekking voor de aansprakelijkheid van De Gegadigde, althans de  Opdrachtnemer (Opdrachtnemer)  op grond van fouten gemaakt in het kader van de Ontwerpwerkzaamheden (hierna: “ontwerpfouten”), waaronder begrepen niet-nakoming van de waarschuwingsplicht van De Gegadigde, althans de  Opdrachtnemer (Opdrachtnemer).</w:t>
      </w:r>
    </w:p>
    <w:p w:rsidR="003D3309" w:rsidRDefault="003D3309" w:rsidP="003D3309">
      <w:pPr>
        <w:rPr>
          <w:szCs w:val="20"/>
        </w:rPr>
      </w:pPr>
      <w:r w:rsidRPr="003D3309">
        <w:rPr>
          <w:szCs w:val="20"/>
        </w:rPr>
        <w:t>De dekking onder de verzekering mag niet beperkt zijn tot vergoeding van fysieke schade maar moet strekken tot vergoeding van de volledige (vermogens)schade als bedoeld in artikel 6:96 BW als gevolg van de ontwerpfout(en).</w:t>
      </w:r>
    </w:p>
    <w:p w:rsidR="003D3309" w:rsidRPr="003D3309" w:rsidRDefault="003D3309" w:rsidP="003D3309">
      <w:pPr>
        <w:rPr>
          <w:szCs w:val="20"/>
        </w:rPr>
      </w:pPr>
    </w:p>
    <w:p w:rsidR="003D3309" w:rsidRDefault="003D3309" w:rsidP="003D3309">
      <w:pPr>
        <w:rPr>
          <w:szCs w:val="20"/>
        </w:rPr>
      </w:pPr>
      <w:r w:rsidRPr="003D3309">
        <w:rPr>
          <w:szCs w:val="20"/>
        </w:rPr>
        <w:t>De verzekerde som bedraagt minimaal EUR 10.000.000,00 dan wel EUR 20.000.000 p</w:t>
      </w:r>
      <w:r>
        <w:rPr>
          <w:szCs w:val="20"/>
        </w:rPr>
        <w:t>er aanspraak (nader te bepalen)</w:t>
      </w:r>
      <w:r w:rsidRPr="003D3309">
        <w:rPr>
          <w:szCs w:val="20"/>
        </w:rPr>
        <w:t xml:space="preserve">. Een maximering van het aantal gebeurtenissen per verzekeringsjaar is niet toegestaan. De verzekerde som mag worden gemaximeerd tot twee maal deze limiet voor het Werk of per jaar. </w:t>
      </w:r>
    </w:p>
    <w:p w:rsidR="00653A64" w:rsidRDefault="00653A64" w:rsidP="003D3309">
      <w:pPr>
        <w:rPr>
          <w:szCs w:val="20"/>
        </w:rPr>
      </w:pPr>
    </w:p>
    <w:p w:rsidR="008D0894" w:rsidRPr="00A61F9E" w:rsidRDefault="00A61F9E" w:rsidP="00653A64">
      <w:pPr>
        <w:rPr>
          <w:b/>
          <w:szCs w:val="20"/>
        </w:rPr>
      </w:pPr>
      <w:r w:rsidRPr="00A61F9E">
        <w:rPr>
          <w:b/>
          <w:szCs w:val="20"/>
        </w:rPr>
        <w:t xml:space="preserve">Opdrachtnemerscombinatie </w:t>
      </w:r>
    </w:p>
    <w:p w:rsidR="008D0894" w:rsidRPr="00A61F9E" w:rsidRDefault="008D0894" w:rsidP="00653A64">
      <w:pPr>
        <w:rPr>
          <w:szCs w:val="20"/>
        </w:rPr>
      </w:pPr>
    </w:p>
    <w:p w:rsidR="008D0894" w:rsidRPr="00A61F9E" w:rsidRDefault="008D0894" w:rsidP="00265FC0">
      <w:pPr>
        <w:rPr>
          <w:szCs w:val="20"/>
        </w:rPr>
      </w:pPr>
      <w:r w:rsidRPr="00A61F9E">
        <w:rPr>
          <w:szCs w:val="20"/>
        </w:rPr>
        <w:t>In geval van een Opdrachtne</w:t>
      </w:r>
      <w:r w:rsidR="00265FC0" w:rsidRPr="00A61F9E">
        <w:rPr>
          <w:szCs w:val="20"/>
        </w:rPr>
        <w:t>merscombinatie dient de</w:t>
      </w:r>
      <w:r w:rsidR="00082AC4" w:rsidRPr="00A61F9E">
        <w:rPr>
          <w:szCs w:val="20"/>
        </w:rPr>
        <w:t xml:space="preserve"> project-</w:t>
      </w:r>
      <w:r w:rsidR="00265FC0" w:rsidRPr="00A61F9E">
        <w:t xml:space="preserve"> </w:t>
      </w:r>
      <w:r w:rsidR="00265FC0" w:rsidRPr="00A61F9E">
        <w:rPr>
          <w:szCs w:val="20"/>
        </w:rPr>
        <w:t>Aansprakelijkheidsverzekering voor bedrijven (AVB)</w:t>
      </w:r>
      <w:r w:rsidR="00082AC4" w:rsidRPr="00A61F9E">
        <w:rPr>
          <w:szCs w:val="20"/>
        </w:rPr>
        <w:t xml:space="preserve">, </w:t>
      </w:r>
      <w:r w:rsidRPr="00A61F9E">
        <w:rPr>
          <w:szCs w:val="20"/>
        </w:rPr>
        <w:t xml:space="preserve">Aansprakelijkheidsverzekering Werkmaterieel en </w:t>
      </w:r>
      <w:r w:rsidR="00082AC4" w:rsidRPr="00A61F9E">
        <w:rPr>
          <w:szCs w:val="20"/>
        </w:rPr>
        <w:t>Bouw Ontwerp Verzekerin</w:t>
      </w:r>
      <w:r w:rsidR="00265FC0" w:rsidRPr="00A61F9E">
        <w:rPr>
          <w:szCs w:val="20"/>
        </w:rPr>
        <w:t>g</w:t>
      </w:r>
      <w:r w:rsidR="00265FC0" w:rsidRPr="00A61F9E">
        <w:t xml:space="preserve"> </w:t>
      </w:r>
      <w:r w:rsidR="00265FC0" w:rsidRPr="00A61F9E">
        <w:rPr>
          <w:szCs w:val="20"/>
        </w:rPr>
        <w:t>van de combinatie niet tussentijds opzegbaar te zijn</w:t>
      </w:r>
      <w:r w:rsidR="00082AC4" w:rsidRPr="00A61F9E">
        <w:rPr>
          <w:szCs w:val="20"/>
        </w:rPr>
        <w:t xml:space="preserve">. Tussentijds </w:t>
      </w:r>
      <w:r w:rsidR="00265FC0" w:rsidRPr="00A61F9E">
        <w:rPr>
          <w:szCs w:val="20"/>
        </w:rPr>
        <w:t xml:space="preserve">betekent voor de </w:t>
      </w:r>
      <w:r w:rsidR="00082AC4" w:rsidRPr="00A61F9E">
        <w:rPr>
          <w:szCs w:val="20"/>
        </w:rPr>
        <w:t xml:space="preserve"> </w:t>
      </w:r>
      <w:r w:rsidR="00265FC0" w:rsidRPr="00A61F9E">
        <w:rPr>
          <w:szCs w:val="20"/>
        </w:rPr>
        <w:t xml:space="preserve">Aansprakelijkheidsverzekering voor bedrijven (AVB) en de Aansprakelijkheidsverzekering Werkmaterieel gedurende de gehele realisatiefase van de </w:t>
      </w:r>
      <w:r w:rsidR="00E53DA0" w:rsidRPr="00A61F9E">
        <w:rPr>
          <w:szCs w:val="20"/>
        </w:rPr>
        <w:t>Overeenkomst niet</w:t>
      </w:r>
      <w:r w:rsidR="00265FC0" w:rsidRPr="00A61F9E">
        <w:rPr>
          <w:szCs w:val="20"/>
        </w:rPr>
        <w:t xml:space="preserve">. Voor de Bouw Ontwerp Verzekering (BOV) betekent dat gedurende de gehele looptijd van de Overeenkomst, dus zowel tijdens de </w:t>
      </w:r>
      <w:proofErr w:type="spellStart"/>
      <w:r w:rsidR="00265FC0" w:rsidRPr="00A61F9E">
        <w:rPr>
          <w:szCs w:val="20"/>
        </w:rPr>
        <w:t>planuitwerkings</w:t>
      </w:r>
      <w:proofErr w:type="spellEnd"/>
      <w:r w:rsidR="00265FC0" w:rsidRPr="00A61F9E">
        <w:rPr>
          <w:szCs w:val="20"/>
        </w:rPr>
        <w:t>- als de realisatiefase daarvan</w:t>
      </w:r>
      <w:r w:rsidR="00E53DA0" w:rsidRPr="00A61F9E">
        <w:rPr>
          <w:szCs w:val="20"/>
        </w:rPr>
        <w:t>, niet</w:t>
      </w:r>
      <w:r w:rsidR="00265FC0" w:rsidRPr="00A61F9E">
        <w:rPr>
          <w:szCs w:val="20"/>
        </w:rPr>
        <w:t>.</w:t>
      </w:r>
    </w:p>
    <w:p w:rsidR="008D0894" w:rsidRPr="00A61F9E" w:rsidRDefault="008D0894" w:rsidP="00653A64">
      <w:pPr>
        <w:rPr>
          <w:szCs w:val="20"/>
        </w:rPr>
      </w:pPr>
    </w:p>
    <w:p w:rsidR="008D0894" w:rsidRPr="00A61F9E" w:rsidRDefault="00265FC0" w:rsidP="00653A64">
      <w:pPr>
        <w:rPr>
          <w:szCs w:val="20"/>
        </w:rPr>
      </w:pPr>
      <w:r w:rsidRPr="00A61F9E">
        <w:rPr>
          <w:szCs w:val="20"/>
        </w:rPr>
        <w:t>In alle</w:t>
      </w:r>
      <w:r w:rsidR="008D0894" w:rsidRPr="00A61F9E">
        <w:rPr>
          <w:szCs w:val="20"/>
        </w:rPr>
        <w:t xml:space="preserve"> gevallen </w:t>
      </w:r>
      <w:r w:rsidR="00CD7376" w:rsidRPr="00A61F9E">
        <w:rPr>
          <w:szCs w:val="20"/>
        </w:rPr>
        <w:t>(</w:t>
      </w:r>
      <w:r w:rsidRPr="00A61F9E">
        <w:rPr>
          <w:szCs w:val="20"/>
        </w:rPr>
        <w:t xml:space="preserve">dus ook als geen sprake is van een Opdrachtnemerscombinatie) </w:t>
      </w:r>
      <w:r w:rsidR="008D0894" w:rsidRPr="00A61F9E">
        <w:rPr>
          <w:szCs w:val="20"/>
        </w:rPr>
        <w:t>dient tenminste voorzien te zijn in een vijfjarige uitloopdekking na oplevering</w:t>
      </w:r>
      <w:r w:rsidRPr="00A61F9E">
        <w:rPr>
          <w:szCs w:val="20"/>
        </w:rPr>
        <w:t xml:space="preserve"> van het Werk </w:t>
      </w:r>
      <w:r w:rsidR="00082AC4" w:rsidRPr="00A61F9E">
        <w:rPr>
          <w:szCs w:val="20"/>
        </w:rPr>
        <w:t>voor de</w:t>
      </w:r>
      <w:r w:rsidR="00082AC4" w:rsidRPr="00A61F9E">
        <w:t xml:space="preserve"> </w:t>
      </w:r>
      <w:r w:rsidR="00082AC4" w:rsidRPr="00A61F9E">
        <w:rPr>
          <w:szCs w:val="20"/>
        </w:rPr>
        <w:t>Aansprakelijkheidsverzekering voor bedrijven (AVB) respectievelijk</w:t>
      </w:r>
      <w:r w:rsidRPr="00A61F9E">
        <w:rPr>
          <w:szCs w:val="20"/>
        </w:rPr>
        <w:t xml:space="preserve"> de</w:t>
      </w:r>
      <w:r w:rsidR="00CD7376" w:rsidRPr="00A61F9E">
        <w:t xml:space="preserve"> </w:t>
      </w:r>
      <w:r w:rsidR="00CD7376" w:rsidRPr="00A61F9E">
        <w:rPr>
          <w:szCs w:val="20"/>
        </w:rPr>
        <w:t>Aansprakelijkheidsverzekering Werkmaterieel</w:t>
      </w:r>
      <w:r w:rsidR="008D0894" w:rsidRPr="00A61F9E">
        <w:rPr>
          <w:szCs w:val="20"/>
        </w:rPr>
        <w:t>.</w:t>
      </w:r>
      <w:r w:rsidR="00CD7376" w:rsidRPr="00A61F9E">
        <w:rPr>
          <w:szCs w:val="20"/>
        </w:rPr>
        <w:t xml:space="preserve"> Voor de Bouw Ontwerp Verzekering (BOV) geldt dat de verzekering van kracht is gedurende de gehele looptijd van de Overeenkomst, dus zowel in de </w:t>
      </w:r>
      <w:proofErr w:type="spellStart"/>
      <w:r w:rsidR="00CD7376" w:rsidRPr="00A61F9E">
        <w:rPr>
          <w:szCs w:val="20"/>
        </w:rPr>
        <w:t>planuitwerkings</w:t>
      </w:r>
      <w:proofErr w:type="spellEnd"/>
      <w:r w:rsidR="00CD7376" w:rsidRPr="00A61F9E">
        <w:rPr>
          <w:szCs w:val="20"/>
        </w:rPr>
        <w:t>- als de realisatiefase daarvan en deze blijft van kracht tot het verstrijken van tien jaar na de in de Overeenkomst vastgelegde onderhoudstermijn, dan wel, indien een onderhoudstermijn niet is overeengekomen, tot en met het verstrijken van tien jaar na de in de Overeenkomst vastgelegde uiterste datum van oplevering.</w:t>
      </w:r>
    </w:p>
    <w:p w:rsidR="003D3309" w:rsidRPr="00A61F9E" w:rsidRDefault="003D3309" w:rsidP="003D3309">
      <w:pPr>
        <w:rPr>
          <w:szCs w:val="20"/>
        </w:rPr>
      </w:pPr>
    </w:p>
    <w:p w:rsidR="00CD7376" w:rsidRPr="00A61F9E" w:rsidRDefault="00CD7376" w:rsidP="003D3309">
      <w:pPr>
        <w:rPr>
          <w:b/>
          <w:szCs w:val="20"/>
        </w:rPr>
      </w:pPr>
      <w:r w:rsidRPr="00A61F9E">
        <w:rPr>
          <w:b/>
          <w:szCs w:val="20"/>
        </w:rPr>
        <w:t xml:space="preserve">Niet (eerder) gedetoneerd oorlogstuig </w:t>
      </w:r>
    </w:p>
    <w:p w:rsidR="003D3309" w:rsidRPr="00A61F9E" w:rsidRDefault="003D3309" w:rsidP="003D3309">
      <w:pPr>
        <w:rPr>
          <w:szCs w:val="20"/>
        </w:rPr>
      </w:pPr>
      <w:r w:rsidRPr="00A61F9E">
        <w:rPr>
          <w:szCs w:val="20"/>
        </w:rPr>
        <w:t xml:space="preserve">Voor de </w:t>
      </w:r>
      <w:r w:rsidR="00CD7376" w:rsidRPr="00A61F9E">
        <w:rPr>
          <w:szCs w:val="20"/>
        </w:rPr>
        <w:t>verzekeringen</w:t>
      </w:r>
      <w:r w:rsidRPr="00A61F9E">
        <w:rPr>
          <w:szCs w:val="20"/>
        </w:rPr>
        <w:t xml:space="preserve"> gelijkelijk geldt dat de dezen geen uitsluiting van dekking mogen bevatten ter zake van schade of letsel ten gevolge van het aantreffen van niet (eerder) gedetoneerd oorlogstuig.</w:t>
      </w:r>
    </w:p>
    <w:p w:rsidR="00CD7376" w:rsidRDefault="00CD7376" w:rsidP="003D3309">
      <w:pPr>
        <w:rPr>
          <w:szCs w:val="20"/>
        </w:rPr>
      </w:pPr>
    </w:p>
    <w:p w:rsidR="00FB48D5" w:rsidRPr="00FB48D5" w:rsidRDefault="00FB48D5" w:rsidP="00FB48D5">
      <w:pPr>
        <w:rPr>
          <w:b/>
          <w:szCs w:val="20"/>
        </w:rPr>
      </w:pPr>
      <w:r w:rsidRPr="00FB48D5">
        <w:rPr>
          <w:b/>
          <w:szCs w:val="20"/>
        </w:rPr>
        <w:t>Transportverzekering</w:t>
      </w:r>
    </w:p>
    <w:p w:rsidR="00FB48D5" w:rsidRPr="00FB48D5" w:rsidRDefault="00FB48D5" w:rsidP="00FB48D5">
      <w:pPr>
        <w:rPr>
          <w:szCs w:val="20"/>
        </w:rPr>
      </w:pPr>
      <w:r w:rsidRPr="00FB48D5">
        <w:rPr>
          <w:szCs w:val="20"/>
        </w:rPr>
        <w:t>Omdat onder de door Opdrachtgever af te sluiten CAR-verzekering het transportrisico gebruikelijk slecht</w:t>
      </w:r>
      <w:r w:rsidR="00AE0B96">
        <w:rPr>
          <w:szCs w:val="20"/>
        </w:rPr>
        <w:t>s</w:t>
      </w:r>
      <w:bookmarkStart w:id="0" w:name="_GoBack"/>
      <w:bookmarkEnd w:id="0"/>
      <w:r w:rsidRPr="00FB48D5">
        <w:rPr>
          <w:szCs w:val="20"/>
        </w:rPr>
        <w:t xml:space="preserve"> secundair gedekt is dient de Gegadigde, althans de Opdrachtnemer, in overleg met Opdrachtgever voor de realisatiefase van de Overeenkomst een adequate primaire transportdekking te verzorgen. Ook voor het risico dat niet (volledig) gedekt is bij de leveranciers.  </w:t>
      </w:r>
    </w:p>
    <w:p w:rsidR="00FB48D5" w:rsidRPr="00A61F9E" w:rsidRDefault="00FB48D5" w:rsidP="003D3309">
      <w:pPr>
        <w:rPr>
          <w:szCs w:val="20"/>
        </w:rPr>
      </w:pPr>
    </w:p>
    <w:p w:rsidR="00CD7376" w:rsidRPr="00A61F9E" w:rsidRDefault="00CD7376" w:rsidP="003D3309">
      <w:pPr>
        <w:rPr>
          <w:b/>
          <w:szCs w:val="20"/>
        </w:rPr>
      </w:pPr>
      <w:r w:rsidRPr="00A61F9E">
        <w:rPr>
          <w:b/>
          <w:szCs w:val="20"/>
        </w:rPr>
        <w:t xml:space="preserve">Nederlands recht </w:t>
      </w:r>
    </w:p>
    <w:p w:rsidR="003D3309" w:rsidRPr="00A61F9E" w:rsidRDefault="003D3309" w:rsidP="003D3309">
      <w:pPr>
        <w:rPr>
          <w:szCs w:val="20"/>
        </w:rPr>
      </w:pPr>
      <w:r w:rsidRPr="00A61F9E">
        <w:rPr>
          <w:szCs w:val="20"/>
        </w:rPr>
        <w:t xml:space="preserve">Op de verzekeringen dient Nederlands recht van toepassing te zijn. </w:t>
      </w:r>
    </w:p>
    <w:p w:rsidR="003D3309" w:rsidRPr="00A61F9E" w:rsidRDefault="003D3309" w:rsidP="003D3309">
      <w:pPr>
        <w:rPr>
          <w:szCs w:val="20"/>
        </w:rPr>
      </w:pPr>
    </w:p>
    <w:p w:rsidR="003D3309" w:rsidRPr="00A61F9E" w:rsidRDefault="003D3309" w:rsidP="003D3309">
      <w:pPr>
        <w:rPr>
          <w:szCs w:val="20"/>
        </w:rPr>
      </w:pPr>
      <w:r w:rsidRPr="00A61F9E">
        <w:rPr>
          <w:szCs w:val="20"/>
        </w:rPr>
        <w:t>Ter bevestiging van bereidverklaring getekend,</w:t>
      </w:r>
    </w:p>
    <w:p w:rsidR="003D3309" w:rsidRPr="00A61F9E" w:rsidRDefault="003D3309" w:rsidP="003D3309">
      <w:pPr>
        <w:rPr>
          <w:szCs w:val="20"/>
        </w:rPr>
      </w:pPr>
    </w:p>
    <w:p w:rsidR="003D3309" w:rsidRPr="00A61F9E" w:rsidRDefault="003D3309" w:rsidP="003D3309">
      <w:pPr>
        <w:rPr>
          <w:szCs w:val="20"/>
        </w:rPr>
      </w:pPr>
      <w:r w:rsidRPr="00A61F9E">
        <w:rPr>
          <w:szCs w:val="20"/>
        </w:rPr>
        <w:t>[naam  Gegadigde]</w:t>
      </w:r>
    </w:p>
    <w:p w:rsidR="003D3309" w:rsidRPr="00A61F9E" w:rsidRDefault="003D3309" w:rsidP="003D3309">
      <w:pPr>
        <w:rPr>
          <w:szCs w:val="20"/>
        </w:rPr>
      </w:pPr>
    </w:p>
    <w:p w:rsidR="009A0EA3" w:rsidRPr="003D3309" w:rsidRDefault="00E64EE5" w:rsidP="003D3309">
      <w:pPr>
        <w:rPr>
          <w:szCs w:val="20"/>
        </w:rPr>
      </w:pPr>
      <w:r w:rsidRPr="00A61F9E">
        <w:rPr>
          <w:szCs w:val="20"/>
        </w:rPr>
        <w:t>[</w:t>
      </w:r>
      <w:r w:rsidR="003D3309" w:rsidRPr="00A61F9E">
        <w:rPr>
          <w:szCs w:val="20"/>
        </w:rPr>
        <w:t>Naam en handtekening ondertekenaar]</w:t>
      </w:r>
      <w:r w:rsidR="00E53DA0" w:rsidRPr="00A61F9E">
        <w:rPr>
          <w:szCs w:val="20"/>
        </w:rPr>
        <w:t xml:space="preserve">     </w:t>
      </w:r>
      <w:r w:rsidR="003D3309" w:rsidRPr="00A61F9E">
        <w:rPr>
          <w:szCs w:val="20"/>
        </w:rPr>
        <w:t xml:space="preserve">[functie ondertekenaar] </w:t>
      </w:r>
      <w:r w:rsidR="00E53DA0" w:rsidRPr="00A61F9E">
        <w:rPr>
          <w:szCs w:val="20"/>
        </w:rPr>
        <w:t xml:space="preserve">         </w:t>
      </w:r>
      <w:r w:rsidR="00A61F9E">
        <w:rPr>
          <w:szCs w:val="20"/>
        </w:rPr>
        <w:t>[datum en plaats}</w:t>
      </w:r>
    </w:p>
    <w:sectPr w:rsidR="009A0EA3" w:rsidRPr="003D3309" w:rsidSect="00C734A5">
      <w:headerReference w:type="even" r:id="rId9"/>
      <w:headerReference w:type="default" r:id="rId10"/>
      <w:footerReference w:type="even" r:id="rId11"/>
      <w:footerReference w:type="default" r:id="rId12"/>
      <w:headerReference w:type="first" r:id="rId13"/>
      <w:footerReference w:type="first" r:id="rId14"/>
      <w:pgSz w:w="11906" w:h="16838" w:code="9"/>
      <w:pgMar w:top="1701" w:right="1276" w:bottom="1134" w:left="1134" w:header="851"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3ACF" w:rsidRDefault="00073ACF" w:rsidP="00A2680D">
      <w:r>
        <w:separator/>
      </w:r>
    </w:p>
  </w:endnote>
  <w:endnote w:type="continuationSeparator" w:id="0">
    <w:p w:rsidR="00073ACF" w:rsidRDefault="00073ACF" w:rsidP="00A268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33BD" w:rsidRDefault="007733BD">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680D" w:rsidRPr="00C734A5" w:rsidRDefault="00A2680D" w:rsidP="00C734A5">
    <w:pPr>
      <w:pStyle w:val="Voettekst"/>
      <w:rPr>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33BD" w:rsidRDefault="007733BD" w:rsidP="0066540C">
    <w:pPr>
      <w:pStyle w:val="Voettekst"/>
      <w:jc w:val="center"/>
    </w:pPr>
    <w:r>
      <w:rPr>
        <w:noProof/>
      </w:rPr>
      <w:drawing>
        <wp:inline distT="0" distB="0" distL="0" distR="0" wp14:anchorId="116A4C73" wp14:editId="3603820A">
          <wp:extent cx="2486025" cy="590550"/>
          <wp:effectExtent l="0" t="0" r="9525" b="0"/>
          <wp:docPr id="2" name="Afbeelding 2" descr="SenK_Slogan+ww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nK_Slogan+www"/>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86025" cy="590550"/>
                  </a:xfrm>
                  <a:prstGeom prst="rect">
                    <a:avLst/>
                  </a:prstGeom>
                  <a:noFill/>
                  <a:ln>
                    <a:noFill/>
                  </a:ln>
                </pic:spPr>
              </pic:pic>
            </a:graphicData>
          </a:graphic>
        </wp:inline>
      </w:drawing>
    </w:r>
  </w:p>
  <w:p w:rsidR="00C734A5" w:rsidRDefault="00C734A5" w:rsidP="00C734A5">
    <w:pPr>
      <w:pStyle w:val="Voetteks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3ACF" w:rsidRDefault="00073ACF" w:rsidP="00A2680D">
      <w:r>
        <w:separator/>
      </w:r>
    </w:p>
  </w:footnote>
  <w:footnote w:type="continuationSeparator" w:id="0">
    <w:p w:rsidR="00073ACF" w:rsidRDefault="00073ACF" w:rsidP="00A268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33BD" w:rsidRDefault="007733BD">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33BD" w:rsidRDefault="007733BD">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34A5" w:rsidRDefault="001A4A0E" w:rsidP="00C734A5">
    <w:r>
      <w:rPr>
        <w:noProof/>
      </w:rPr>
      <w:drawing>
        <wp:inline distT="0" distB="0" distL="0" distR="0" wp14:anchorId="6DABCFBF" wp14:editId="734DB6A3">
          <wp:extent cx="5760720" cy="976002"/>
          <wp:effectExtent l="0" t="0" r="0" b="0"/>
          <wp:docPr id="21" name="Afbeelding 21" descr="SenK_Logo+Adres3 zonder fa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nK_Logo+Adres3 zonder fax"/>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13469"/>
                  <a:stretch/>
                </pic:blipFill>
                <pic:spPr bwMode="auto">
                  <a:xfrm>
                    <a:off x="0" y="0"/>
                    <a:ext cx="5760720" cy="976002"/>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C49E4"/>
    <w:multiLevelType w:val="multilevel"/>
    <w:tmpl w:val="8FB8F20C"/>
    <w:styleLink w:val="HHSKOpsomming"/>
    <w:lvl w:ilvl="0">
      <w:start w:val="1"/>
      <w:numFmt w:val="decimal"/>
      <w:pStyle w:val="Subparagraaf"/>
      <w:lvlText w:val="%1."/>
      <w:lvlJc w:val="left"/>
      <w:pPr>
        <w:ind w:left="360" w:hanging="360"/>
      </w:pPr>
      <w:rPr>
        <w:rFonts w:ascii="Verdana" w:hAnsi="Verdana"/>
        <w:b/>
        <w:sz w:val="24"/>
      </w:rPr>
    </w:lvl>
    <w:lvl w:ilvl="1">
      <w:start w:val="1"/>
      <w:numFmt w:val="decimal"/>
      <w:lvlText w:val="%1.%2."/>
      <w:lvlJc w:val="left"/>
      <w:pPr>
        <w:ind w:left="432" w:hanging="432"/>
      </w:pPr>
      <w:rPr>
        <w:rFonts w:ascii="Verdana" w:hAnsi="Verdana"/>
        <w:b/>
        <w:sz w:val="22"/>
      </w:rPr>
    </w:lvl>
    <w:lvl w:ilvl="2">
      <w:start w:val="1"/>
      <w:numFmt w:val="decimal"/>
      <w:lvlText w:val="%1.%2.%3."/>
      <w:lvlJc w:val="left"/>
      <w:pPr>
        <w:ind w:left="504" w:hanging="504"/>
      </w:pPr>
      <w:rPr>
        <w:rFonts w:ascii="Verdana" w:hAnsi="Verdana"/>
        <w:b/>
        <w:sz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E004E38"/>
    <w:multiLevelType w:val="multilevel"/>
    <w:tmpl w:val="8FB8F20C"/>
    <w:numStyleLink w:val="HHSKOpsomming"/>
  </w:abstractNum>
  <w:abstractNum w:abstractNumId="2">
    <w:nsid w:val="217C39DA"/>
    <w:multiLevelType w:val="hybridMultilevel"/>
    <w:tmpl w:val="6F163A8A"/>
    <w:lvl w:ilvl="0" w:tplc="44805C10">
      <w:start w:val="1"/>
      <w:numFmt w:val="decimal"/>
      <w:lvlText w:val="%1"/>
      <w:lvlJc w:val="left"/>
      <w:pPr>
        <w:ind w:left="705" w:hanging="705"/>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defaultTabStop w:val="708"/>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msName" w:val="MYCORSA"/>
    <w:docVar w:name="DocAuthor" w:val="Ruud Test Brok"/>
    <w:docVar w:name="DocDuplex" w:val="DUPLEX_DEFAULT"/>
    <w:docVar w:name="DocIndex" w:val="0050"/>
    <w:docVar w:name="DocPrinter" w:val="NOPRINTER"/>
    <w:docVar w:name="DocReg" w:val="0"/>
    <w:docVar w:name="DocType" w:val="UIT"/>
    <w:docVar w:name="DocumentLanguage" w:val="nl-NL"/>
    <w:docVar w:name="IW_Generated" w:val="True"/>
    <w:docVar w:name="KingAsync" w:val="none"/>
    <w:docVar w:name="KingWizard" w:val="0"/>
    <w:docVar w:name="mitStyleTemplates" w:val="HHSK|"/>
    <w:docVar w:name="SignatureMandatory" w:val="1"/>
    <w:docVar w:name="tblConditionalFields" w:val="&lt;?xml version=&quot;1.0&quot; encoding=&quot;utf-16&quot;?&gt;_x000d__x000a_&lt;ArrayOfConditionalField xmlns:xsi=&quot;http://www.w3.org/2001/XMLSchema-instance&quot; xmlns:xsd=&quot;http://www.w3.org/2001/XMLSchema&quot; /&gt;"/>
    <w:docVar w:name="tblDef" w:val="&lt;?xml version=&quot;1.0&quot; encoding=&quot;utf-16&quot;?&gt;&lt;ArrayOfQuestionGroup xmlns:xsi=&quot;http://www.w3.org/2001/XMLSchema-instance&quot; xmlns:xsd=&quot;http://www.w3.org/2001/XMLSchema&quot; /&gt;"/>
    <w:docVar w:name="tblLabels" w:val="&lt;?xml version=&quot;1.0&quot; encoding=&quot;utf-16&quot;?&gt;_x000d__x000a_&lt;ArrayOfIWLabel xmlns:xsi=&quot;http://www.w3.org/2001/XMLSchema-instance&quot; xmlns:xsd=&quot;http://www.w3.org/2001/XMLSchema&quot; /&gt;"/>
    <w:docVar w:name="tblLanguage" w:val="&lt;?xml version=&quot;1.0&quot; encoding=&quot;utf-16&quot;?&gt;_x000d__x000a_&lt;ProjectLanguageValues xmlns:xsi=&quot;http://www.w3.org/2001/XMLSchema-instance&quot; xmlns:xsd=&quot;http://www.w3.org/2001/XMLSchema&quot;&gt;_x000d__x000a_  &lt;FIELDS /&gt;_x000d__x000a_  &lt;FORMS /&gt;_x000d__x000a_  &lt;VALUES /&gt;_x000d__x000a_  &lt;DESCRIPTIONS&gt;_x000d__x000a_    &lt;NLNL /&gt;_x000d__x000a_    &lt;NLBE /&gt;_x000d__x000a_    &lt;FRFR /&gt;_x000d__x000a_    &lt;FRBE /&gt;_x000d__x000a_    &lt;ENUS /&gt;_x000d__x000a_    &lt;DEDE /&gt;_x000d__x000a_    &lt;DADK /&gt;_x000d__x000a_    &lt;PLPL /&gt;_x000d__x000a_    &lt;SVSE /&gt;_x000d__x000a_    &lt;EN /&gt;_x000d__x000a_  &lt;/DESCRIPTIONS&gt;_x000d__x000a_&lt;/ProjectLanguageValues&gt;"/>
    <w:docVar w:name="TemplateVersion" w:val="3.9.0.17131"/>
  </w:docVars>
  <w:rsids>
    <w:rsidRoot w:val="007733BD"/>
    <w:rsid w:val="00073ACF"/>
    <w:rsid w:val="00082AC4"/>
    <w:rsid w:val="00087A14"/>
    <w:rsid w:val="001A4A0E"/>
    <w:rsid w:val="001E72E4"/>
    <w:rsid w:val="001F388E"/>
    <w:rsid w:val="001F7C45"/>
    <w:rsid w:val="00227C46"/>
    <w:rsid w:val="0025327D"/>
    <w:rsid w:val="00265FC0"/>
    <w:rsid w:val="00327E86"/>
    <w:rsid w:val="003500C4"/>
    <w:rsid w:val="00382F58"/>
    <w:rsid w:val="003A5025"/>
    <w:rsid w:val="003D3309"/>
    <w:rsid w:val="004273DC"/>
    <w:rsid w:val="004E36C7"/>
    <w:rsid w:val="004F54C3"/>
    <w:rsid w:val="005A547C"/>
    <w:rsid w:val="005E1E9B"/>
    <w:rsid w:val="005F57AA"/>
    <w:rsid w:val="00606B71"/>
    <w:rsid w:val="00621088"/>
    <w:rsid w:val="00634C73"/>
    <w:rsid w:val="00653A64"/>
    <w:rsid w:val="00681F3B"/>
    <w:rsid w:val="007521FB"/>
    <w:rsid w:val="007733BD"/>
    <w:rsid w:val="007A1AE8"/>
    <w:rsid w:val="00826104"/>
    <w:rsid w:val="008846BF"/>
    <w:rsid w:val="008D0894"/>
    <w:rsid w:val="008F3259"/>
    <w:rsid w:val="00976EDE"/>
    <w:rsid w:val="009A0EA3"/>
    <w:rsid w:val="00A0710F"/>
    <w:rsid w:val="00A14419"/>
    <w:rsid w:val="00A2680D"/>
    <w:rsid w:val="00A34428"/>
    <w:rsid w:val="00A56F39"/>
    <w:rsid w:val="00A61F9E"/>
    <w:rsid w:val="00A70457"/>
    <w:rsid w:val="00A82305"/>
    <w:rsid w:val="00AE0B96"/>
    <w:rsid w:val="00BB17EF"/>
    <w:rsid w:val="00C03EA4"/>
    <w:rsid w:val="00C51970"/>
    <w:rsid w:val="00C734A5"/>
    <w:rsid w:val="00CA27BD"/>
    <w:rsid w:val="00CC1A96"/>
    <w:rsid w:val="00CC354D"/>
    <w:rsid w:val="00CD7376"/>
    <w:rsid w:val="00D05F61"/>
    <w:rsid w:val="00D6513D"/>
    <w:rsid w:val="00DA04C6"/>
    <w:rsid w:val="00DC3082"/>
    <w:rsid w:val="00DC5D47"/>
    <w:rsid w:val="00DE22F1"/>
    <w:rsid w:val="00E47A1D"/>
    <w:rsid w:val="00E53DA0"/>
    <w:rsid w:val="00E64EE5"/>
    <w:rsid w:val="00EB7E03"/>
    <w:rsid w:val="00EC2A9E"/>
    <w:rsid w:val="00EE0F76"/>
    <w:rsid w:val="00F07276"/>
    <w:rsid w:val="00F10BE0"/>
    <w:rsid w:val="00FB48D5"/>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E47A1D"/>
    <w:pPr>
      <w:spacing w:after="0" w:line="240" w:lineRule="auto"/>
    </w:pPr>
    <w:rPr>
      <w:rFonts w:ascii="Verdana" w:hAnsi="Verdana"/>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47A1D"/>
    <w:pPr>
      <w:tabs>
        <w:tab w:val="center" w:pos="4536"/>
        <w:tab w:val="right" w:pos="9072"/>
      </w:tabs>
    </w:pPr>
  </w:style>
  <w:style w:type="character" w:customStyle="1" w:styleId="KoptekstChar">
    <w:name w:val="Koptekst Char"/>
    <w:basedOn w:val="Standaardalinea-lettertype"/>
    <w:link w:val="Koptekst"/>
    <w:uiPriority w:val="99"/>
    <w:rsid w:val="00E47A1D"/>
    <w:rPr>
      <w:rFonts w:ascii="Verdana" w:hAnsi="Verdana"/>
      <w:sz w:val="20"/>
    </w:rPr>
  </w:style>
  <w:style w:type="paragraph" w:styleId="Voettekst">
    <w:name w:val="footer"/>
    <w:basedOn w:val="Standaard"/>
    <w:link w:val="VoettekstChar"/>
    <w:uiPriority w:val="99"/>
    <w:unhideWhenUsed/>
    <w:rsid w:val="00E47A1D"/>
    <w:pPr>
      <w:tabs>
        <w:tab w:val="center" w:pos="4536"/>
        <w:tab w:val="right" w:pos="9072"/>
      </w:tabs>
    </w:pPr>
  </w:style>
  <w:style w:type="character" w:customStyle="1" w:styleId="VoettekstChar">
    <w:name w:val="Voettekst Char"/>
    <w:basedOn w:val="Standaardalinea-lettertype"/>
    <w:link w:val="Voettekst"/>
    <w:uiPriority w:val="99"/>
    <w:rsid w:val="00E47A1D"/>
    <w:rPr>
      <w:rFonts w:ascii="Verdana" w:hAnsi="Verdana"/>
      <w:sz w:val="20"/>
    </w:rPr>
  </w:style>
  <w:style w:type="paragraph" w:styleId="Titel">
    <w:name w:val="Title"/>
    <w:basedOn w:val="Standaard"/>
    <w:next w:val="Standaard"/>
    <w:link w:val="TitelChar"/>
    <w:uiPriority w:val="10"/>
    <w:qFormat/>
    <w:rsid w:val="00E47A1D"/>
    <w:pPr>
      <w:contextualSpacing/>
    </w:pPr>
    <w:rPr>
      <w:rFonts w:eastAsiaTheme="majorEastAsia" w:cstheme="majorBidi"/>
      <w:spacing w:val="5"/>
      <w:kern w:val="28"/>
      <w:sz w:val="28"/>
      <w:szCs w:val="52"/>
    </w:rPr>
  </w:style>
  <w:style w:type="character" w:customStyle="1" w:styleId="TitelChar">
    <w:name w:val="Titel Char"/>
    <w:basedOn w:val="Standaardalinea-lettertype"/>
    <w:link w:val="Titel"/>
    <w:uiPriority w:val="10"/>
    <w:rsid w:val="00E47A1D"/>
    <w:rPr>
      <w:rFonts w:ascii="Verdana" w:eastAsiaTheme="majorEastAsia" w:hAnsi="Verdana" w:cstheme="majorBidi"/>
      <w:spacing w:val="5"/>
      <w:kern w:val="28"/>
      <w:sz w:val="28"/>
      <w:szCs w:val="52"/>
    </w:rPr>
  </w:style>
  <w:style w:type="paragraph" w:customStyle="1" w:styleId="Hoofdstuk">
    <w:name w:val="Hoofdstuk"/>
    <w:basedOn w:val="Standaard"/>
    <w:next w:val="Standaard"/>
    <w:qFormat/>
    <w:rsid w:val="00E47A1D"/>
    <w:rPr>
      <w:b/>
      <w:sz w:val="24"/>
    </w:rPr>
  </w:style>
  <w:style w:type="paragraph" w:customStyle="1" w:styleId="Paragraaf">
    <w:name w:val="Paragraaf"/>
    <w:basedOn w:val="Hoofdstuk"/>
    <w:next w:val="Standaard"/>
    <w:qFormat/>
    <w:rsid w:val="00E47A1D"/>
    <w:rPr>
      <w:sz w:val="22"/>
    </w:rPr>
  </w:style>
  <w:style w:type="numbering" w:customStyle="1" w:styleId="HHSKOpsomming">
    <w:name w:val="HHSK Opsomming"/>
    <w:uiPriority w:val="99"/>
    <w:rsid w:val="00E47A1D"/>
    <w:pPr>
      <w:numPr>
        <w:numId w:val="2"/>
      </w:numPr>
    </w:pPr>
  </w:style>
  <w:style w:type="paragraph" w:customStyle="1" w:styleId="Subparagraaf">
    <w:name w:val="Subparagraaf"/>
    <w:basedOn w:val="Paragraaf"/>
    <w:next w:val="Standaard"/>
    <w:qFormat/>
    <w:rsid w:val="00E47A1D"/>
    <w:pPr>
      <w:numPr>
        <w:numId w:val="2"/>
      </w:numPr>
    </w:pPr>
    <w:rPr>
      <w:sz w:val="20"/>
    </w:rPr>
  </w:style>
  <w:style w:type="paragraph" w:customStyle="1" w:styleId="HHSKBriefkopje">
    <w:name w:val="HHSKBriefkopje"/>
    <w:basedOn w:val="Standaard"/>
    <w:rsid w:val="00A2680D"/>
    <w:pPr>
      <w:spacing w:line="220" w:lineRule="atLeast"/>
    </w:pPr>
    <w:rPr>
      <w:rFonts w:eastAsia="Times New Roman" w:cs="Times New Roman"/>
      <w:sz w:val="16"/>
      <w:szCs w:val="20"/>
    </w:rPr>
  </w:style>
  <w:style w:type="table" w:styleId="Tabelraster">
    <w:name w:val="Table Grid"/>
    <w:basedOn w:val="Standaardtabel"/>
    <w:uiPriority w:val="99"/>
    <w:rsid w:val="00A2680D"/>
    <w:pPr>
      <w:spacing w:after="0" w:line="240" w:lineRule="auto"/>
    </w:pPr>
    <w:rPr>
      <w:rFonts w:ascii="Verdana" w:eastAsia="Times New Roman" w:hAnsi="Verdan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A2680D"/>
    <w:rPr>
      <w:rFonts w:ascii="Tahoma" w:hAnsi="Tahoma" w:cs="Tahoma"/>
      <w:sz w:val="16"/>
      <w:szCs w:val="16"/>
    </w:rPr>
  </w:style>
  <w:style w:type="character" w:customStyle="1" w:styleId="BallontekstChar">
    <w:name w:val="Ballontekst Char"/>
    <w:basedOn w:val="Standaardalinea-lettertype"/>
    <w:link w:val="Ballontekst"/>
    <w:uiPriority w:val="99"/>
    <w:semiHidden/>
    <w:rsid w:val="00A2680D"/>
    <w:rPr>
      <w:rFonts w:ascii="Tahoma" w:hAnsi="Tahoma" w:cs="Tahoma"/>
      <w:sz w:val="16"/>
      <w:szCs w:val="16"/>
    </w:rPr>
  </w:style>
  <w:style w:type="paragraph" w:styleId="Lijstalinea">
    <w:name w:val="List Paragraph"/>
    <w:basedOn w:val="Standaard"/>
    <w:uiPriority w:val="34"/>
    <w:qFormat/>
    <w:rsid w:val="00F10BE0"/>
    <w:pPr>
      <w:tabs>
        <w:tab w:val="left" w:pos="-1440"/>
        <w:tab w:val="left" w:pos="-720"/>
        <w:tab w:val="left" w:pos="0"/>
        <w:tab w:val="left" w:pos="380"/>
      </w:tabs>
      <w:ind w:left="720"/>
      <w:contextualSpacing/>
    </w:pPr>
    <w:rPr>
      <w:rFonts w:eastAsia="Times New Roman" w:cs="Times New Roman"/>
      <w:szCs w:val="20"/>
    </w:rPr>
  </w:style>
  <w:style w:type="character" w:styleId="Verwijzingopmerking">
    <w:name w:val="annotation reference"/>
    <w:basedOn w:val="Standaardalinea-lettertype"/>
    <w:uiPriority w:val="99"/>
    <w:rsid w:val="007521FB"/>
    <w:rPr>
      <w:sz w:val="16"/>
      <w:szCs w:val="16"/>
    </w:rPr>
  </w:style>
  <w:style w:type="paragraph" w:styleId="Tekstopmerking">
    <w:name w:val="annotation text"/>
    <w:basedOn w:val="Standaard"/>
    <w:link w:val="TekstopmerkingChar"/>
    <w:uiPriority w:val="99"/>
    <w:rsid w:val="007521FB"/>
    <w:pPr>
      <w:tabs>
        <w:tab w:val="left" w:pos="-1440"/>
        <w:tab w:val="left" w:pos="-720"/>
        <w:tab w:val="left" w:pos="0"/>
        <w:tab w:val="left" w:pos="380"/>
      </w:tabs>
    </w:pPr>
    <w:rPr>
      <w:rFonts w:eastAsia="Times New Roman" w:cs="Times New Roman"/>
      <w:szCs w:val="20"/>
    </w:rPr>
  </w:style>
  <w:style w:type="character" w:customStyle="1" w:styleId="TekstopmerkingChar">
    <w:name w:val="Tekst opmerking Char"/>
    <w:basedOn w:val="Standaardalinea-lettertype"/>
    <w:link w:val="Tekstopmerking"/>
    <w:uiPriority w:val="99"/>
    <w:rsid w:val="007521FB"/>
    <w:rPr>
      <w:rFonts w:ascii="Verdana" w:eastAsia="Times New Roman" w:hAnsi="Verdana" w:cs="Times New Roman"/>
      <w:sz w:val="20"/>
      <w:szCs w:val="20"/>
    </w:rPr>
  </w:style>
  <w:style w:type="paragraph" w:styleId="Onderwerpvanopmerking">
    <w:name w:val="annotation subject"/>
    <w:basedOn w:val="Tekstopmerking"/>
    <w:next w:val="Tekstopmerking"/>
    <w:link w:val="OnderwerpvanopmerkingChar"/>
    <w:uiPriority w:val="99"/>
    <w:semiHidden/>
    <w:unhideWhenUsed/>
    <w:rsid w:val="00A14419"/>
    <w:pPr>
      <w:tabs>
        <w:tab w:val="clear" w:pos="-1440"/>
        <w:tab w:val="clear" w:pos="-720"/>
        <w:tab w:val="clear" w:pos="0"/>
        <w:tab w:val="clear" w:pos="380"/>
      </w:tabs>
    </w:pPr>
    <w:rPr>
      <w:rFonts w:eastAsiaTheme="minorEastAsia" w:cstheme="minorBidi"/>
      <w:b/>
      <w:bCs/>
    </w:rPr>
  </w:style>
  <w:style w:type="character" w:customStyle="1" w:styleId="OnderwerpvanopmerkingChar">
    <w:name w:val="Onderwerp van opmerking Char"/>
    <w:basedOn w:val="TekstopmerkingChar"/>
    <w:link w:val="Onderwerpvanopmerking"/>
    <w:uiPriority w:val="99"/>
    <w:semiHidden/>
    <w:rsid w:val="00A14419"/>
    <w:rPr>
      <w:rFonts w:ascii="Verdana" w:eastAsia="Times New Roman" w:hAnsi="Verdana"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E47A1D"/>
    <w:pPr>
      <w:spacing w:after="0" w:line="240" w:lineRule="auto"/>
    </w:pPr>
    <w:rPr>
      <w:rFonts w:ascii="Verdana" w:hAnsi="Verdana"/>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47A1D"/>
    <w:pPr>
      <w:tabs>
        <w:tab w:val="center" w:pos="4536"/>
        <w:tab w:val="right" w:pos="9072"/>
      </w:tabs>
    </w:pPr>
  </w:style>
  <w:style w:type="character" w:customStyle="1" w:styleId="KoptekstChar">
    <w:name w:val="Koptekst Char"/>
    <w:basedOn w:val="Standaardalinea-lettertype"/>
    <w:link w:val="Koptekst"/>
    <w:uiPriority w:val="99"/>
    <w:rsid w:val="00E47A1D"/>
    <w:rPr>
      <w:rFonts w:ascii="Verdana" w:hAnsi="Verdana"/>
      <w:sz w:val="20"/>
    </w:rPr>
  </w:style>
  <w:style w:type="paragraph" w:styleId="Voettekst">
    <w:name w:val="footer"/>
    <w:basedOn w:val="Standaard"/>
    <w:link w:val="VoettekstChar"/>
    <w:uiPriority w:val="99"/>
    <w:unhideWhenUsed/>
    <w:rsid w:val="00E47A1D"/>
    <w:pPr>
      <w:tabs>
        <w:tab w:val="center" w:pos="4536"/>
        <w:tab w:val="right" w:pos="9072"/>
      </w:tabs>
    </w:pPr>
  </w:style>
  <w:style w:type="character" w:customStyle="1" w:styleId="VoettekstChar">
    <w:name w:val="Voettekst Char"/>
    <w:basedOn w:val="Standaardalinea-lettertype"/>
    <w:link w:val="Voettekst"/>
    <w:uiPriority w:val="99"/>
    <w:rsid w:val="00E47A1D"/>
    <w:rPr>
      <w:rFonts w:ascii="Verdana" w:hAnsi="Verdana"/>
      <w:sz w:val="20"/>
    </w:rPr>
  </w:style>
  <w:style w:type="paragraph" w:styleId="Titel">
    <w:name w:val="Title"/>
    <w:basedOn w:val="Standaard"/>
    <w:next w:val="Standaard"/>
    <w:link w:val="TitelChar"/>
    <w:uiPriority w:val="10"/>
    <w:qFormat/>
    <w:rsid w:val="00E47A1D"/>
    <w:pPr>
      <w:contextualSpacing/>
    </w:pPr>
    <w:rPr>
      <w:rFonts w:eastAsiaTheme="majorEastAsia" w:cstheme="majorBidi"/>
      <w:spacing w:val="5"/>
      <w:kern w:val="28"/>
      <w:sz w:val="28"/>
      <w:szCs w:val="52"/>
    </w:rPr>
  </w:style>
  <w:style w:type="character" w:customStyle="1" w:styleId="TitelChar">
    <w:name w:val="Titel Char"/>
    <w:basedOn w:val="Standaardalinea-lettertype"/>
    <w:link w:val="Titel"/>
    <w:uiPriority w:val="10"/>
    <w:rsid w:val="00E47A1D"/>
    <w:rPr>
      <w:rFonts w:ascii="Verdana" w:eastAsiaTheme="majorEastAsia" w:hAnsi="Verdana" w:cstheme="majorBidi"/>
      <w:spacing w:val="5"/>
      <w:kern w:val="28"/>
      <w:sz w:val="28"/>
      <w:szCs w:val="52"/>
    </w:rPr>
  </w:style>
  <w:style w:type="paragraph" w:customStyle="1" w:styleId="Hoofdstuk">
    <w:name w:val="Hoofdstuk"/>
    <w:basedOn w:val="Standaard"/>
    <w:next w:val="Standaard"/>
    <w:qFormat/>
    <w:rsid w:val="00E47A1D"/>
    <w:rPr>
      <w:b/>
      <w:sz w:val="24"/>
    </w:rPr>
  </w:style>
  <w:style w:type="paragraph" w:customStyle="1" w:styleId="Paragraaf">
    <w:name w:val="Paragraaf"/>
    <w:basedOn w:val="Hoofdstuk"/>
    <w:next w:val="Standaard"/>
    <w:qFormat/>
    <w:rsid w:val="00E47A1D"/>
    <w:rPr>
      <w:sz w:val="22"/>
    </w:rPr>
  </w:style>
  <w:style w:type="numbering" w:customStyle="1" w:styleId="HHSKOpsomming">
    <w:name w:val="HHSK Opsomming"/>
    <w:uiPriority w:val="99"/>
    <w:rsid w:val="00E47A1D"/>
    <w:pPr>
      <w:numPr>
        <w:numId w:val="2"/>
      </w:numPr>
    </w:pPr>
  </w:style>
  <w:style w:type="paragraph" w:customStyle="1" w:styleId="Subparagraaf">
    <w:name w:val="Subparagraaf"/>
    <w:basedOn w:val="Paragraaf"/>
    <w:next w:val="Standaard"/>
    <w:qFormat/>
    <w:rsid w:val="00E47A1D"/>
    <w:pPr>
      <w:numPr>
        <w:numId w:val="2"/>
      </w:numPr>
    </w:pPr>
    <w:rPr>
      <w:sz w:val="20"/>
    </w:rPr>
  </w:style>
  <w:style w:type="paragraph" w:customStyle="1" w:styleId="HHSKBriefkopje">
    <w:name w:val="HHSKBriefkopje"/>
    <w:basedOn w:val="Standaard"/>
    <w:rsid w:val="00A2680D"/>
    <w:pPr>
      <w:spacing w:line="220" w:lineRule="atLeast"/>
    </w:pPr>
    <w:rPr>
      <w:rFonts w:eastAsia="Times New Roman" w:cs="Times New Roman"/>
      <w:sz w:val="16"/>
      <w:szCs w:val="20"/>
    </w:rPr>
  </w:style>
  <w:style w:type="table" w:styleId="Tabelraster">
    <w:name w:val="Table Grid"/>
    <w:basedOn w:val="Standaardtabel"/>
    <w:uiPriority w:val="99"/>
    <w:rsid w:val="00A2680D"/>
    <w:pPr>
      <w:spacing w:after="0" w:line="240" w:lineRule="auto"/>
    </w:pPr>
    <w:rPr>
      <w:rFonts w:ascii="Verdana" w:eastAsia="Times New Roman" w:hAnsi="Verdan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A2680D"/>
    <w:rPr>
      <w:rFonts w:ascii="Tahoma" w:hAnsi="Tahoma" w:cs="Tahoma"/>
      <w:sz w:val="16"/>
      <w:szCs w:val="16"/>
    </w:rPr>
  </w:style>
  <w:style w:type="character" w:customStyle="1" w:styleId="BallontekstChar">
    <w:name w:val="Ballontekst Char"/>
    <w:basedOn w:val="Standaardalinea-lettertype"/>
    <w:link w:val="Ballontekst"/>
    <w:uiPriority w:val="99"/>
    <w:semiHidden/>
    <w:rsid w:val="00A2680D"/>
    <w:rPr>
      <w:rFonts w:ascii="Tahoma" w:hAnsi="Tahoma" w:cs="Tahoma"/>
      <w:sz w:val="16"/>
      <w:szCs w:val="16"/>
    </w:rPr>
  </w:style>
  <w:style w:type="paragraph" w:styleId="Lijstalinea">
    <w:name w:val="List Paragraph"/>
    <w:basedOn w:val="Standaard"/>
    <w:uiPriority w:val="34"/>
    <w:qFormat/>
    <w:rsid w:val="00F10BE0"/>
    <w:pPr>
      <w:tabs>
        <w:tab w:val="left" w:pos="-1440"/>
        <w:tab w:val="left" w:pos="-720"/>
        <w:tab w:val="left" w:pos="0"/>
        <w:tab w:val="left" w:pos="380"/>
      </w:tabs>
      <w:ind w:left="720"/>
      <w:contextualSpacing/>
    </w:pPr>
    <w:rPr>
      <w:rFonts w:eastAsia="Times New Roman" w:cs="Times New Roman"/>
      <w:szCs w:val="20"/>
    </w:rPr>
  </w:style>
  <w:style w:type="character" w:styleId="Verwijzingopmerking">
    <w:name w:val="annotation reference"/>
    <w:basedOn w:val="Standaardalinea-lettertype"/>
    <w:uiPriority w:val="99"/>
    <w:rsid w:val="007521FB"/>
    <w:rPr>
      <w:sz w:val="16"/>
      <w:szCs w:val="16"/>
    </w:rPr>
  </w:style>
  <w:style w:type="paragraph" w:styleId="Tekstopmerking">
    <w:name w:val="annotation text"/>
    <w:basedOn w:val="Standaard"/>
    <w:link w:val="TekstopmerkingChar"/>
    <w:uiPriority w:val="99"/>
    <w:rsid w:val="007521FB"/>
    <w:pPr>
      <w:tabs>
        <w:tab w:val="left" w:pos="-1440"/>
        <w:tab w:val="left" w:pos="-720"/>
        <w:tab w:val="left" w:pos="0"/>
        <w:tab w:val="left" w:pos="380"/>
      </w:tabs>
    </w:pPr>
    <w:rPr>
      <w:rFonts w:eastAsia="Times New Roman" w:cs="Times New Roman"/>
      <w:szCs w:val="20"/>
    </w:rPr>
  </w:style>
  <w:style w:type="character" w:customStyle="1" w:styleId="TekstopmerkingChar">
    <w:name w:val="Tekst opmerking Char"/>
    <w:basedOn w:val="Standaardalinea-lettertype"/>
    <w:link w:val="Tekstopmerking"/>
    <w:uiPriority w:val="99"/>
    <w:rsid w:val="007521FB"/>
    <w:rPr>
      <w:rFonts w:ascii="Verdana" w:eastAsia="Times New Roman" w:hAnsi="Verdana" w:cs="Times New Roman"/>
      <w:sz w:val="20"/>
      <w:szCs w:val="20"/>
    </w:rPr>
  </w:style>
  <w:style w:type="paragraph" w:styleId="Onderwerpvanopmerking">
    <w:name w:val="annotation subject"/>
    <w:basedOn w:val="Tekstopmerking"/>
    <w:next w:val="Tekstopmerking"/>
    <w:link w:val="OnderwerpvanopmerkingChar"/>
    <w:uiPriority w:val="99"/>
    <w:semiHidden/>
    <w:unhideWhenUsed/>
    <w:rsid w:val="00A14419"/>
    <w:pPr>
      <w:tabs>
        <w:tab w:val="clear" w:pos="-1440"/>
        <w:tab w:val="clear" w:pos="-720"/>
        <w:tab w:val="clear" w:pos="0"/>
        <w:tab w:val="clear" w:pos="380"/>
      </w:tabs>
    </w:pPr>
    <w:rPr>
      <w:rFonts w:eastAsiaTheme="minorEastAsia" w:cstheme="minorBidi"/>
      <w:b/>
      <w:bCs/>
    </w:rPr>
  </w:style>
  <w:style w:type="character" w:customStyle="1" w:styleId="OnderwerpvanopmerkingChar">
    <w:name w:val="Onderwerp van opmerking Char"/>
    <w:basedOn w:val="TekstopmerkingChar"/>
    <w:link w:val="Onderwerpvanopmerking"/>
    <w:uiPriority w:val="99"/>
    <w:semiHidden/>
    <w:rsid w:val="00A14419"/>
    <w:rPr>
      <w:rFonts w:ascii="Verdana" w:eastAsia="Times New Roman" w:hAnsi="Verdan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erban\AppData\Local\Temp\12\IWRITER\Blanco%20sjabloon.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2EACA0-557A-4BFA-B3F0-3DB3BBD2A4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Blanco sjabloon</Template>
  <TotalTime>2</TotalTime>
  <Pages>3</Pages>
  <Words>883</Words>
  <Characters>5740</Characters>
  <Application>Microsoft Office Word</Application>
  <DocSecurity>0</DocSecurity>
  <Lines>119</Lines>
  <Paragraphs>43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HHSK</Company>
  <LinksUpToDate>false</LinksUpToDate>
  <CharactersWithSpaces>6580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Farisha Koerban</dc:creator>
  <cp:lastModifiedBy>Koerban, F.</cp:lastModifiedBy>
  <cp:revision>4</cp:revision>
  <cp:lastPrinted>2019-06-13T11:28:00Z</cp:lastPrinted>
  <dcterms:created xsi:type="dcterms:W3CDTF">2019-06-13T13:33:00Z</dcterms:created>
  <dcterms:modified xsi:type="dcterms:W3CDTF">2019-06-14T08:38:00Z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Description">
    <vt:lpwstr/>
  </property>
</Properties>
</file>