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C" w:rsidRPr="00511BF0" w:rsidRDefault="008E6B0C" w:rsidP="008E6B0C">
      <w:pPr>
        <w:pStyle w:val="Kop1"/>
        <w:numPr>
          <w:ilvl w:val="0"/>
          <w:numId w:val="0"/>
        </w:numPr>
      </w:pPr>
      <w:bookmarkStart w:id="0" w:name="_Toc449012471"/>
      <w:bookmarkStart w:id="1" w:name="_Toc529439261"/>
      <w:r>
        <w:t xml:space="preserve">Bijlage 1 </w:t>
      </w:r>
      <w:r w:rsidRPr="00511BF0">
        <w:t>Invulformulier</w:t>
      </w:r>
      <w:bookmarkEnd w:id="0"/>
      <w:r w:rsidRPr="00511BF0">
        <w:t xml:space="preserve"> marktconsultatie </w:t>
      </w:r>
      <w:sdt>
        <w:sdtPr>
          <w:tag w:val="B=UxDocumentForm/uxSubtitelField"/>
          <w:id w:val="-71741416"/>
          <w:dataBinding w:prefixMappings="xmlns:ns0='http://www.keyscript.nl/huisstijl/UxDocumentForm' " w:xpath="/ns0:variabelen[1]/ns0:UxDocumentForm[1]/ns0:uxSubtitelField[1]" w:storeItemID="{30024A26-C9DD-46C4-8607-F1118F24DCAD}"/>
          <w:text/>
        </w:sdtPr>
        <w:sdtContent>
          <w:r>
            <w:t>Scanapparatuur A0-A5</w:t>
          </w:r>
        </w:sdtContent>
      </w:sdt>
      <w:bookmarkEnd w:id="1"/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8E6B0C" w:rsidRPr="00456E36" w:rsidTr="00EB68D4">
        <w:trPr>
          <w:cantSplit/>
          <w:trHeight w:val="40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E6B0C" w:rsidRPr="00456E36" w:rsidRDefault="008E6B0C" w:rsidP="00EB68D4">
            <w:r w:rsidRPr="00456E36">
              <w:t>Bedrijfsgegevens</w:t>
            </w: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 xml:space="preserve">Officiële naam en rechtsvorm </w:t>
            </w:r>
            <w:r>
              <w:t xml:space="preserve">geïnteresseerde partij 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Vestigingsadres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Postcode en plaats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Postadres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Postcode en plaats (postadres)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 xml:space="preserve">Land van vestiging </w:t>
            </w:r>
            <w:r>
              <w:t xml:space="preserve">geïnteresseerde partij 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 xml:space="preserve">Contactpersoon voor deze </w:t>
            </w:r>
            <w:r>
              <w:t>marktconsultatie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Functie contactpersoon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Telefoon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vAlign w:val="center"/>
          </w:tcPr>
          <w:p w:rsidR="008E6B0C" w:rsidRPr="00456E36" w:rsidRDefault="008E6B0C" w:rsidP="00EB68D4">
            <w:r w:rsidRPr="00456E36">
              <w:t>e-mail adres</w:t>
            </w:r>
          </w:p>
        </w:tc>
        <w:tc>
          <w:tcPr>
            <w:tcW w:w="4961" w:type="dxa"/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B0C" w:rsidRPr="00456E36" w:rsidRDefault="008E6B0C" w:rsidP="00EB68D4">
            <w:r w:rsidRPr="00456E36">
              <w:t>Internetadres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0C" w:rsidRPr="00456E36" w:rsidTr="00EB68D4">
        <w:trPr>
          <w:trHeight w:val="56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8E6B0C" w:rsidRPr="00456E36" w:rsidRDefault="008E6B0C" w:rsidP="00EB68D4">
            <w:r w:rsidRPr="00456E36">
              <w:t>Eventuele opmerkingen en/of bijzonderheden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8E6B0C" w:rsidRPr="00456E36" w:rsidRDefault="008E6B0C" w:rsidP="00EB68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B0C" w:rsidRDefault="008E6B0C" w:rsidP="008E6B0C">
      <w:pPr>
        <w:jc w:val="both"/>
      </w:pPr>
    </w:p>
    <w:p w:rsidR="008E6B0C" w:rsidRDefault="008E6B0C" w:rsidP="008E6B0C">
      <w:pPr>
        <w:jc w:val="both"/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 xml:space="preserve">Is het mogelijk een integrale oplossing aan te bieden die bestaat uit levering en kalibratie van apparatuur, </w:t>
            </w:r>
            <w:proofErr w:type="spellStart"/>
            <w:r w:rsidRPr="008E6B0C">
              <w:rPr>
                <w:rFonts w:asciiTheme="minorHAnsi" w:hAnsiTheme="minorHAnsi"/>
              </w:rPr>
              <w:t>apparatuurgebonden</w:t>
            </w:r>
            <w:proofErr w:type="spellEnd"/>
            <w:r w:rsidRPr="008E6B0C">
              <w:rPr>
                <w:rFonts w:asciiTheme="minorHAnsi" w:hAnsiTheme="minorHAnsi"/>
              </w:rPr>
              <w:t xml:space="preserve"> software, controle software en dienstverlening op het terrein van onderhoud en instructie en training?</w:t>
            </w:r>
          </w:p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  <w:tcBorders>
              <w:bottom w:val="single" w:sz="4" w:space="0" w:color="auto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 xml:space="preserve">Bestaat een scanner die voldoet aan </w:t>
            </w:r>
            <w:proofErr w:type="spellStart"/>
            <w:r w:rsidRPr="008E6B0C">
              <w:rPr>
                <w:rFonts w:asciiTheme="minorHAnsi" w:hAnsiTheme="minorHAnsi"/>
              </w:rPr>
              <w:t>Metamorfoze</w:t>
            </w:r>
            <w:proofErr w:type="spellEnd"/>
            <w:r w:rsidRPr="008E6B0C">
              <w:rPr>
                <w:rFonts w:asciiTheme="minorHAnsi" w:hAnsiTheme="minorHAnsi"/>
              </w:rPr>
              <w:t xml:space="preserve"> Light of ISO/TS 19264-1 altijd uit een scanner, aparte software, testkaarten?</w:t>
            </w:r>
          </w:p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  <w:tcBorders>
              <w:bottom w:val="single" w:sz="4" w:space="0" w:color="auto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  <w:tcBorders>
              <w:bottom w:val="single" w:sz="4" w:space="0" w:color="auto"/>
            </w:tcBorders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 xml:space="preserve">Wat zijn de gangbare leveringscondities en  servicemodellen die worden aangeboden voor apparatuur en alle software ? </w:t>
            </w:r>
          </w:p>
          <w:p w:rsidR="008E6B0C" w:rsidRPr="008E6B0C" w:rsidRDefault="008E6B0C" w:rsidP="00EB68D4">
            <w:pPr>
              <w:pStyle w:val="Lijstalinea"/>
              <w:widowControl w:val="0"/>
              <w:suppressAutoHyphens/>
              <w:autoSpaceDN w:val="0"/>
              <w:textAlignment w:val="baseline"/>
              <w:rPr>
                <w:rFonts w:asciiTheme="minorHAnsi" w:hAnsiTheme="minorHAnsi" w:cs="Arial"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  <w:tcBorders>
              <w:bottom w:val="single" w:sz="4" w:space="0" w:color="auto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 xml:space="preserve">Hebben bepaalde onderdelen van het apparaat een afwijkende levensduur. Hoe vaak moet dat bij besteld worden? Voorzien is dat de apparatuur intensief en langdurig wordt gebruikt: 16 uur per dag , 5 dagen per week gedurende minimaal 4 jaar.  </w:t>
            </w:r>
          </w:p>
          <w:p w:rsidR="008E6B0C" w:rsidRPr="008E6B0C" w:rsidRDefault="008E6B0C" w:rsidP="00EB68D4">
            <w:pPr>
              <w:pStyle w:val="Lijstalinea"/>
              <w:ind w:left="360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lastRenderedPageBreak/>
              <w:t>Zijn er bijzondere voorzieningen nodig in de ruimte waar de scanners zijn geplaatst?</w:t>
            </w:r>
          </w:p>
          <w:p w:rsidR="008E6B0C" w:rsidRPr="008E6B0C" w:rsidRDefault="008E6B0C" w:rsidP="00EB68D4">
            <w:pPr>
              <w:pStyle w:val="Default"/>
              <w:spacing w:line="260" w:lineRule="atLeast"/>
              <w:ind w:left="360"/>
              <w:rPr>
                <w:rFonts w:asciiTheme="minorHAnsi" w:hAnsiTheme="minorHAnsi"/>
                <w:b/>
                <w:color w:val="auto"/>
                <w:kern w:val="3"/>
                <w:sz w:val="19"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>Wat is de frequentie en doorlooptijd van regulier onderhoud aan een apparaat?</w:t>
            </w:r>
          </w:p>
          <w:p w:rsidR="008E6B0C" w:rsidRPr="008E6B0C" w:rsidRDefault="008E6B0C" w:rsidP="00EB68D4">
            <w:pPr>
              <w:pStyle w:val="Lijstalinea"/>
              <w:ind w:left="360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>Welke ontwikkelingen voorziet u in de nabije toekomst zowel voor de apparatuur als de software?</w:t>
            </w:r>
          </w:p>
          <w:p w:rsidR="008E6B0C" w:rsidRPr="008E6B0C" w:rsidRDefault="008E6B0C" w:rsidP="00EB68D4">
            <w:pPr>
              <w:pStyle w:val="Lijstalinea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  <w:tr w:rsidR="008E6B0C" w:rsidRPr="008E6B0C" w:rsidTr="00EB68D4">
        <w:tc>
          <w:tcPr>
            <w:tcW w:w="9180" w:type="dxa"/>
            <w:tcBorders>
              <w:left w:val="nil"/>
              <w:right w:val="nil"/>
            </w:tcBorders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/>
                <w:bCs/>
                <w:color w:val="000000" w:themeColor="text1"/>
                <w:sz w:val="22"/>
                <w:szCs w:val="26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 xml:space="preserve">Wat is de gemiddelde frequentie van updates en upgrades van de aangeboden software? Zijn er naast het reguliere onderhoud aan de apparaten ook software </w:t>
            </w:r>
            <w:proofErr w:type="spellStart"/>
            <w:r w:rsidRPr="008E6B0C">
              <w:rPr>
                <w:rFonts w:asciiTheme="minorHAnsi" w:hAnsiTheme="minorHAnsi"/>
              </w:rPr>
              <w:t>up-dates</w:t>
            </w:r>
            <w:proofErr w:type="spellEnd"/>
            <w:r w:rsidRPr="008E6B0C">
              <w:rPr>
                <w:rFonts w:asciiTheme="minorHAnsi" w:hAnsiTheme="minorHAnsi"/>
              </w:rPr>
              <w:t xml:space="preserve"> te voorzien die het proces of de doorlooptijd kunnen beïnvloeden?  </w:t>
            </w:r>
          </w:p>
          <w:p w:rsidR="008E6B0C" w:rsidRPr="008E6B0C" w:rsidRDefault="008E6B0C" w:rsidP="00EB68D4">
            <w:pPr>
              <w:pStyle w:val="Lijstalinea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</w:tbl>
    <w:p w:rsidR="008E6B0C" w:rsidRPr="008E6B0C" w:rsidRDefault="008E6B0C" w:rsidP="008E6B0C">
      <w:pPr>
        <w:jc w:val="both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</w:p>
    <w:p w:rsidR="008E6B0C" w:rsidRPr="008E6B0C" w:rsidRDefault="008E6B0C" w:rsidP="008E6B0C">
      <w:pPr>
        <w:jc w:val="both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  <w:bookmarkStart w:id="2" w:name="_GoBack"/>
      <w:bookmarkEnd w:id="2"/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>Welke instructiemogelijkheden en trainingen worden aangeboden?</w:t>
            </w:r>
          </w:p>
          <w:p w:rsidR="008E6B0C" w:rsidRPr="008E6B0C" w:rsidRDefault="008E6B0C" w:rsidP="00EB68D4">
            <w:pPr>
              <w:pStyle w:val="Lijstalinea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</w:tbl>
    <w:p w:rsidR="008E6B0C" w:rsidRPr="008E6B0C" w:rsidRDefault="008E6B0C" w:rsidP="008E6B0C">
      <w:pPr>
        <w:jc w:val="both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</w:p>
    <w:p w:rsidR="008E6B0C" w:rsidRPr="008E6B0C" w:rsidRDefault="008E6B0C" w:rsidP="008E6B0C">
      <w:pPr>
        <w:jc w:val="both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>Zijn er andere oplossingsrichtingen mogelijk om het digitaliseren van deze 3,2 km in eigen beheer te doen?</w:t>
            </w:r>
          </w:p>
          <w:p w:rsidR="008E6B0C" w:rsidRPr="008E6B0C" w:rsidRDefault="008E6B0C" w:rsidP="00EB68D4">
            <w:pPr>
              <w:pStyle w:val="Lijstalinea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</w:tbl>
    <w:p w:rsidR="008E6B0C" w:rsidRPr="008E6B0C" w:rsidRDefault="008E6B0C" w:rsidP="008E6B0C">
      <w:pPr>
        <w:jc w:val="both"/>
        <w:rPr>
          <w:rFonts w:eastAsiaTheme="majorEastAsia" w:cstheme="majorBidi"/>
          <w:b/>
          <w:bCs/>
          <w:color w:val="000000" w:themeColor="text1"/>
          <w:sz w:val="22"/>
          <w:szCs w:val="26"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6B0C" w:rsidRPr="008E6B0C" w:rsidTr="00EB68D4">
        <w:tc>
          <w:tcPr>
            <w:tcW w:w="9180" w:type="dxa"/>
          </w:tcPr>
          <w:p w:rsidR="008E6B0C" w:rsidRPr="008E6B0C" w:rsidRDefault="008E6B0C" w:rsidP="008E6B0C">
            <w:pPr>
              <w:pStyle w:val="Lijstalinea"/>
              <w:numPr>
                <w:ilvl w:val="0"/>
                <w:numId w:val="2"/>
              </w:numPr>
              <w:spacing w:after="200" w:line="276" w:lineRule="auto"/>
              <w:rPr>
                <w:rFonts w:asciiTheme="minorHAnsi" w:hAnsiTheme="minorHAnsi"/>
              </w:rPr>
            </w:pPr>
            <w:r w:rsidRPr="008E6B0C">
              <w:rPr>
                <w:rFonts w:asciiTheme="minorHAnsi" w:hAnsiTheme="minorHAnsi"/>
              </w:rPr>
              <w:t>Wat zijn wij als Gemeente Den Haag vergeten aan u te vragen?</w:t>
            </w:r>
          </w:p>
          <w:p w:rsidR="008E6B0C" w:rsidRPr="008E6B0C" w:rsidRDefault="008E6B0C" w:rsidP="00EB68D4">
            <w:pPr>
              <w:pStyle w:val="Lijstalinea"/>
              <w:rPr>
                <w:rFonts w:asciiTheme="minorHAnsi" w:hAnsiTheme="minorHAnsi" w:cs="Arial"/>
                <w:b/>
                <w:szCs w:val="19"/>
              </w:rPr>
            </w:pPr>
          </w:p>
        </w:tc>
      </w:tr>
      <w:tr w:rsidR="008E6B0C" w:rsidRPr="008E6B0C" w:rsidTr="00EB68D4">
        <w:tc>
          <w:tcPr>
            <w:tcW w:w="9180" w:type="dxa"/>
          </w:tcPr>
          <w:p w:rsidR="008E6B0C" w:rsidRPr="008E6B0C" w:rsidRDefault="008E6B0C" w:rsidP="00EB68D4">
            <w:pPr>
              <w:jc w:val="both"/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</w:pPr>
            <w:r w:rsidRPr="008E6B0C">
              <w:rPr>
                <w:rFonts w:asciiTheme="minorHAnsi" w:eastAsiaTheme="majorEastAsia" w:hAnsiTheme="minorHAnsi" w:cstheme="majorBidi"/>
                <w:bCs/>
                <w:color w:val="000000" w:themeColor="text1"/>
                <w:szCs w:val="19"/>
              </w:rPr>
              <w:t>[antwoord]</w:t>
            </w:r>
          </w:p>
        </w:tc>
      </w:tr>
    </w:tbl>
    <w:p w:rsidR="008E6B0C" w:rsidRPr="00F26F69" w:rsidRDefault="008E6B0C" w:rsidP="008E6B0C"/>
    <w:p w:rsidR="00812CEE" w:rsidRDefault="008E6B0C"/>
    <w:sectPr w:rsidR="00812CEE" w:rsidSect="002317C9">
      <w:pgSz w:w="11906" w:h="16838"/>
      <w:pgMar w:top="1134" w:right="1486" w:bottom="1191" w:left="1814" w:header="992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551"/>
    <w:multiLevelType w:val="hybridMultilevel"/>
    <w:tmpl w:val="19CC2D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0C"/>
    <w:rsid w:val="005853DB"/>
    <w:rsid w:val="008E6B0C"/>
    <w:rsid w:val="00A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B0C"/>
    <w:pPr>
      <w:spacing w:after="0" w:line="260" w:lineRule="atLeast"/>
    </w:pPr>
    <w:rPr>
      <w:rFonts w:cs="Times New Roman"/>
      <w:sz w:val="19"/>
      <w:szCs w:val="20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8E6B0C"/>
    <w:pPr>
      <w:keepNext/>
      <w:keepLines/>
      <w:numPr>
        <w:numId w:val="1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nhideWhenUsed/>
    <w:qFormat/>
    <w:rsid w:val="008E6B0C"/>
    <w:pPr>
      <w:keepNext/>
      <w:keepLines/>
      <w:numPr>
        <w:ilvl w:val="1"/>
        <w:numId w:val="1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nhideWhenUsed/>
    <w:qFormat/>
    <w:rsid w:val="008E6B0C"/>
    <w:pPr>
      <w:keepNext/>
      <w:keepLines/>
      <w:numPr>
        <w:ilvl w:val="2"/>
        <w:numId w:val="1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1F497D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6B0C"/>
    <w:pPr>
      <w:keepNext/>
      <w:keepLines/>
      <w:numPr>
        <w:ilvl w:val="3"/>
        <w:numId w:val="1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B0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6B0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6B0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6B0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6B0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8E6B0C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rsid w:val="008E6B0C"/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rsid w:val="008E6B0C"/>
    <w:rPr>
      <w:rFonts w:asciiTheme="majorHAnsi" w:eastAsiaTheme="majorEastAsia" w:hAnsiTheme="majorHAnsi" w:cstheme="majorBidi"/>
      <w:bCs/>
      <w:color w:val="1F497D" w:themeColor="text2"/>
      <w:sz w:val="19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8E6B0C"/>
    <w:rPr>
      <w:rFonts w:asciiTheme="majorHAnsi" w:eastAsiaTheme="majorEastAsia" w:hAnsiTheme="majorHAnsi" w:cstheme="majorBidi"/>
      <w:bCs/>
      <w:iCs/>
      <w:sz w:val="19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6B0C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6B0C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6B0C"/>
    <w:rPr>
      <w:rFonts w:asciiTheme="majorHAnsi" w:eastAsiaTheme="majorEastAsia" w:hAnsiTheme="majorHAnsi" w:cstheme="majorBidi"/>
      <w:i/>
      <w:iCs/>
      <w:color w:val="000000" w:themeColor="text1"/>
      <w:sz w:val="19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6B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6B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59"/>
    <w:rsid w:val="008E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6B0C"/>
    <w:pPr>
      <w:ind w:left="720"/>
      <w:contextualSpacing/>
    </w:pPr>
  </w:style>
  <w:style w:type="paragraph" w:customStyle="1" w:styleId="Default">
    <w:name w:val="Default"/>
    <w:rsid w:val="008E6B0C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6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B0C"/>
    <w:pPr>
      <w:spacing w:after="0" w:line="260" w:lineRule="atLeast"/>
    </w:pPr>
    <w:rPr>
      <w:rFonts w:cs="Times New Roman"/>
      <w:sz w:val="19"/>
      <w:szCs w:val="20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8E6B0C"/>
    <w:pPr>
      <w:keepNext/>
      <w:keepLines/>
      <w:numPr>
        <w:numId w:val="1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nhideWhenUsed/>
    <w:qFormat/>
    <w:rsid w:val="008E6B0C"/>
    <w:pPr>
      <w:keepNext/>
      <w:keepLines/>
      <w:numPr>
        <w:ilvl w:val="1"/>
        <w:numId w:val="1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nhideWhenUsed/>
    <w:qFormat/>
    <w:rsid w:val="008E6B0C"/>
    <w:pPr>
      <w:keepNext/>
      <w:keepLines/>
      <w:numPr>
        <w:ilvl w:val="2"/>
        <w:numId w:val="1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1F497D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6B0C"/>
    <w:pPr>
      <w:keepNext/>
      <w:keepLines/>
      <w:numPr>
        <w:ilvl w:val="3"/>
        <w:numId w:val="1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B0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6B0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6B0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6B0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6B0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8E6B0C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rsid w:val="008E6B0C"/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rsid w:val="008E6B0C"/>
    <w:rPr>
      <w:rFonts w:asciiTheme="majorHAnsi" w:eastAsiaTheme="majorEastAsia" w:hAnsiTheme="majorHAnsi" w:cstheme="majorBidi"/>
      <w:bCs/>
      <w:color w:val="1F497D" w:themeColor="text2"/>
      <w:sz w:val="19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8E6B0C"/>
    <w:rPr>
      <w:rFonts w:asciiTheme="majorHAnsi" w:eastAsiaTheme="majorEastAsia" w:hAnsiTheme="majorHAnsi" w:cstheme="majorBidi"/>
      <w:bCs/>
      <w:iCs/>
      <w:sz w:val="19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6B0C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6B0C"/>
    <w:rPr>
      <w:rFonts w:asciiTheme="majorHAnsi" w:eastAsiaTheme="majorEastAsia" w:hAnsiTheme="majorHAnsi" w:cstheme="majorBidi"/>
      <w:color w:val="000000" w:themeColor="text1"/>
      <w:sz w:val="19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6B0C"/>
    <w:rPr>
      <w:rFonts w:asciiTheme="majorHAnsi" w:eastAsiaTheme="majorEastAsia" w:hAnsiTheme="majorHAnsi" w:cstheme="majorBidi"/>
      <w:i/>
      <w:iCs/>
      <w:color w:val="000000" w:themeColor="text1"/>
      <w:sz w:val="19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6B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6B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59"/>
    <w:rsid w:val="008E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6B0C"/>
    <w:pPr>
      <w:ind w:left="720"/>
      <w:contextualSpacing/>
    </w:pPr>
  </w:style>
  <w:style w:type="paragraph" w:customStyle="1" w:styleId="Default">
    <w:name w:val="Default"/>
    <w:rsid w:val="008E6B0C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6B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417A-15D5-495C-A5E2-D91FB858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1722</Characters>
  <Application>Microsoft Office Word</Application>
  <DocSecurity>0</DocSecurity>
  <Lines>14</Lines>
  <Paragraphs>4</Paragraphs>
  <ScaleCrop>false</ScaleCrop>
  <Company>Gemeente Den Haag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Roelof Davids</dc:creator>
  <cp:lastModifiedBy>Roelof Davids</cp:lastModifiedBy>
  <cp:revision>1</cp:revision>
  <dcterms:created xsi:type="dcterms:W3CDTF">2018-11-08T10:25:00Z</dcterms:created>
  <dcterms:modified xsi:type="dcterms:W3CDTF">2018-11-08T10:29:00Z</dcterms:modified>
</cp:coreProperties>
</file>