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4D8" w:rsidRDefault="005814D8">
      <w:pPr>
        <w:rPr>
          <w:b/>
        </w:rPr>
      </w:pPr>
    </w:p>
    <w:p w:rsidR="00A17C6E" w:rsidRPr="00B16C74" w:rsidRDefault="00A31918">
      <w:pPr>
        <w:rPr>
          <w:b/>
        </w:rPr>
      </w:pPr>
      <w:r w:rsidRPr="00B16C74">
        <w:rPr>
          <w:b/>
        </w:rPr>
        <w:t xml:space="preserve">Verduidelijking </w:t>
      </w:r>
      <w:r w:rsidR="00F0341C" w:rsidRPr="00B16C74">
        <w:rPr>
          <w:b/>
        </w:rPr>
        <w:t xml:space="preserve">Paragraaf </w:t>
      </w:r>
      <w:r w:rsidRPr="00B16C74">
        <w:rPr>
          <w:b/>
        </w:rPr>
        <w:t>Aansprakelijkheid</w:t>
      </w:r>
      <w:r w:rsidR="0094098B">
        <w:rPr>
          <w:b/>
        </w:rPr>
        <w:t>.</w:t>
      </w:r>
    </w:p>
    <w:p w:rsidR="00A81679" w:rsidRPr="00B16C74" w:rsidRDefault="00A81679"/>
    <w:p w:rsidR="00A81679" w:rsidRPr="00B16C74" w:rsidRDefault="00A81679"/>
    <w:p w:rsidR="00A81679" w:rsidRPr="00B16C74" w:rsidRDefault="00A81679">
      <w:pPr>
        <w:rPr>
          <w:u w:val="single"/>
        </w:rPr>
      </w:pPr>
      <w:r w:rsidRPr="00B16C74">
        <w:rPr>
          <w:u w:val="single"/>
        </w:rPr>
        <w:t>Aanleiding</w:t>
      </w:r>
    </w:p>
    <w:p w:rsidR="00A81679" w:rsidRPr="00B16C74" w:rsidRDefault="00A81679">
      <w:r w:rsidRPr="00B16C74">
        <w:t xml:space="preserve">In het kader van </w:t>
      </w:r>
      <w:r w:rsidR="0094098B">
        <w:t>eerder gehouden</w:t>
      </w:r>
      <w:r w:rsidRPr="00B16C74">
        <w:t xml:space="preserve"> aanbesteding</w:t>
      </w:r>
      <w:r w:rsidR="0094098B">
        <w:t>en</w:t>
      </w:r>
      <w:r w:rsidRPr="00B16C74">
        <w:t xml:space="preserve"> zijn </w:t>
      </w:r>
      <w:r w:rsidR="001F1659" w:rsidRPr="00B16C74">
        <w:t xml:space="preserve">door meerdere gegadigden </w:t>
      </w:r>
      <w:r w:rsidRPr="00B16C74">
        <w:t>vragen gesteld over de aansprakelijkheid</w:t>
      </w:r>
      <w:r w:rsidR="0094098B">
        <w:t>, zoals vastgelegd in de bestekspost 00.03 “Verzekeringen</w:t>
      </w:r>
      <w:r w:rsidR="002078D6">
        <w:t>”,</w:t>
      </w:r>
      <w:r w:rsidRPr="00B16C74">
        <w:t xml:space="preserve"> </w:t>
      </w:r>
      <w:r w:rsidR="001F1659" w:rsidRPr="00B16C74">
        <w:t xml:space="preserve">van de aannemer </w:t>
      </w:r>
      <w:r w:rsidRPr="00B16C74">
        <w:t xml:space="preserve">en </w:t>
      </w:r>
      <w:r w:rsidR="001F1659" w:rsidRPr="00B16C74">
        <w:t xml:space="preserve">is </w:t>
      </w:r>
      <w:r w:rsidRPr="00B16C74">
        <w:t xml:space="preserve">de wens </w:t>
      </w:r>
      <w:r w:rsidR="001F1659" w:rsidRPr="00B16C74">
        <w:t xml:space="preserve">geuit </w:t>
      </w:r>
      <w:r w:rsidRPr="00B16C74">
        <w:t>voor verdere aansprakelijkheidsbeperking</w:t>
      </w:r>
      <w:r w:rsidR="00A31D5B" w:rsidRPr="00B16C74">
        <w:t xml:space="preserve"> dan nu in het bestek is geregeld</w:t>
      </w:r>
      <w:r w:rsidRPr="00B16C74">
        <w:t>.</w:t>
      </w:r>
    </w:p>
    <w:p w:rsidR="001F1659" w:rsidRPr="00B16C74" w:rsidRDefault="001F1659"/>
    <w:p w:rsidR="00A81679" w:rsidRPr="00B16C74" w:rsidRDefault="00A81679">
      <w:r w:rsidRPr="00B16C74">
        <w:t xml:space="preserve">In de nota’s van inlichtingen zijn hier </w:t>
      </w:r>
      <w:r w:rsidR="001F1659" w:rsidRPr="00B16C74">
        <w:t xml:space="preserve">al </w:t>
      </w:r>
      <w:r w:rsidRPr="00B16C74">
        <w:t>antwoorden op</w:t>
      </w:r>
      <w:r w:rsidR="001F1659" w:rsidRPr="00B16C74">
        <w:t xml:space="preserve"> </w:t>
      </w:r>
      <w:r w:rsidRPr="00B16C74">
        <w:t>gegeven.</w:t>
      </w:r>
      <w:r w:rsidR="009B0388" w:rsidRPr="00B16C74">
        <w:t xml:space="preserve"> </w:t>
      </w:r>
      <w:r w:rsidRPr="00B16C74">
        <w:t>Het onderwerp laat zich</w:t>
      </w:r>
      <w:r w:rsidR="001F1659" w:rsidRPr="00B16C74">
        <w:t xml:space="preserve"> echter</w:t>
      </w:r>
      <w:r w:rsidRPr="00B16C74">
        <w:t xml:space="preserve"> lastig in korte antwoorden duiden. Hieronder willen wij u meer informatie verstrekken over aansprakelijkheid.</w:t>
      </w:r>
    </w:p>
    <w:p w:rsidR="00A81679" w:rsidRPr="00B16C74" w:rsidRDefault="00A81679"/>
    <w:p w:rsidR="001F1659" w:rsidRPr="00B16C74" w:rsidRDefault="001F1659"/>
    <w:p w:rsidR="00A81679" w:rsidRPr="00B16C74" w:rsidRDefault="005C507C" w:rsidP="00EE111A">
      <w:pPr>
        <w:rPr>
          <w:u w:val="single"/>
        </w:rPr>
      </w:pPr>
      <w:r w:rsidRPr="00B16C74">
        <w:rPr>
          <w:u w:val="single"/>
        </w:rPr>
        <w:t>Aansprakelijkheid</w:t>
      </w:r>
      <w:r w:rsidR="001F1659" w:rsidRPr="00B16C74">
        <w:rPr>
          <w:u w:val="single"/>
        </w:rPr>
        <w:t xml:space="preserve"> volgens het Burgerlijk Wetboek (BW)</w:t>
      </w:r>
    </w:p>
    <w:p w:rsidR="00EE7488" w:rsidRPr="00B16C74" w:rsidRDefault="00EE7488" w:rsidP="00A81679">
      <w:r w:rsidRPr="00B16C74">
        <w:t xml:space="preserve">Het Nederlandse schadevergoedingsrecht heeft als uitgangspunt dat een benadeelde, </w:t>
      </w:r>
      <w:r w:rsidRPr="00B16C74">
        <w:rPr>
          <w:i/>
        </w:rPr>
        <w:t>indien is voldaan aan alle voorwaarden voor aansprakelijkheid</w:t>
      </w:r>
      <w:r w:rsidRPr="00B16C74">
        <w:t>, recht heeft op volledige vergoeding van zijn schade.</w:t>
      </w:r>
      <w:r w:rsidR="002D194C" w:rsidRPr="00B16C74">
        <w:t xml:space="preserve"> Dit kan zowel zaakschade, letselschade als zuivere vermogensschade zijn. Verder worden veelal de begrippen directe schade, indirecte schade en gevolgschade gebruikt maar die begrippen hebben als zodanig geen vaste betekenis in het Nederlandse recht.</w:t>
      </w:r>
    </w:p>
    <w:p w:rsidR="005C507C" w:rsidRPr="00B16C74" w:rsidRDefault="005C507C" w:rsidP="00A81679"/>
    <w:p w:rsidR="00A81679" w:rsidRPr="00B16C74" w:rsidRDefault="00A81679" w:rsidP="00A81679">
      <w:r w:rsidRPr="00B16C74">
        <w:t xml:space="preserve">De aansprakelijkheid </w:t>
      </w:r>
      <w:r w:rsidR="001F1659" w:rsidRPr="00B16C74">
        <w:t xml:space="preserve">van een partij </w:t>
      </w:r>
      <w:r w:rsidRPr="00B16C74">
        <w:t>wordt beperkt door de wet</w:t>
      </w:r>
      <w:r w:rsidR="001F1659" w:rsidRPr="00B16C74">
        <w:t>. Artikel 6:98 BW bepaald immers dat voor vergoeding slechts schade in aanmerking komt die in zodanig verband staat met de gebeurtenis waarop de aansprakelijkheid van de schuldenaar berust, dat zij hem, mede gezien de aard van de aansprakelijkheid en van de schade, als een gevolg van deze gebeurtenis kan worden toegerekend.</w:t>
      </w:r>
      <w:r w:rsidRPr="00B16C74">
        <w:t xml:space="preserve"> </w:t>
      </w:r>
    </w:p>
    <w:p w:rsidR="00661BED" w:rsidRPr="00B16C74" w:rsidRDefault="00661BED" w:rsidP="00A81679"/>
    <w:p w:rsidR="00EE7488" w:rsidRPr="00B16C74" w:rsidRDefault="00EE7488" w:rsidP="00A81679">
      <w:r w:rsidRPr="00B16C74">
        <w:t xml:space="preserve">In eerste instantie zal dus moeten worden vastgesteld of de schade aan de aansprakelijke partij (ervan uitgaande dat de aansprakelijkheid als zodanig is komen vast te staan) kan worden </w:t>
      </w:r>
      <w:r w:rsidRPr="00B16C74">
        <w:rPr>
          <w:i/>
        </w:rPr>
        <w:t>toegerekend</w:t>
      </w:r>
      <w:r w:rsidRPr="00B16C74">
        <w:t>.</w:t>
      </w:r>
    </w:p>
    <w:p w:rsidR="00EE7488" w:rsidRPr="00B16C74" w:rsidRDefault="00EE7488" w:rsidP="00A81679"/>
    <w:p w:rsidR="00661BED" w:rsidRPr="00B16C74" w:rsidRDefault="00661BED" w:rsidP="00A81679">
      <w:r w:rsidRPr="00B16C74">
        <w:t xml:space="preserve">Voor de toerekening van </w:t>
      </w:r>
      <w:r w:rsidR="00EE7488" w:rsidRPr="00B16C74">
        <w:t xml:space="preserve">de schade </w:t>
      </w:r>
      <w:r w:rsidRPr="00B16C74">
        <w:t xml:space="preserve">zal de rechter een afweging maken van verschillende factoren als aard van de aansprakelijkheid, aard van de schade, mate van schuld etc. De </w:t>
      </w:r>
      <w:r w:rsidR="00543B92" w:rsidRPr="00B16C74">
        <w:t>vraag of de schade het redelijk</w:t>
      </w:r>
      <w:r w:rsidRPr="00B16C74">
        <w:t xml:space="preserve">erwijs te verwachten gevolg is van de gebeurtenis is </w:t>
      </w:r>
      <w:r w:rsidR="00A31918" w:rsidRPr="00B16C74">
        <w:t xml:space="preserve">een voorbeeld van een dergelijke </w:t>
      </w:r>
      <w:r w:rsidRPr="00B16C74">
        <w:t>factor.</w:t>
      </w:r>
    </w:p>
    <w:p w:rsidR="00EE7488" w:rsidRPr="00B16C74" w:rsidRDefault="00EE7488" w:rsidP="00A81679"/>
    <w:p w:rsidR="00EE7488" w:rsidRPr="00B16C74" w:rsidRDefault="00EE7488" w:rsidP="00A81679">
      <w:r w:rsidRPr="00B16C74">
        <w:t>Vervolgens kan de rechter ook rekening houden met mogelijke eigen schuld aan de kant van de benadeelde partij (dit is geregeld in artikel 6:101 BW) en heeft de rechter de mogelijkheid de schade te matigen (artikel 6:109 BW).</w:t>
      </w:r>
    </w:p>
    <w:p w:rsidR="00517465" w:rsidRPr="00B16C74" w:rsidRDefault="00517465" w:rsidP="00A81679"/>
    <w:p w:rsidR="00517465" w:rsidRPr="00B16C74" w:rsidRDefault="00517465" w:rsidP="00A81679">
      <w:r w:rsidRPr="00B16C74">
        <w:t>Het stelsel van het Burgerlijk Wetboek wordt dan ook zowel in de rechtspraak</w:t>
      </w:r>
      <w:r w:rsidR="00A31D5B" w:rsidRPr="00B16C74">
        <w:t xml:space="preserve"> (zie bijvoorbeeld Rechtbank Den Haag 5 oktober 2016, zaaknummer C-09-513319-KG-ZA 16-773)</w:t>
      </w:r>
      <w:r w:rsidRPr="00B16C74">
        <w:t xml:space="preserve"> als in de adviezen van de Commissie van Aanbestedingsexperts</w:t>
      </w:r>
      <w:r w:rsidR="00A31D5B" w:rsidRPr="00B16C74">
        <w:t xml:space="preserve"> (zie bijvoorbeeld Advies Nr. 444 van 18 december 2017)</w:t>
      </w:r>
      <w:r w:rsidRPr="00B16C74">
        <w:t xml:space="preserve"> niet in strijd geacht met de voorschriften van de Gids Proportionaliteit.</w:t>
      </w:r>
    </w:p>
    <w:p w:rsidR="00543B92" w:rsidRPr="00B16C74" w:rsidRDefault="00543B92" w:rsidP="00661BED">
      <w:pPr>
        <w:rPr>
          <w:u w:val="single"/>
        </w:rPr>
      </w:pPr>
    </w:p>
    <w:p w:rsidR="00A81679" w:rsidRPr="00B16C74" w:rsidRDefault="00A81679" w:rsidP="00A81679"/>
    <w:p w:rsidR="000D1E80" w:rsidRPr="00B16C74" w:rsidRDefault="000D1E80" w:rsidP="00A81679">
      <w:pPr>
        <w:rPr>
          <w:u w:val="single"/>
        </w:rPr>
      </w:pPr>
      <w:r w:rsidRPr="00B16C74">
        <w:rPr>
          <w:u w:val="single"/>
        </w:rPr>
        <w:t>Aansprakelijkheid en de UAV</w:t>
      </w:r>
    </w:p>
    <w:p w:rsidR="00A42C0D" w:rsidRPr="00B16C74" w:rsidRDefault="00A81679" w:rsidP="00A75E61">
      <w:r w:rsidRPr="00B16C74">
        <w:t xml:space="preserve">De UAV kent </w:t>
      </w:r>
      <w:r w:rsidR="00517465" w:rsidRPr="00B16C74">
        <w:t xml:space="preserve">– net als het Burgerlijk Wetboek - </w:t>
      </w:r>
      <w:r w:rsidRPr="00B16C74">
        <w:t xml:space="preserve">geen </w:t>
      </w:r>
      <w:r w:rsidR="00A4315F" w:rsidRPr="00B16C74">
        <w:rPr>
          <w:i/>
        </w:rPr>
        <w:t>concrete</w:t>
      </w:r>
      <w:r w:rsidRPr="00B16C74">
        <w:t xml:space="preserve"> beperking van de aansprakelijkheid van de aannemer. </w:t>
      </w:r>
      <w:r w:rsidR="00517465" w:rsidRPr="00B16C74">
        <w:t xml:space="preserve">Dat wil zeggen dat er noch in het Burgerlijk Wetboek, noch in de UAV bedragen worden genoemd waarop een aannemer (of andere aansprakelijke partij) maximaal aangesproken zou kunnen worden. </w:t>
      </w:r>
      <w:r w:rsidRPr="00B16C74">
        <w:t>Dit betekent</w:t>
      </w:r>
      <w:r w:rsidR="00517465" w:rsidRPr="00B16C74">
        <w:t xml:space="preserve"> echter</w:t>
      </w:r>
      <w:r w:rsidRPr="00B16C74">
        <w:t xml:space="preserve"> niet dat de aannemer daadwerkelijk onbeperkt aansprakelijk is. </w:t>
      </w:r>
    </w:p>
    <w:p w:rsidR="00A42C0D" w:rsidRPr="00B16C74" w:rsidRDefault="00A42C0D" w:rsidP="00A75E61"/>
    <w:p w:rsidR="00A42C0D" w:rsidRPr="00B16C74" w:rsidRDefault="00A42C0D" w:rsidP="00A42C0D">
      <w:pPr>
        <w:pStyle w:val="Lijstalinea"/>
        <w:ind w:left="0"/>
        <w:rPr>
          <w:szCs w:val="18"/>
        </w:rPr>
      </w:pPr>
      <w:r w:rsidRPr="00B16C74">
        <w:rPr>
          <w:szCs w:val="18"/>
        </w:rPr>
        <w:t xml:space="preserve">In § 6 lid 8 UAV 2012 is geregeld dat de aannemer aansprakelijk is voor schade aan met het werk in verband staande werken van de opdrachtgever en aan andere werken van de opdrachtgever (…). Ook hier geldt – als in artikel 6:98 BW – het vereiste van toerekenbaarheid. Volgens de publicatie ‘UAV 2012 Toegelicht’ heeft de Raad van Arbitrage in een al oudere uitspraak (onder de </w:t>
      </w:r>
      <w:r w:rsidRPr="00B16C74">
        <w:rPr>
          <w:szCs w:val="18"/>
        </w:rPr>
        <w:lastRenderedPageBreak/>
        <w:t>UAV 1989) uitgemaakt dat onder deze bepaling gevolgschade niet voor vergoeding in aanmerking komt. Datzelfde geldt bij schade in de zin van § 44. Daarbij wordt in de genoemde publicatie aangegeven dat men voor de aansprakelijkheid van de aannemer voor andere schade dan die genoemd in § 44 men § 6 leden 8 en 9 kan raadplegen waarbij verder wordt aangegeven:</w:t>
      </w:r>
    </w:p>
    <w:p w:rsidR="00A42C0D" w:rsidRPr="00B16C74" w:rsidRDefault="00A42C0D" w:rsidP="00A42C0D">
      <w:pPr>
        <w:pStyle w:val="Lijstalinea"/>
        <w:ind w:left="0"/>
        <w:rPr>
          <w:szCs w:val="18"/>
        </w:rPr>
      </w:pPr>
    </w:p>
    <w:p w:rsidR="00A42C0D" w:rsidRPr="00B16C74" w:rsidRDefault="00A42C0D" w:rsidP="00A42C0D">
      <w:pPr>
        <w:pStyle w:val="Lijstalinea"/>
        <w:ind w:left="0"/>
        <w:rPr>
          <w:szCs w:val="18"/>
        </w:rPr>
      </w:pPr>
      <w:r w:rsidRPr="00B16C74">
        <w:rPr>
          <w:szCs w:val="18"/>
        </w:rPr>
        <w:t>“Voor zover schade niet is geregeld in de UAV 2012 (1989) is het mogelijk deze te verhalen op basis van het BW. De formulering van de UAV 2012 (1989) lijkt deze mogelijkheid niet uit te sluiten.”</w:t>
      </w:r>
    </w:p>
    <w:p w:rsidR="00A42C0D" w:rsidRPr="00B16C74" w:rsidRDefault="00A42C0D" w:rsidP="00A75E61"/>
    <w:p w:rsidR="00A31D5B" w:rsidRPr="00B16C74" w:rsidRDefault="00A31D5B" w:rsidP="00A75E61">
      <w:r w:rsidRPr="00B16C74">
        <w:t xml:space="preserve">In het Tijdschrift voor Bouwrecht (nr. 4, april 2016) legt prof. Mr. Chris Jansen uit dat je terugvalt op afdeling 6.1.10 van het Burgerlijk Wetboek wanneer de overeenkomst de aansprakelijkheid niet beperkt. De aansprakelijkheid van de aannemer is daarmee dus wel degelijk ook in </w:t>
      </w:r>
      <w:r w:rsidRPr="00B16C74">
        <w:rPr>
          <w:i/>
          <w:iCs/>
        </w:rPr>
        <w:t>financiële zin</w:t>
      </w:r>
      <w:r w:rsidRPr="00B16C74">
        <w:t xml:space="preserve"> beperkt.</w:t>
      </w:r>
    </w:p>
    <w:p w:rsidR="00A31D5B" w:rsidRPr="00B16C74" w:rsidRDefault="00A31D5B" w:rsidP="00A75E61"/>
    <w:p w:rsidR="00A42C0D" w:rsidRPr="00B16C74" w:rsidRDefault="001937DC" w:rsidP="00A75E61">
      <w:r w:rsidRPr="00B16C74">
        <w:t xml:space="preserve">Lid 9 van § </w:t>
      </w:r>
      <w:r w:rsidR="00A42C0D" w:rsidRPr="00B16C74">
        <w:t xml:space="preserve">6 </w:t>
      </w:r>
      <w:r w:rsidR="004A3A88" w:rsidRPr="00B16C74">
        <w:t xml:space="preserve">UAV 2012 </w:t>
      </w:r>
      <w:r w:rsidR="00A42C0D" w:rsidRPr="00B16C74">
        <w:t>regelt dat de aannemer de opdrachtgever vrijwaart tegen aanspraken van derden tot vergoeding van schade, voor zover deze door de uitvoering van het werk is toegebracht en is toe te rekenen aan de aannemer.</w:t>
      </w:r>
    </w:p>
    <w:p w:rsidR="00810145" w:rsidRPr="00B16C74" w:rsidRDefault="00810145" w:rsidP="00810145">
      <w:r w:rsidRPr="00B16C74">
        <w:t>Er is geen sprake van ongelimiteerde aansprakelijkheid bij de vrijwaring voor aanspraken door derden omdat voornoemde ook opgaat in de verhouding tussen schadeveroorzaker en benadeelde (de derde).</w:t>
      </w:r>
    </w:p>
    <w:p w:rsidR="00810145" w:rsidRPr="00B16C74" w:rsidRDefault="00810145" w:rsidP="00A81679"/>
    <w:p w:rsidR="001937DC" w:rsidRPr="00B16C74" w:rsidRDefault="001937DC" w:rsidP="00A81679"/>
    <w:p w:rsidR="002078D6" w:rsidRPr="002078D6" w:rsidRDefault="001937DC" w:rsidP="002078D6">
      <w:pPr>
        <w:autoSpaceDE w:val="0"/>
        <w:adjustRightInd w:val="0"/>
        <w:rPr>
          <w:u w:val="single"/>
        </w:rPr>
      </w:pPr>
      <w:r w:rsidRPr="00B16C74">
        <w:rPr>
          <w:u w:val="single"/>
        </w:rPr>
        <w:t xml:space="preserve">Aansprakelijkheid volgens Bestek </w:t>
      </w:r>
      <w:r w:rsidR="002078D6" w:rsidRPr="002078D6">
        <w:rPr>
          <w:u w:val="single"/>
        </w:rPr>
        <w:t>uitvoeren van inspecties en integraal onderhoud aan gebouwen van het Ministerie van Defensie waarin o.a. Datacentra zijn gevestigd op diverse Defensie locaties.</w:t>
      </w:r>
    </w:p>
    <w:p w:rsidR="00A81679" w:rsidRPr="00B16C74" w:rsidRDefault="00A81679" w:rsidP="00A81679">
      <w:pPr>
        <w:rPr>
          <w:u w:val="single"/>
        </w:rPr>
      </w:pPr>
    </w:p>
    <w:p w:rsidR="00A81679" w:rsidRPr="00B16C74" w:rsidRDefault="00A81679" w:rsidP="00A81679">
      <w:r w:rsidRPr="00B16C74">
        <w:t>De aansprakelijkheid van de aannemer voor schade aan met het werk in verband staande werken van de opdrachtgever en aan andere werken en eigendommen van de opdrachtgever (als bedoeld in § 6 lid 8 UAV 2012) en voor schade aan het werk (als bedoeld in § 44 lid 1 en 3 UAV 2012)</w:t>
      </w:r>
      <w:r w:rsidR="009B0388" w:rsidRPr="00B16C74">
        <w:t xml:space="preserve"> </w:t>
      </w:r>
      <w:r w:rsidRPr="00B16C74">
        <w:t xml:space="preserve">is in dit contract in artikel 00.03.10-90 gelimiteerd tot € 2.500.000 per geval. </w:t>
      </w:r>
    </w:p>
    <w:p w:rsidR="00A81679" w:rsidRPr="00B16C74" w:rsidRDefault="00A81679" w:rsidP="00A81679"/>
    <w:p w:rsidR="00A81679" w:rsidRPr="00B16C74" w:rsidRDefault="00A81679" w:rsidP="00A81679">
      <w:r w:rsidRPr="00B16C74">
        <w:t xml:space="preserve">Daarbij wordt met ‘opdrachtgever’ de Staat der Nederlanden bedoeld zodat ook schade van andere onderdelen van de Staat (bijvoorbeeld gebruikers van de panden) daaronder vallen. </w:t>
      </w:r>
    </w:p>
    <w:p w:rsidR="00A81679" w:rsidRPr="00B16C74" w:rsidRDefault="00A81679" w:rsidP="00A81679"/>
    <w:p w:rsidR="00A81679" w:rsidRPr="00B16C74" w:rsidRDefault="00A81679" w:rsidP="00A81679">
      <w:r w:rsidRPr="00B16C74">
        <w:t>In de meeste panden binnen het contract zijn onderdelen van de rijksoverheid gehuisvest. In een klein deel van de panden binnen het contract zijn gebruikers gehuisvest die geen onderdeel uitmaken van de Rijksoverheid. De aansprakelijkheid voor vermogensschade van deze derden is niet gelimiteerd. Overigens kunnen ook bezoekers van de panden,</w:t>
      </w:r>
      <w:r w:rsidR="004A3A88" w:rsidRPr="00B16C74">
        <w:t xml:space="preserve"> leveranciers, buren,</w:t>
      </w:r>
      <w:r w:rsidRPr="00B16C74">
        <w:t xml:space="preserve"> zo zich dat voordoet, als ‘derden’ worden aangemerkt. </w:t>
      </w:r>
      <w:r w:rsidR="00A31D5B" w:rsidRPr="00B16C74">
        <w:t>Dit sluit aan bij § 6 lid 9 van de UAV 2012 als hierboven aangegeven waardoor de aannemer de opdrachtgever dient te vrijwaren tegen aanspraken van derden voor vergoeding van schade.</w:t>
      </w:r>
    </w:p>
    <w:p w:rsidR="00A81679" w:rsidRPr="00B16C74" w:rsidRDefault="00A81679" w:rsidP="00A81679"/>
    <w:p w:rsidR="00A81679" w:rsidRPr="00B16C74" w:rsidRDefault="00A81679" w:rsidP="00A81679">
      <w:r w:rsidRPr="00B16C74">
        <w:t xml:space="preserve">Deze derden kunnen de aannemer immers ook buiten het contract om </w:t>
      </w:r>
      <w:r w:rsidR="00A4315F" w:rsidRPr="00B16C74">
        <w:t xml:space="preserve">- </w:t>
      </w:r>
      <w:r w:rsidRPr="00B16C74">
        <w:t xml:space="preserve">op grond van onrechtmatige daad </w:t>
      </w:r>
      <w:r w:rsidR="00A4315F" w:rsidRPr="00B16C74">
        <w:t xml:space="preserve">(artikel 6:162 BW) - </w:t>
      </w:r>
      <w:r w:rsidRPr="00B16C74">
        <w:t xml:space="preserve">aanspreken voor schade door hem veroorzaakt. Deze aansprakelijkheid zal echter niet groter zijn dan uit de wettelijke regels van het Burgerlijk Wetboek voortvloeit, </w:t>
      </w:r>
      <w:r w:rsidR="006A48E4" w:rsidRPr="00B16C74">
        <w:t>zoals hierboven aangegeven.</w:t>
      </w:r>
      <w:r w:rsidRPr="00B16C74">
        <w:t xml:space="preserve"> </w:t>
      </w:r>
    </w:p>
    <w:p w:rsidR="00A81679" w:rsidRPr="00B16C74" w:rsidRDefault="00A81679" w:rsidP="00A81679"/>
    <w:p w:rsidR="00A81679" w:rsidRPr="00B16C74" w:rsidRDefault="00A81679" w:rsidP="00A81679">
      <w:r w:rsidRPr="00B16C74">
        <w:t xml:space="preserve">Bijlage </w:t>
      </w:r>
      <w:r w:rsidR="002078D6">
        <w:t xml:space="preserve">18 </w:t>
      </w:r>
      <w:r w:rsidR="00F0341C" w:rsidRPr="00B16C74">
        <w:t xml:space="preserve">“Overzicht </w:t>
      </w:r>
      <w:r w:rsidR="002078D6">
        <w:t>object</w:t>
      </w:r>
      <w:r w:rsidR="00F0341C" w:rsidRPr="00B16C74">
        <w:t xml:space="preserve">en” </w:t>
      </w:r>
      <w:r w:rsidRPr="00B16C74">
        <w:t xml:space="preserve">geeft per gebouw aan of het gebruikt wordt door De Staat dan wel een derde niet zijnde de Staat en wat het primaire proces is per object is. </w:t>
      </w:r>
      <w:r w:rsidR="00ED780B" w:rsidRPr="00B16C74">
        <w:rPr>
          <w:iCs/>
        </w:rPr>
        <w:t>Van deze gebruikers is het primaire proces voornamelijk kantoorwerkzaamheden.</w:t>
      </w:r>
      <w:r w:rsidR="005814D8" w:rsidRPr="00B16C74">
        <w:rPr>
          <w:iCs/>
        </w:rPr>
        <w:t xml:space="preserve"> </w:t>
      </w:r>
      <w:r w:rsidR="00F0341C" w:rsidRPr="00B16C74">
        <w:rPr>
          <w:iCs/>
        </w:rPr>
        <w:t xml:space="preserve">Daarnaast is aangegeven welke panden eigendom zijn van De Staat. </w:t>
      </w:r>
      <w:r w:rsidR="00F0341C" w:rsidRPr="00B16C74">
        <w:t>U</w:t>
      </w:r>
      <w:r w:rsidR="0035755A" w:rsidRPr="00B16C74">
        <w:t xml:space="preserve">it </w:t>
      </w:r>
      <w:r w:rsidR="00F0341C" w:rsidRPr="00B16C74">
        <w:t xml:space="preserve">dit overzicht </w:t>
      </w:r>
      <w:r w:rsidR="0035755A" w:rsidRPr="00B16C74">
        <w:t>kunnen geen rechten worden ontleend en is puur informatief.</w:t>
      </w:r>
    </w:p>
    <w:p w:rsidR="00ED780B" w:rsidRPr="00B16C74" w:rsidRDefault="00ED780B" w:rsidP="00A81679"/>
    <w:p w:rsidR="00A31D5B" w:rsidRPr="00B16C74" w:rsidRDefault="00A31D5B" w:rsidP="00A81679"/>
    <w:p w:rsidR="001937DC" w:rsidRPr="00B16C74" w:rsidRDefault="001937DC">
      <w:pPr>
        <w:autoSpaceDN/>
        <w:spacing w:after="200" w:line="276" w:lineRule="auto"/>
        <w:textAlignment w:val="auto"/>
        <w:rPr>
          <w:u w:val="single"/>
        </w:rPr>
      </w:pPr>
      <w:r w:rsidRPr="00B16C74">
        <w:rPr>
          <w:u w:val="single"/>
        </w:rPr>
        <w:br w:type="page"/>
      </w:r>
    </w:p>
    <w:p w:rsidR="006A48E4" w:rsidRPr="00B16C74" w:rsidRDefault="006A48E4" w:rsidP="006A48E4">
      <w:pPr>
        <w:rPr>
          <w:u w:val="single"/>
        </w:rPr>
      </w:pPr>
      <w:r w:rsidRPr="00B16C74">
        <w:rPr>
          <w:u w:val="single"/>
        </w:rPr>
        <w:lastRenderedPageBreak/>
        <w:t>Gids Proportionaliteit</w:t>
      </w:r>
    </w:p>
    <w:p w:rsidR="006A48E4" w:rsidRPr="00B16C74" w:rsidRDefault="006A48E4" w:rsidP="006A48E4">
      <w:r w:rsidRPr="00B16C74">
        <w:t>De Gids Proportionaliteit schrijft voor dat in geval er een expliciete regeling ten aanzien van aansprakelijkheid is opgenomen in de overeenkomst dat deze proportioneel dient te zijn en gelimiteerd dient te zijn.</w:t>
      </w:r>
    </w:p>
    <w:p w:rsidR="006A48E4" w:rsidRPr="00B16C74" w:rsidRDefault="006A48E4" w:rsidP="00A81679"/>
    <w:p w:rsidR="002078D6" w:rsidRPr="0075051D" w:rsidRDefault="00AA6049" w:rsidP="002078D6">
      <w:pPr>
        <w:autoSpaceDE w:val="0"/>
        <w:adjustRightInd w:val="0"/>
        <w:rPr>
          <w:sz w:val="16"/>
          <w:szCs w:val="16"/>
        </w:rPr>
      </w:pPr>
      <w:r w:rsidRPr="00B16C74">
        <w:t xml:space="preserve">Nu de bepalingen in het bestek </w:t>
      </w:r>
      <w:r w:rsidR="002078D6">
        <w:t>“</w:t>
      </w:r>
      <w:r w:rsidR="002078D6" w:rsidRPr="002078D6">
        <w:t>uitvoeren van inspecties en integraal onderhoud aan gebouwen van het Ministerie van Defensie waarin o.a. Datacentra zijn gevestigd op diverse Defensie locaties</w:t>
      </w:r>
      <w:r w:rsidR="002078D6" w:rsidRPr="0075051D">
        <w:rPr>
          <w:sz w:val="16"/>
          <w:szCs w:val="16"/>
        </w:rPr>
        <w:t>.</w:t>
      </w:r>
      <w:r w:rsidR="002078D6">
        <w:rPr>
          <w:sz w:val="16"/>
          <w:szCs w:val="16"/>
        </w:rPr>
        <w:t>”</w:t>
      </w:r>
    </w:p>
    <w:p w:rsidR="00AA6049" w:rsidRPr="00B16C74" w:rsidRDefault="00AA6049" w:rsidP="00AA6049">
      <w:pPr>
        <w:rPr>
          <w:u w:val="single"/>
        </w:rPr>
      </w:pPr>
      <w:r w:rsidRPr="00B16C74">
        <w:t xml:space="preserve">niet, of althans niet ten nadele van de aannemer afwijken van het systeem van het Burgerlijk Wetboek (immers, nog steeds is bijvoorbeeld toerekenbaarheid en causaal verband vereist), is het Rijksvastgoedbedrijf van mening dat </w:t>
      </w:r>
      <w:r w:rsidR="00651AA7" w:rsidRPr="00B16C74">
        <w:t xml:space="preserve">de aansprakelijkheidsregeling in het </w:t>
      </w:r>
      <w:r w:rsidRPr="00B16C74">
        <w:t xml:space="preserve">bestek in overeenstemming is met de Gids Proportionaliteit. </w:t>
      </w:r>
    </w:p>
    <w:p w:rsidR="00AA6049" w:rsidRDefault="00AA6049" w:rsidP="00A81679"/>
    <w:p w:rsidR="00B16C74" w:rsidRPr="00B16C74" w:rsidRDefault="00B16C74" w:rsidP="00A81679"/>
    <w:p w:rsidR="00A42C0D" w:rsidRPr="00B16C74" w:rsidRDefault="00A42C0D" w:rsidP="00A81679">
      <w:pPr>
        <w:rPr>
          <w:u w:val="single"/>
        </w:rPr>
      </w:pPr>
      <w:r w:rsidRPr="00B16C74">
        <w:rPr>
          <w:u w:val="single"/>
        </w:rPr>
        <w:t xml:space="preserve">Verzekeringen </w:t>
      </w:r>
    </w:p>
    <w:p w:rsidR="00A42C0D" w:rsidRPr="00B16C74" w:rsidRDefault="00A42C0D" w:rsidP="00A42C0D">
      <w:r w:rsidRPr="00B16C74">
        <w:t xml:space="preserve">Zaakschade wordt vrijwel altijd gedekt door verzekeraars onder een bedrijfsaansprakelijkheids-verzekering (WA). </w:t>
      </w:r>
    </w:p>
    <w:p w:rsidR="00A42C0D" w:rsidRPr="00B16C74" w:rsidRDefault="00A42C0D" w:rsidP="00A81679"/>
    <w:p w:rsidR="00ED780B" w:rsidRPr="00B16C74" w:rsidRDefault="00ED780B" w:rsidP="00A81679"/>
    <w:p w:rsidR="00ED780B" w:rsidRPr="00B16C74" w:rsidRDefault="00ED780B" w:rsidP="00ED780B">
      <w:pPr>
        <w:rPr>
          <w:rFonts w:cstheme="minorBidi"/>
          <w:color w:val="1F497D" w:themeColor="dark2"/>
        </w:rPr>
      </w:pPr>
    </w:p>
    <w:sectPr w:rsidR="00ED780B" w:rsidRPr="00B16C74" w:rsidSect="00A17C6E">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39A2" w:rsidRDefault="004E39A2" w:rsidP="00A81679">
      <w:pPr>
        <w:spacing w:line="240" w:lineRule="auto"/>
      </w:pPr>
      <w:r>
        <w:separator/>
      </w:r>
    </w:p>
  </w:endnote>
  <w:endnote w:type="continuationSeparator" w:id="0">
    <w:p w:rsidR="004E39A2" w:rsidRDefault="004E39A2" w:rsidP="00A8167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DejaVu Sans">
    <w:altName w:val="Arial"/>
    <w:charset w:val="00"/>
    <w:family w:val="swiss"/>
    <w:pitch w:val="variable"/>
    <w:sig w:usb0="E7000EFF" w:usb1="5200FDFF" w:usb2="0A042021" w:usb3="00000000" w:csb0="000001B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Lohit Hindi">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74" w:rsidRDefault="006A32FB" w:rsidP="00B16C74">
    <w:pPr>
      <w:pStyle w:val="Verdana6"/>
      <w:jc w:val="left"/>
    </w:pPr>
    <w:r w:rsidRPr="00B16C74">
      <w:t>1</w:t>
    </w:r>
    <w:r w:rsidR="00B16C74" w:rsidRPr="00B16C74">
      <w:t>3</w:t>
    </w:r>
    <w:r w:rsidRPr="00B16C74">
      <w:t>-7-2018</w:t>
    </w:r>
    <w:r w:rsidR="001937DC">
      <w:rPr>
        <w:sz w:val="14"/>
        <w:szCs w:val="14"/>
      </w:rPr>
      <w:tab/>
    </w:r>
    <w:r w:rsidR="001937DC">
      <w:rPr>
        <w:sz w:val="14"/>
        <w:szCs w:val="14"/>
      </w:rPr>
      <w:tab/>
    </w:r>
    <w:r w:rsidR="001937DC">
      <w:rPr>
        <w:sz w:val="14"/>
        <w:szCs w:val="14"/>
      </w:rPr>
      <w:tab/>
    </w:r>
    <w:r w:rsidR="00B16C74">
      <w:rPr>
        <w:sz w:val="14"/>
        <w:szCs w:val="14"/>
      </w:rPr>
      <w:tab/>
    </w:r>
    <w:r w:rsidR="00B16C74">
      <w:rPr>
        <w:sz w:val="14"/>
        <w:szCs w:val="14"/>
      </w:rPr>
      <w:tab/>
    </w:r>
    <w:r w:rsidR="00B16C74">
      <w:rPr>
        <w:sz w:val="14"/>
        <w:szCs w:val="14"/>
      </w:rPr>
      <w:tab/>
    </w:r>
    <w:r w:rsidR="00B16C74">
      <w:rPr>
        <w:sz w:val="14"/>
        <w:szCs w:val="14"/>
      </w:rPr>
      <w:tab/>
    </w:r>
    <w:r w:rsidR="00B16C74">
      <w:rPr>
        <w:sz w:val="14"/>
        <w:szCs w:val="14"/>
      </w:rPr>
      <w:tab/>
    </w:r>
    <w:r w:rsidR="00B16C74">
      <w:rPr>
        <w:sz w:val="14"/>
        <w:szCs w:val="14"/>
      </w:rPr>
      <w:tab/>
    </w:r>
    <w:r w:rsidR="00B16C74">
      <w:rPr>
        <w:sz w:val="14"/>
        <w:szCs w:val="14"/>
      </w:rPr>
      <w:tab/>
    </w:r>
    <w:r w:rsidR="00B16C74">
      <w:t xml:space="preserve">Pagina </w:t>
    </w:r>
    <w:fldSimple w:instr="PAGE">
      <w:r w:rsidR="002078D6">
        <w:rPr>
          <w:noProof/>
        </w:rPr>
        <w:t>3</w:t>
      </w:r>
    </w:fldSimple>
    <w:r w:rsidR="00B16C74">
      <w:t xml:space="preserve"> van </w:t>
    </w:r>
    <w:fldSimple w:instr="NUMPAGES">
      <w:r w:rsidR="002078D6">
        <w:rPr>
          <w:noProof/>
        </w:rPr>
        <w:t>3</w:t>
      </w:r>
    </w:fldSimple>
  </w:p>
  <w:p w:rsidR="006A32FB" w:rsidRPr="00F0341C" w:rsidRDefault="001937DC">
    <w:pPr>
      <w:pStyle w:val="Voettekst"/>
      <w:rPr>
        <w:sz w:val="14"/>
        <w:szCs w:val="14"/>
      </w:rPr>
    </w:pPr>
    <w:r>
      <w:rPr>
        <w:sz w:val="14"/>
        <w:szCs w:val="14"/>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39A2" w:rsidRDefault="004E39A2" w:rsidP="00A81679">
      <w:pPr>
        <w:spacing w:line="240" w:lineRule="auto"/>
      </w:pPr>
      <w:r>
        <w:separator/>
      </w:r>
    </w:p>
  </w:footnote>
  <w:footnote w:type="continuationSeparator" w:id="0">
    <w:p w:rsidR="004E39A2" w:rsidRDefault="004E39A2" w:rsidP="00A8167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98B" w:rsidRPr="0075051D" w:rsidRDefault="0094098B" w:rsidP="0094098B">
    <w:pPr>
      <w:autoSpaceDE w:val="0"/>
      <w:adjustRightInd w:val="0"/>
      <w:rPr>
        <w:sz w:val="16"/>
        <w:szCs w:val="16"/>
      </w:rPr>
    </w:pPr>
    <w:r w:rsidRPr="00F4640C">
      <w:rPr>
        <w:sz w:val="16"/>
        <w:szCs w:val="16"/>
      </w:rPr>
      <w:t xml:space="preserve">Bijlage </w:t>
    </w:r>
    <w:r>
      <w:rPr>
        <w:sz w:val="16"/>
        <w:szCs w:val="16"/>
      </w:rPr>
      <w:t>2</w:t>
    </w:r>
    <w:r w:rsidRPr="00F4640C">
      <w:rPr>
        <w:sz w:val="16"/>
        <w:szCs w:val="16"/>
      </w:rPr>
      <w:t xml:space="preserve">1 bij Bestek </w:t>
    </w:r>
    <w:r w:rsidRPr="0075051D">
      <w:rPr>
        <w:sz w:val="16"/>
        <w:szCs w:val="16"/>
      </w:rPr>
      <w:t>uitvoeren van inspecties en integraal onderhoud aan gebouwen van het Ministerie van Defensie waarin o.a. Datacentra zijn gevestigd op diverse Defensie locaties.</w:t>
    </w:r>
  </w:p>
  <w:p w:rsidR="006A32FB" w:rsidRPr="0094098B" w:rsidRDefault="006A32FB" w:rsidP="0094098B">
    <w:pPr>
      <w:pStyle w:val="Ko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434AC"/>
    <w:multiLevelType w:val="multilevel"/>
    <w:tmpl w:val="3D0EAF46"/>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rPr>
    </w:lvl>
    <w:lvl w:ilvl="2">
      <w:start w:val="1"/>
      <w:numFmt w:val="decimal"/>
      <w:pStyle w:val="Kop3"/>
      <w:lvlText w:val="%1.%2.%3"/>
      <w:lvlJc w:val="left"/>
      <w:pPr>
        <w:tabs>
          <w:tab w:val="num" w:pos="0"/>
        </w:tabs>
        <w:ind w:left="0" w:hanging="1160"/>
      </w:pPr>
      <w:rPr>
        <w:rFonts w:hint="default"/>
        <w:i/>
      </w:rPr>
    </w:lvl>
    <w:lvl w:ilvl="3">
      <w:start w:val="1"/>
      <w:numFmt w:val="decimal"/>
      <w:pStyle w:val="Kop4"/>
      <w:lvlText w:val="%1.%2.%3.%4"/>
      <w:lvlJc w:val="left"/>
      <w:pPr>
        <w:tabs>
          <w:tab w:val="num" w:pos="0"/>
        </w:tabs>
        <w:ind w:left="0" w:hanging="1160"/>
      </w:pPr>
      <w:rPr>
        <w:rFonts w:hint="default"/>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
    <w:nsid w:val="383E6B6E"/>
    <w:multiLevelType w:val="hybridMultilevel"/>
    <w:tmpl w:val="7458B5BA"/>
    <w:lvl w:ilvl="0" w:tplc="D11A59C0">
      <w:numFmt w:val="bullet"/>
      <w:lvlText w:val="-"/>
      <w:lvlJc w:val="left"/>
      <w:pPr>
        <w:ind w:left="720" w:hanging="360"/>
      </w:pPr>
      <w:rPr>
        <w:rFonts w:ascii="Calibri" w:eastAsia="DejaVu Sans"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5D926F65"/>
    <w:multiLevelType w:val="hybridMultilevel"/>
    <w:tmpl w:val="91ACDE1E"/>
    <w:lvl w:ilvl="0" w:tplc="D11A59C0">
      <w:numFmt w:val="bullet"/>
      <w:lvlText w:val="-"/>
      <w:lvlJc w:val="left"/>
      <w:pPr>
        <w:ind w:left="720" w:hanging="360"/>
      </w:pPr>
      <w:rPr>
        <w:rFonts w:ascii="Calibri" w:eastAsia="DejaVu Sans"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60E20ADD"/>
    <w:multiLevelType w:val="hybridMultilevel"/>
    <w:tmpl w:val="F94ECC64"/>
    <w:lvl w:ilvl="0" w:tplc="CEEA838E">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7C396800"/>
    <w:multiLevelType w:val="hybridMultilevel"/>
    <w:tmpl w:val="0A98E4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rsids>
    <w:rsidRoot w:val="00A81679"/>
    <w:rsid w:val="00004F5D"/>
    <w:rsid w:val="0006553C"/>
    <w:rsid w:val="0007016D"/>
    <w:rsid w:val="000D1E80"/>
    <w:rsid w:val="000E7CDC"/>
    <w:rsid w:val="001204B5"/>
    <w:rsid w:val="00155C8A"/>
    <w:rsid w:val="0016614C"/>
    <w:rsid w:val="001937DC"/>
    <w:rsid w:val="001F1659"/>
    <w:rsid w:val="002078D6"/>
    <w:rsid w:val="002D194C"/>
    <w:rsid w:val="002F6D2E"/>
    <w:rsid w:val="0032198D"/>
    <w:rsid w:val="0035755A"/>
    <w:rsid w:val="003717C9"/>
    <w:rsid w:val="003E6F0E"/>
    <w:rsid w:val="00420635"/>
    <w:rsid w:val="00437393"/>
    <w:rsid w:val="00442E0F"/>
    <w:rsid w:val="004A3A88"/>
    <w:rsid w:val="004E14F9"/>
    <w:rsid w:val="004E39A2"/>
    <w:rsid w:val="004F3371"/>
    <w:rsid w:val="004F54B9"/>
    <w:rsid w:val="00517465"/>
    <w:rsid w:val="00536B48"/>
    <w:rsid w:val="00543B92"/>
    <w:rsid w:val="005814D8"/>
    <w:rsid w:val="005C507C"/>
    <w:rsid w:val="005F3D1A"/>
    <w:rsid w:val="00651AA7"/>
    <w:rsid w:val="00661BED"/>
    <w:rsid w:val="006A32FB"/>
    <w:rsid w:val="006A48E4"/>
    <w:rsid w:val="006B139A"/>
    <w:rsid w:val="00761AC2"/>
    <w:rsid w:val="007876CB"/>
    <w:rsid w:val="00810145"/>
    <w:rsid w:val="008A230E"/>
    <w:rsid w:val="008C241B"/>
    <w:rsid w:val="008E0258"/>
    <w:rsid w:val="0094098B"/>
    <w:rsid w:val="0097133F"/>
    <w:rsid w:val="0099400F"/>
    <w:rsid w:val="009940B6"/>
    <w:rsid w:val="009B0388"/>
    <w:rsid w:val="009E07B6"/>
    <w:rsid w:val="00A17C6E"/>
    <w:rsid w:val="00A31918"/>
    <w:rsid w:val="00A31D5B"/>
    <w:rsid w:val="00A42C0D"/>
    <w:rsid w:val="00A4315F"/>
    <w:rsid w:val="00A60FA9"/>
    <w:rsid w:val="00A75E61"/>
    <w:rsid w:val="00A81679"/>
    <w:rsid w:val="00AA6049"/>
    <w:rsid w:val="00AE054A"/>
    <w:rsid w:val="00AF6E32"/>
    <w:rsid w:val="00B16C74"/>
    <w:rsid w:val="00B8375A"/>
    <w:rsid w:val="00BF20DE"/>
    <w:rsid w:val="00C145FB"/>
    <w:rsid w:val="00C56C7C"/>
    <w:rsid w:val="00C65EAB"/>
    <w:rsid w:val="00CE0BCF"/>
    <w:rsid w:val="00CE4B72"/>
    <w:rsid w:val="00DD7530"/>
    <w:rsid w:val="00DF0844"/>
    <w:rsid w:val="00ED780B"/>
    <w:rsid w:val="00EE111A"/>
    <w:rsid w:val="00EE7488"/>
    <w:rsid w:val="00F0341C"/>
    <w:rsid w:val="00F22CDC"/>
    <w:rsid w:val="00F4492E"/>
    <w:rsid w:val="00F50E9B"/>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rsid w:val="00A81679"/>
    <w:pPr>
      <w:autoSpaceDN w:val="0"/>
      <w:spacing w:after="0" w:line="240" w:lineRule="exact"/>
      <w:textAlignment w:val="baseline"/>
    </w:pPr>
    <w:rPr>
      <w:rFonts w:ascii="Verdana" w:eastAsia="DejaVu Sans" w:hAnsi="Verdana" w:cs="Lohit Hindi"/>
      <w:color w:val="000000"/>
      <w:sz w:val="18"/>
      <w:szCs w:val="18"/>
      <w:lang w:eastAsia="nl-NL"/>
    </w:rPr>
  </w:style>
  <w:style w:type="paragraph" w:styleId="Kop1">
    <w:name w:val="heading 1"/>
    <w:aliases w:val="hoofdstuk"/>
    <w:basedOn w:val="Standaard"/>
    <w:next w:val="Standaard"/>
    <w:link w:val="Kop1Char"/>
    <w:autoRedefine/>
    <w:uiPriority w:val="99"/>
    <w:qFormat/>
    <w:rsid w:val="00A81679"/>
    <w:pPr>
      <w:pageBreakBefore/>
      <w:widowControl w:val="0"/>
      <w:numPr>
        <w:numId w:val="1"/>
      </w:numPr>
      <w:autoSpaceDN/>
      <w:spacing w:after="700" w:line="300" w:lineRule="atLeast"/>
      <w:textAlignment w:val="auto"/>
      <w:outlineLvl w:val="0"/>
    </w:pPr>
    <w:rPr>
      <w:rFonts w:eastAsia="Times New Roman" w:cs="Arial"/>
      <w:bCs/>
      <w:color w:val="auto"/>
      <w:kern w:val="32"/>
      <w:sz w:val="24"/>
    </w:rPr>
  </w:style>
  <w:style w:type="paragraph" w:styleId="Kop2">
    <w:name w:val="heading 2"/>
    <w:aliases w:val="paragraaf,Paragrf 2"/>
    <w:basedOn w:val="Kop1"/>
    <w:next w:val="Standaard"/>
    <w:link w:val="Kop2Char"/>
    <w:uiPriority w:val="99"/>
    <w:qFormat/>
    <w:rsid w:val="00A81679"/>
    <w:pPr>
      <w:keepNext/>
      <w:pageBreakBefore w:val="0"/>
      <w:numPr>
        <w:ilvl w:val="1"/>
      </w:numPr>
      <w:spacing w:before="200" w:after="0"/>
      <w:outlineLvl w:val="1"/>
    </w:pPr>
    <w:rPr>
      <w:b/>
      <w:bCs w:val="0"/>
      <w:iCs/>
      <w:sz w:val="18"/>
      <w:szCs w:val="28"/>
    </w:rPr>
  </w:style>
  <w:style w:type="paragraph" w:styleId="Kop3">
    <w:name w:val="heading 3"/>
    <w:aliases w:val="subparagraaf"/>
    <w:basedOn w:val="Kop1"/>
    <w:next w:val="Standaard"/>
    <w:link w:val="Kop3Char"/>
    <w:uiPriority w:val="99"/>
    <w:qFormat/>
    <w:rsid w:val="00A81679"/>
    <w:pPr>
      <w:keepNext/>
      <w:pageBreakBefore w:val="0"/>
      <w:numPr>
        <w:ilvl w:val="2"/>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qFormat/>
    <w:rsid w:val="00A81679"/>
    <w:pPr>
      <w:keepNext/>
      <w:pageBreakBefore w:val="0"/>
      <w:numPr>
        <w:ilvl w:val="3"/>
      </w:numPr>
      <w:spacing w:before="240" w:after="0" w:line="240" w:lineRule="atLeast"/>
      <w:outlineLvl w:val="3"/>
    </w:pPr>
    <w:rPr>
      <w:b/>
      <w:bCs w:val="0"/>
      <w:sz w:val="16"/>
      <w:szCs w:val="28"/>
    </w:rPr>
  </w:style>
  <w:style w:type="paragraph" w:styleId="Kop5">
    <w:name w:val="heading 5"/>
    <w:basedOn w:val="Standaard"/>
    <w:next w:val="Standaard"/>
    <w:link w:val="Kop5Char"/>
    <w:qFormat/>
    <w:rsid w:val="00A81679"/>
    <w:pPr>
      <w:numPr>
        <w:ilvl w:val="4"/>
        <w:numId w:val="1"/>
      </w:numPr>
      <w:autoSpaceDN/>
      <w:spacing w:before="240" w:after="60" w:line="240" w:lineRule="atLeast"/>
      <w:textAlignment w:val="auto"/>
      <w:outlineLvl w:val="4"/>
    </w:pPr>
    <w:rPr>
      <w:rFonts w:eastAsia="Times New Roman" w:cs="Times New Roman"/>
      <w:b/>
      <w:bCs/>
      <w:i/>
      <w:iCs/>
      <w:color w:val="auto"/>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A81679"/>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81679"/>
  </w:style>
  <w:style w:type="paragraph" w:styleId="Voettekst">
    <w:name w:val="footer"/>
    <w:basedOn w:val="Standaard"/>
    <w:link w:val="VoettekstChar"/>
    <w:uiPriority w:val="99"/>
    <w:unhideWhenUsed/>
    <w:rsid w:val="00A8167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81679"/>
  </w:style>
  <w:style w:type="character" w:customStyle="1" w:styleId="Kop1Char">
    <w:name w:val="Kop 1 Char"/>
    <w:aliases w:val="hoofdstuk Char"/>
    <w:basedOn w:val="Standaardalinea-lettertype"/>
    <w:link w:val="Kop1"/>
    <w:uiPriority w:val="99"/>
    <w:rsid w:val="00A81679"/>
    <w:rPr>
      <w:rFonts w:ascii="Verdana" w:eastAsia="Times New Roman" w:hAnsi="Verdana" w:cs="Arial"/>
      <w:bCs/>
      <w:kern w:val="32"/>
      <w:sz w:val="24"/>
      <w:szCs w:val="18"/>
      <w:lang w:eastAsia="nl-NL"/>
    </w:rPr>
  </w:style>
  <w:style w:type="character" w:customStyle="1" w:styleId="Kop2Char">
    <w:name w:val="Kop 2 Char"/>
    <w:aliases w:val="paragraaf Char,Paragrf 2 Char"/>
    <w:basedOn w:val="Standaardalinea-lettertype"/>
    <w:link w:val="Kop2"/>
    <w:uiPriority w:val="99"/>
    <w:rsid w:val="00A81679"/>
    <w:rPr>
      <w:rFonts w:ascii="Verdana" w:eastAsia="Times New Roman" w:hAnsi="Verdana" w:cs="Arial"/>
      <w:b/>
      <w:iCs/>
      <w:kern w:val="32"/>
      <w:sz w:val="18"/>
      <w:szCs w:val="28"/>
      <w:lang w:eastAsia="nl-NL"/>
    </w:rPr>
  </w:style>
  <w:style w:type="character" w:customStyle="1" w:styleId="Kop3Char">
    <w:name w:val="Kop 3 Char"/>
    <w:aliases w:val="subparagraaf Char"/>
    <w:basedOn w:val="Standaardalinea-lettertype"/>
    <w:link w:val="Kop3"/>
    <w:uiPriority w:val="99"/>
    <w:rsid w:val="00A81679"/>
    <w:rPr>
      <w:rFonts w:ascii="Verdana" w:eastAsia="Times New Roman" w:hAnsi="Verdana" w:cs="Arial"/>
      <w:i/>
      <w:kern w:val="32"/>
      <w:sz w:val="18"/>
      <w:szCs w:val="26"/>
      <w:lang w:eastAsia="nl-NL"/>
    </w:rPr>
  </w:style>
  <w:style w:type="character" w:customStyle="1" w:styleId="Kop4Char">
    <w:name w:val="Kop 4 Char"/>
    <w:aliases w:val="subsubparagraaf Char"/>
    <w:basedOn w:val="Standaardalinea-lettertype"/>
    <w:link w:val="Kop4"/>
    <w:rsid w:val="00A81679"/>
    <w:rPr>
      <w:rFonts w:ascii="Verdana" w:eastAsia="Times New Roman" w:hAnsi="Verdana" w:cs="Arial"/>
      <w:b/>
      <w:kern w:val="32"/>
      <w:sz w:val="16"/>
      <w:szCs w:val="28"/>
      <w:lang w:eastAsia="nl-NL"/>
    </w:rPr>
  </w:style>
  <w:style w:type="character" w:customStyle="1" w:styleId="Kop5Char">
    <w:name w:val="Kop 5 Char"/>
    <w:basedOn w:val="Standaardalinea-lettertype"/>
    <w:link w:val="Kop5"/>
    <w:rsid w:val="00A81679"/>
    <w:rPr>
      <w:rFonts w:ascii="Verdana" w:eastAsia="Times New Roman" w:hAnsi="Verdana" w:cs="Times New Roman"/>
      <w:b/>
      <w:bCs/>
      <w:i/>
      <w:iCs/>
      <w:sz w:val="26"/>
      <w:szCs w:val="26"/>
      <w:lang w:eastAsia="nl-NL"/>
    </w:rPr>
  </w:style>
  <w:style w:type="paragraph" w:styleId="Lijstalinea">
    <w:name w:val="List Paragraph"/>
    <w:basedOn w:val="Standaard"/>
    <w:link w:val="LijstalineaChar"/>
    <w:uiPriority w:val="34"/>
    <w:qFormat/>
    <w:rsid w:val="00A81679"/>
    <w:pPr>
      <w:autoSpaceDN/>
      <w:spacing w:line="240" w:lineRule="atLeast"/>
      <w:ind w:left="720"/>
      <w:contextualSpacing/>
      <w:textAlignment w:val="auto"/>
    </w:pPr>
    <w:rPr>
      <w:rFonts w:eastAsia="Times New Roman" w:cs="Times New Roman"/>
      <w:color w:val="auto"/>
      <w:szCs w:val="24"/>
    </w:rPr>
  </w:style>
  <w:style w:type="character" w:customStyle="1" w:styleId="LijstalineaChar">
    <w:name w:val="Lijstalinea Char"/>
    <w:basedOn w:val="Standaardalinea-lettertype"/>
    <w:link w:val="Lijstalinea"/>
    <w:uiPriority w:val="34"/>
    <w:rsid w:val="00A81679"/>
    <w:rPr>
      <w:rFonts w:ascii="Verdana" w:eastAsia="Times New Roman" w:hAnsi="Verdana" w:cs="Times New Roman"/>
      <w:sz w:val="18"/>
      <w:szCs w:val="24"/>
      <w:lang w:eastAsia="nl-NL"/>
    </w:rPr>
  </w:style>
  <w:style w:type="character" w:styleId="Verwijzingopmerking">
    <w:name w:val="annotation reference"/>
    <w:basedOn w:val="Standaardalinea-lettertype"/>
    <w:uiPriority w:val="99"/>
    <w:semiHidden/>
    <w:rsid w:val="00A81679"/>
    <w:rPr>
      <w:sz w:val="16"/>
      <w:szCs w:val="16"/>
    </w:rPr>
  </w:style>
  <w:style w:type="paragraph" w:styleId="Tekstopmerking">
    <w:name w:val="annotation text"/>
    <w:basedOn w:val="Standaard"/>
    <w:link w:val="TekstopmerkingChar"/>
    <w:uiPriority w:val="99"/>
    <w:semiHidden/>
    <w:rsid w:val="00A81679"/>
    <w:pPr>
      <w:autoSpaceDN/>
      <w:spacing w:line="240" w:lineRule="atLeast"/>
      <w:textAlignment w:val="auto"/>
    </w:pPr>
    <w:rPr>
      <w:rFonts w:eastAsia="Times New Roman" w:cs="Times New Roman"/>
      <w:color w:val="auto"/>
      <w:sz w:val="20"/>
      <w:szCs w:val="20"/>
    </w:rPr>
  </w:style>
  <w:style w:type="character" w:customStyle="1" w:styleId="TekstopmerkingChar">
    <w:name w:val="Tekst opmerking Char"/>
    <w:basedOn w:val="Standaardalinea-lettertype"/>
    <w:link w:val="Tekstopmerking"/>
    <w:uiPriority w:val="99"/>
    <w:semiHidden/>
    <w:rsid w:val="00A81679"/>
    <w:rPr>
      <w:rFonts w:ascii="Verdana" w:eastAsia="Times New Roman" w:hAnsi="Verdana" w:cs="Times New Roman"/>
      <w:sz w:val="20"/>
      <w:szCs w:val="20"/>
      <w:lang w:eastAsia="nl-NL"/>
    </w:rPr>
  </w:style>
  <w:style w:type="paragraph" w:styleId="Ballontekst">
    <w:name w:val="Balloon Text"/>
    <w:basedOn w:val="Standaard"/>
    <w:link w:val="BallontekstChar"/>
    <w:uiPriority w:val="99"/>
    <w:semiHidden/>
    <w:unhideWhenUsed/>
    <w:rsid w:val="00A81679"/>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81679"/>
    <w:rPr>
      <w:rFonts w:ascii="Tahoma" w:eastAsia="DejaVu Sans" w:hAnsi="Tahoma" w:cs="Tahoma"/>
      <w:color w:val="000000"/>
      <w:sz w:val="16"/>
      <w:szCs w:val="16"/>
      <w:lang w:eastAsia="nl-NL"/>
    </w:rPr>
  </w:style>
  <w:style w:type="paragraph" w:styleId="Plattetekst">
    <w:name w:val="Body Text"/>
    <w:basedOn w:val="Standaard"/>
    <w:link w:val="PlattetekstChar"/>
    <w:uiPriority w:val="99"/>
    <w:unhideWhenUsed/>
    <w:rsid w:val="001F1659"/>
    <w:pPr>
      <w:spacing w:after="120"/>
    </w:pPr>
  </w:style>
  <w:style w:type="character" w:customStyle="1" w:styleId="PlattetekstChar">
    <w:name w:val="Platte tekst Char"/>
    <w:basedOn w:val="Standaardalinea-lettertype"/>
    <w:link w:val="Plattetekst"/>
    <w:uiPriority w:val="99"/>
    <w:rsid w:val="001F1659"/>
    <w:rPr>
      <w:rFonts w:ascii="Verdana" w:eastAsia="DejaVu Sans" w:hAnsi="Verdana" w:cs="Lohit Hindi"/>
      <w:color w:val="000000"/>
      <w:sz w:val="18"/>
      <w:szCs w:val="18"/>
      <w:lang w:eastAsia="nl-NL"/>
    </w:rPr>
  </w:style>
  <w:style w:type="paragraph" w:styleId="Plattetekstinspringen">
    <w:name w:val="Body Text Indent"/>
    <w:basedOn w:val="Standaard"/>
    <w:link w:val="PlattetekstinspringenChar"/>
    <w:uiPriority w:val="99"/>
    <w:unhideWhenUsed/>
    <w:rsid w:val="001F1659"/>
    <w:pPr>
      <w:spacing w:after="120"/>
      <w:ind w:left="283"/>
    </w:pPr>
  </w:style>
  <w:style w:type="character" w:customStyle="1" w:styleId="PlattetekstinspringenChar">
    <w:name w:val="Platte tekst inspringen Char"/>
    <w:basedOn w:val="Standaardalinea-lettertype"/>
    <w:link w:val="Plattetekstinspringen"/>
    <w:uiPriority w:val="99"/>
    <w:rsid w:val="001F1659"/>
    <w:rPr>
      <w:rFonts w:ascii="Verdana" w:eastAsia="DejaVu Sans" w:hAnsi="Verdana" w:cs="Lohit Hindi"/>
      <w:color w:val="000000"/>
      <w:sz w:val="18"/>
      <w:szCs w:val="18"/>
      <w:lang w:eastAsia="nl-NL"/>
    </w:rPr>
  </w:style>
  <w:style w:type="paragraph" w:styleId="Platteteksteersteinspringing2">
    <w:name w:val="Body Text First Indent 2"/>
    <w:basedOn w:val="Plattetekstinspringen"/>
    <w:link w:val="Platteteksteersteinspringing2Char"/>
    <w:uiPriority w:val="99"/>
    <w:unhideWhenUsed/>
    <w:rsid w:val="001F1659"/>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rsid w:val="001F1659"/>
  </w:style>
  <w:style w:type="paragraph" w:styleId="Onderwerpvanopmerking">
    <w:name w:val="annotation subject"/>
    <w:basedOn w:val="Tekstopmerking"/>
    <w:next w:val="Tekstopmerking"/>
    <w:link w:val="OnderwerpvanopmerkingChar"/>
    <w:uiPriority w:val="99"/>
    <w:semiHidden/>
    <w:unhideWhenUsed/>
    <w:rsid w:val="00F0341C"/>
    <w:pPr>
      <w:autoSpaceDN w:val="0"/>
      <w:spacing w:line="240" w:lineRule="auto"/>
      <w:textAlignment w:val="baseline"/>
    </w:pPr>
    <w:rPr>
      <w:rFonts w:eastAsia="DejaVu Sans" w:cs="Lohit Hindi"/>
      <w:b/>
      <w:bCs/>
      <w:color w:val="000000"/>
    </w:rPr>
  </w:style>
  <w:style w:type="character" w:customStyle="1" w:styleId="OnderwerpvanopmerkingChar">
    <w:name w:val="Onderwerp van opmerking Char"/>
    <w:basedOn w:val="TekstopmerkingChar"/>
    <w:link w:val="Onderwerpvanopmerking"/>
    <w:uiPriority w:val="99"/>
    <w:semiHidden/>
    <w:rsid w:val="00F0341C"/>
    <w:rPr>
      <w:rFonts w:eastAsia="DejaVu Sans" w:cs="Lohit Hindi"/>
      <w:b/>
      <w:bCs/>
      <w:color w:val="000000"/>
    </w:rPr>
  </w:style>
  <w:style w:type="paragraph" w:customStyle="1" w:styleId="Verdana6">
    <w:name w:val="Verdana 6"/>
    <w:aliases w:val="5 rechts uitgelijnd"/>
    <w:basedOn w:val="Standaard"/>
    <w:next w:val="Standaard"/>
    <w:rsid w:val="00B16C74"/>
    <w:pPr>
      <w:spacing w:line="180" w:lineRule="exact"/>
      <w:jc w:val="right"/>
      <w:textAlignment w:val="auto"/>
    </w:pPr>
    <w:rPr>
      <w:sz w:val="13"/>
      <w:szCs w:val="13"/>
    </w:rPr>
  </w:style>
</w:styles>
</file>

<file path=word/webSettings.xml><?xml version="1.0" encoding="utf-8"?>
<w:webSettings xmlns:r="http://schemas.openxmlformats.org/officeDocument/2006/relationships" xmlns:w="http://schemas.openxmlformats.org/wordprocessingml/2006/main">
  <w:divs>
    <w:div w:id="410470658">
      <w:bodyDiv w:val="1"/>
      <w:marLeft w:val="0"/>
      <w:marRight w:val="0"/>
      <w:marTop w:val="0"/>
      <w:marBottom w:val="0"/>
      <w:divBdr>
        <w:top w:val="none" w:sz="0" w:space="0" w:color="auto"/>
        <w:left w:val="none" w:sz="0" w:space="0" w:color="auto"/>
        <w:bottom w:val="none" w:sz="0" w:space="0" w:color="auto"/>
        <w:right w:val="none" w:sz="0" w:space="0" w:color="auto"/>
      </w:divBdr>
    </w:div>
    <w:div w:id="810057711">
      <w:bodyDiv w:val="1"/>
      <w:marLeft w:val="0"/>
      <w:marRight w:val="0"/>
      <w:marTop w:val="0"/>
      <w:marBottom w:val="0"/>
      <w:divBdr>
        <w:top w:val="none" w:sz="0" w:space="0" w:color="auto"/>
        <w:left w:val="none" w:sz="0" w:space="0" w:color="auto"/>
        <w:bottom w:val="none" w:sz="0" w:space="0" w:color="auto"/>
        <w:right w:val="none" w:sz="0" w:space="0" w:color="auto"/>
      </w:divBdr>
    </w:div>
    <w:div w:id="828863749">
      <w:bodyDiv w:val="1"/>
      <w:marLeft w:val="0"/>
      <w:marRight w:val="0"/>
      <w:marTop w:val="0"/>
      <w:marBottom w:val="0"/>
      <w:divBdr>
        <w:top w:val="none" w:sz="0" w:space="0" w:color="auto"/>
        <w:left w:val="none" w:sz="0" w:space="0" w:color="auto"/>
        <w:bottom w:val="none" w:sz="0" w:space="0" w:color="auto"/>
        <w:right w:val="none" w:sz="0" w:space="0" w:color="auto"/>
      </w:divBdr>
    </w:div>
    <w:div w:id="1623804575">
      <w:bodyDiv w:val="1"/>
      <w:marLeft w:val="0"/>
      <w:marRight w:val="0"/>
      <w:marTop w:val="0"/>
      <w:marBottom w:val="0"/>
      <w:divBdr>
        <w:top w:val="none" w:sz="0" w:space="0" w:color="auto"/>
        <w:left w:val="none" w:sz="0" w:space="0" w:color="auto"/>
        <w:bottom w:val="none" w:sz="0" w:space="0" w:color="auto"/>
        <w:right w:val="none" w:sz="0" w:space="0" w:color="auto"/>
      </w:divBdr>
    </w:div>
    <w:div w:id="1790664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8668D5A25CB84185774ADB4E118045" ma:contentTypeVersion="0" ma:contentTypeDescription="Een nieuw document maken." ma:contentTypeScope="" ma:versionID="22fbf20f11fc8d7b1687b66821aa805d">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01ECE0-C07E-4F80-B37A-6835700350EB}"/>
</file>

<file path=customXml/itemProps2.xml><?xml version="1.0" encoding="utf-8"?>
<ds:datastoreItem xmlns:ds="http://schemas.openxmlformats.org/officeDocument/2006/customXml" ds:itemID="{B9B09CA7-2B93-4984-B24E-B9269493A9A2}"/>
</file>

<file path=customXml/itemProps3.xml><?xml version="1.0" encoding="utf-8"?>
<ds:datastoreItem xmlns:ds="http://schemas.openxmlformats.org/officeDocument/2006/customXml" ds:itemID="{D479919D-65A6-4292-A1B7-D7C577F6153D}"/>
</file>

<file path=customXml/itemProps4.xml><?xml version="1.0" encoding="utf-8"?>
<ds:datastoreItem xmlns:ds="http://schemas.openxmlformats.org/officeDocument/2006/customXml" ds:itemID="{B166A3A6-B9C1-4E67-AA6A-D005E676786F}"/>
</file>

<file path=docProps/app.xml><?xml version="1.0" encoding="utf-8"?>
<Properties xmlns="http://schemas.openxmlformats.org/officeDocument/2006/extended-properties" xmlns:vt="http://schemas.openxmlformats.org/officeDocument/2006/docPropsVTypes">
  <Template>Normal</Template>
  <TotalTime>0</TotalTime>
  <Pages>3</Pages>
  <Words>1161</Words>
  <Characters>6388</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7534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Guntlisbergen</dc:creator>
  <cp:lastModifiedBy>Roording</cp:lastModifiedBy>
  <cp:revision>2</cp:revision>
  <cp:lastPrinted>2018-07-13T07:26:00Z</cp:lastPrinted>
  <dcterms:created xsi:type="dcterms:W3CDTF">2018-07-19T09:24:00Z</dcterms:created>
  <dcterms:modified xsi:type="dcterms:W3CDTF">2018-07-19T09:24:00Z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0x0101000D8668D5A25CB84185774ADB4E118045</vt:lpwstr>
  </property>
</Properties>
</file>