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7C" w:rsidRDefault="0018019B">
      <w:pPr>
        <w:spacing w:after="31" w:line="259" w:lineRule="auto"/>
        <w:ind w:left="0" w:firstLine="0"/>
      </w:pPr>
      <w:r>
        <w:t xml:space="preserve">                                                                       </w:t>
      </w:r>
      <w:r w:rsidR="00C357E2">
        <w:tab/>
      </w:r>
      <w:r w:rsidR="00C357E2">
        <w:tab/>
      </w:r>
      <w:r w:rsidR="00C357E2">
        <w:tab/>
      </w:r>
      <w:r w:rsidR="00C357E2">
        <w:tab/>
      </w:r>
      <w:r w:rsidR="00C357E2">
        <w:tab/>
      </w:r>
      <w:r>
        <w:t xml:space="preserve">    </w:t>
      </w:r>
      <w:r w:rsidR="00C357E2">
        <w:rPr>
          <w:noProof/>
        </w:rPr>
        <w:drawing>
          <wp:inline distT="0" distB="0" distL="0" distR="0" wp14:anchorId="5349CBBB" wp14:editId="5119A6CA">
            <wp:extent cx="1370404" cy="468347"/>
            <wp:effectExtent l="0" t="0" r="1270" b="8255"/>
            <wp:docPr id="5" name="Afbeelding 5" descr="VUmc_logo_100p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Umc_logo_100pt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2448" cy="479298"/>
                    </a:xfrm>
                    <a:prstGeom prst="rect">
                      <a:avLst/>
                    </a:prstGeom>
                    <a:noFill/>
                    <a:ln>
                      <a:noFill/>
                    </a:ln>
                  </pic:spPr>
                </pic:pic>
              </a:graphicData>
            </a:graphic>
          </wp:inline>
        </w:drawing>
      </w:r>
      <w:r>
        <w:t xml:space="preserve">                                                                    </w:t>
      </w:r>
    </w:p>
    <w:p w:rsidR="00C357E2" w:rsidRDefault="00C357E2">
      <w:pPr>
        <w:spacing w:after="4" w:line="250" w:lineRule="auto"/>
        <w:ind w:left="95"/>
        <w:rPr>
          <w:b/>
        </w:rPr>
      </w:pPr>
    </w:p>
    <w:p w:rsidR="00C357E2" w:rsidRDefault="00C357E2">
      <w:pPr>
        <w:spacing w:after="4" w:line="250" w:lineRule="auto"/>
        <w:ind w:left="95"/>
        <w:rPr>
          <w:b/>
        </w:rPr>
      </w:pPr>
    </w:p>
    <w:p w:rsidR="00C357E2" w:rsidRDefault="00C357E2">
      <w:pPr>
        <w:spacing w:after="4" w:line="250" w:lineRule="auto"/>
        <w:ind w:left="95"/>
        <w:rPr>
          <w:b/>
        </w:rPr>
      </w:pPr>
    </w:p>
    <w:p w:rsidR="005D517C" w:rsidRDefault="0018019B">
      <w:pPr>
        <w:spacing w:after="4" w:line="250" w:lineRule="auto"/>
        <w:ind w:left="95"/>
      </w:pPr>
      <w:r>
        <w:rPr>
          <w:b/>
        </w:rPr>
        <w:t xml:space="preserve">NL‐Amsterdam VUmc: AANSCHAF VAN </w:t>
      </w:r>
      <w:r w:rsidR="000F584B">
        <w:rPr>
          <w:b/>
        </w:rPr>
        <w:t xml:space="preserve">SEQUENCY </w:t>
      </w:r>
      <w:r>
        <w:rPr>
          <w:b/>
        </w:rPr>
        <w:t xml:space="preserve">APPARATUUR </w:t>
      </w:r>
      <w:r w:rsidR="000F584B">
        <w:rPr>
          <w:b/>
        </w:rPr>
        <w:t>TBV GENETISCHE TESTEN.</w:t>
      </w:r>
    </w:p>
    <w:p w:rsidR="005D517C" w:rsidRDefault="000F584B">
      <w:pPr>
        <w:spacing w:after="4" w:line="250" w:lineRule="auto"/>
        <w:ind w:left="95"/>
      </w:pPr>
      <w:r>
        <w:rPr>
          <w:b/>
        </w:rPr>
        <w:t>– REFERENTIE MO‐EU‐LAB‐18‐08-RH-</w:t>
      </w:r>
      <w:r w:rsidR="0018019B">
        <w:rPr>
          <w:b/>
        </w:rPr>
        <w:t xml:space="preserve"> </w:t>
      </w:r>
    </w:p>
    <w:p w:rsidR="005D517C" w:rsidRDefault="0018019B">
      <w:pPr>
        <w:spacing w:after="0" w:line="259" w:lineRule="auto"/>
        <w:ind w:left="0" w:firstLine="0"/>
        <w:rPr>
          <w:b/>
        </w:rPr>
      </w:pPr>
      <w:r>
        <w:rPr>
          <w:b/>
        </w:rPr>
        <w:t xml:space="preserve"> </w:t>
      </w:r>
      <w:bookmarkStart w:id="0" w:name="_GoBack"/>
      <w:bookmarkEnd w:id="0"/>
    </w:p>
    <w:p w:rsidR="00494E0B" w:rsidRDefault="00494E0B">
      <w:pPr>
        <w:spacing w:after="0" w:line="259" w:lineRule="auto"/>
        <w:ind w:left="0" w:firstLine="0"/>
      </w:pPr>
    </w:p>
    <w:p w:rsidR="005D517C" w:rsidRDefault="0018019B">
      <w:pPr>
        <w:spacing w:after="4" w:line="250" w:lineRule="auto"/>
        <w:ind w:left="95" w:right="1261"/>
      </w:pPr>
      <w:r>
        <w:rPr>
          <w:b/>
        </w:rPr>
        <w:t xml:space="preserve">CPV‐classificatie (Gemeenschappelijke woordenlijst overheidsopdrachten): 38000000‐5 Laboratorium instrumenten </w:t>
      </w:r>
    </w:p>
    <w:p w:rsidR="005D517C" w:rsidRDefault="0018019B">
      <w:pPr>
        <w:spacing w:after="0" w:line="259" w:lineRule="auto"/>
        <w:ind w:left="0" w:firstLine="0"/>
        <w:rPr>
          <w:b/>
        </w:rPr>
      </w:pPr>
      <w:r>
        <w:rPr>
          <w:b/>
        </w:rPr>
        <w:t xml:space="preserve"> </w:t>
      </w:r>
    </w:p>
    <w:p w:rsidR="00494E0B" w:rsidRDefault="00494E0B">
      <w:pPr>
        <w:spacing w:after="0" w:line="259" w:lineRule="auto"/>
        <w:ind w:left="0" w:firstLine="0"/>
      </w:pPr>
    </w:p>
    <w:p w:rsidR="005D517C" w:rsidRDefault="0018019B">
      <w:pPr>
        <w:ind w:left="137"/>
      </w:pPr>
      <w:r>
        <w:t xml:space="preserve">ONDERHANDELINGSPROCEDURE ZONDER BEKENDMAKING VAN EEN AANKONDIGING VAN EEN OPDRACHT (ART. 2.32 AW 2012, GEWIJZIGD BIJ AANBESTEDINGSBESLUIT 2016) </w:t>
      </w:r>
    </w:p>
    <w:p w:rsidR="005D517C" w:rsidRDefault="0018019B">
      <w:pPr>
        <w:spacing w:after="0" w:line="259" w:lineRule="auto"/>
        <w:ind w:left="0" w:firstLine="0"/>
      </w:pPr>
      <w:r>
        <w:t xml:space="preserve"> </w:t>
      </w:r>
    </w:p>
    <w:p w:rsidR="00494E0B" w:rsidRDefault="00494E0B">
      <w:pPr>
        <w:spacing w:after="0" w:line="259" w:lineRule="auto"/>
        <w:ind w:left="0" w:firstLine="0"/>
      </w:pPr>
    </w:p>
    <w:p w:rsidR="005D517C" w:rsidRDefault="0018019B">
      <w:pPr>
        <w:ind w:left="137"/>
      </w:pPr>
      <w:r>
        <w:t xml:space="preserve">VUmc is voornemens een opdracht voor de aanschaf van </w:t>
      </w:r>
      <w:r w:rsidR="000F584B">
        <w:t xml:space="preserve">een </w:t>
      </w:r>
      <w:proofErr w:type="spellStart"/>
      <w:r w:rsidR="000F584B">
        <w:t>HiSeq</w:t>
      </w:r>
      <w:proofErr w:type="spellEnd"/>
      <w:r w:rsidR="000F584B">
        <w:t xml:space="preserve"> 4000 te gunnen aan </w:t>
      </w:r>
      <w:r w:rsidR="000F584B" w:rsidRPr="000F584B">
        <w:t xml:space="preserve">Illumina Netherlands B.V., gevestigd te Freddy van </w:t>
      </w:r>
      <w:proofErr w:type="spellStart"/>
      <w:r w:rsidR="000F584B" w:rsidRPr="000F584B">
        <w:t>Riemsdijkweg</w:t>
      </w:r>
      <w:proofErr w:type="spellEnd"/>
      <w:r w:rsidR="000F584B" w:rsidRPr="000F584B">
        <w:t xml:space="preserve"> 15, 5657 EE, Eindhoven</w:t>
      </w:r>
      <w:r w:rsidR="000F584B">
        <w:t>.</w:t>
      </w:r>
    </w:p>
    <w:p w:rsidR="005D517C" w:rsidRDefault="0018019B">
      <w:pPr>
        <w:spacing w:after="0" w:line="259" w:lineRule="auto"/>
        <w:ind w:left="100" w:firstLine="0"/>
      </w:pPr>
      <w:r>
        <w:rPr>
          <w:sz w:val="21"/>
        </w:rPr>
        <w:t xml:space="preserve"> </w:t>
      </w:r>
    </w:p>
    <w:p w:rsidR="005D517C" w:rsidRDefault="0018019B">
      <w:pPr>
        <w:ind w:left="137"/>
      </w:pPr>
      <w:r>
        <w:t xml:space="preserve">De aanbestedende dienst kan de onderhandelingsprocedure zonder aankondiging toepassen aangezien mededinging om technische redenen ontbreekt. </w:t>
      </w:r>
    </w:p>
    <w:p w:rsidR="005D517C" w:rsidRDefault="0018019B">
      <w:pPr>
        <w:spacing w:after="0" w:line="259" w:lineRule="auto"/>
        <w:ind w:left="100" w:firstLine="0"/>
      </w:pPr>
      <w:r>
        <w:t xml:space="preserve"> </w:t>
      </w:r>
    </w:p>
    <w:p w:rsidR="00494E0B" w:rsidRDefault="00494E0B">
      <w:pPr>
        <w:spacing w:after="0" w:line="259" w:lineRule="auto"/>
        <w:ind w:left="100" w:firstLine="0"/>
      </w:pPr>
    </w:p>
    <w:p w:rsidR="005D517C" w:rsidRDefault="0018019B">
      <w:pPr>
        <w:pStyle w:val="Kop1"/>
        <w:ind w:left="95" w:right="6921"/>
        <w:rPr>
          <w:i w:val="0"/>
        </w:rPr>
      </w:pPr>
      <w:r>
        <w:t>Aanleiding</w:t>
      </w:r>
      <w:r>
        <w:rPr>
          <w:i w:val="0"/>
        </w:rPr>
        <w:t xml:space="preserve"> </w:t>
      </w:r>
    </w:p>
    <w:p w:rsidR="000F584B" w:rsidRDefault="000F584B" w:rsidP="000F584B"/>
    <w:p w:rsidR="00910B9B" w:rsidRDefault="00DB7FFE" w:rsidP="00DB7FFE">
      <w:pPr>
        <w:ind w:left="85" w:firstLine="0"/>
      </w:pPr>
      <w:r>
        <w:t xml:space="preserve">Het aan te schaffen apparaat moet grote hoeveelheden Next </w:t>
      </w:r>
      <w:proofErr w:type="spellStart"/>
      <w:r>
        <w:t>Generation</w:t>
      </w:r>
      <w:proofErr w:type="spellEnd"/>
      <w:r>
        <w:t xml:space="preserve"> </w:t>
      </w:r>
      <w:proofErr w:type="spellStart"/>
      <w:r>
        <w:t>Sequencing</w:t>
      </w:r>
      <w:proofErr w:type="spellEnd"/>
      <w:r>
        <w:t xml:space="preserve"> data genereren. Het zal worden gebruikt voor </w:t>
      </w:r>
      <w:proofErr w:type="spellStart"/>
      <w:r>
        <w:t>Whole</w:t>
      </w:r>
      <w:proofErr w:type="spellEnd"/>
      <w:r>
        <w:t xml:space="preserve"> </w:t>
      </w:r>
      <w:proofErr w:type="spellStart"/>
      <w:r>
        <w:t>Exome</w:t>
      </w:r>
      <w:proofErr w:type="spellEnd"/>
      <w:r>
        <w:t xml:space="preserve"> </w:t>
      </w:r>
      <w:proofErr w:type="spellStart"/>
      <w:r>
        <w:t>Sequencing</w:t>
      </w:r>
      <w:proofErr w:type="spellEnd"/>
      <w:r>
        <w:t xml:space="preserve"> (WES), virtuele </w:t>
      </w:r>
      <w:proofErr w:type="spellStart"/>
      <w:r>
        <w:t>genpakketten</w:t>
      </w:r>
      <w:proofErr w:type="spellEnd"/>
      <w:r>
        <w:t xml:space="preserve">, </w:t>
      </w:r>
      <w:proofErr w:type="spellStart"/>
      <w:r>
        <w:t>shallow</w:t>
      </w:r>
      <w:proofErr w:type="spellEnd"/>
      <w:r>
        <w:t xml:space="preserve"> </w:t>
      </w:r>
      <w:proofErr w:type="spellStart"/>
      <w:r>
        <w:t>sequencing</w:t>
      </w:r>
      <w:proofErr w:type="spellEnd"/>
      <w:r>
        <w:t xml:space="preserve">, liquid biopsies, NIPT (niet TRIDENT), </w:t>
      </w:r>
      <w:proofErr w:type="spellStart"/>
      <w:r>
        <w:t>transcriptoom</w:t>
      </w:r>
      <w:proofErr w:type="spellEnd"/>
      <w:r>
        <w:t xml:space="preserve"> </w:t>
      </w:r>
      <w:proofErr w:type="spellStart"/>
      <w:r>
        <w:t>sequencing</w:t>
      </w:r>
      <w:proofErr w:type="spellEnd"/>
      <w:r>
        <w:t xml:space="preserve">, CRISPR/CAS screening etc. De </w:t>
      </w:r>
      <w:proofErr w:type="spellStart"/>
      <w:r>
        <w:t>sequencer</w:t>
      </w:r>
      <w:proofErr w:type="spellEnd"/>
      <w:r>
        <w:t xml:space="preserve"> moet in staat zijn om korte fragmenten te analyseren, sequentielengte van 35-200 </w:t>
      </w:r>
      <w:proofErr w:type="spellStart"/>
      <w:r>
        <w:t>nt</w:t>
      </w:r>
      <w:proofErr w:type="spellEnd"/>
      <w:r>
        <w:t xml:space="preserve">, zowel single </w:t>
      </w:r>
      <w:proofErr w:type="spellStart"/>
      <w:r>
        <w:t>read</w:t>
      </w:r>
      <w:proofErr w:type="spellEnd"/>
      <w:r>
        <w:t xml:space="preserve"> als </w:t>
      </w:r>
      <w:proofErr w:type="spellStart"/>
      <w:r>
        <w:t>paired</w:t>
      </w:r>
      <w:proofErr w:type="spellEnd"/>
      <w:r>
        <w:t xml:space="preserve"> end. Zogeheten long </w:t>
      </w:r>
      <w:proofErr w:type="spellStart"/>
      <w:r>
        <w:t>reads</w:t>
      </w:r>
      <w:proofErr w:type="spellEnd"/>
      <w:r>
        <w:t xml:space="preserve"> zijn niet nodig. De </w:t>
      </w:r>
      <w:proofErr w:type="spellStart"/>
      <w:r>
        <w:t>througput</w:t>
      </w:r>
      <w:proofErr w:type="spellEnd"/>
      <w:r>
        <w:t xml:space="preserve"> moet minimaal 250Gb per dag bedragen, bij voorkeur meer. Er is geen ruimte in het laboratorium om meer kleine apparaten neer te zetten. Er zijn geen andere</w:t>
      </w:r>
      <w:r w:rsidR="00494E0B">
        <w:t xml:space="preserve"> leveranciers </w:t>
      </w:r>
      <w:r>
        <w:t>die aan onze eisen voldoen.</w:t>
      </w:r>
    </w:p>
    <w:p w:rsidR="00910B9B" w:rsidRDefault="00910B9B" w:rsidP="000F584B"/>
    <w:p w:rsidR="00494E0B" w:rsidRDefault="00494E0B" w:rsidP="00494E0B">
      <w:pPr>
        <w:rPr>
          <w:i/>
        </w:rPr>
      </w:pPr>
      <w:r w:rsidRPr="00494E0B">
        <w:rPr>
          <w:i/>
        </w:rPr>
        <w:t xml:space="preserve">Afsluiting </w:t>
      </w:r>
    </w:p>
    <w:p w:rsidR="00494E0B" w:rsidRPr="00494E0B" w:rsidRDefault="00494E0B" w:rsidP="00494E0B">
      <w:pPr>
        <w:rPr>
          <w:i/>
        </w:rPr>
      </w:pPr>
    </w:p>
    <w:p w:rsidR="00494E0B" w:rsidRDefault="00494E0B" w:rsidP="00494E0B">
      <w:r>
        <w:t xml:space="preserve">Volledigheidshalve wil VUmc u middels deze aankondiging op de hoogte stellen en in de gelegenheid stellen om hier juridisch bezwaar tegen aan te tekenen. Indien u bezwaar heeft tegen de voorgenomen aanschaf bij </w:t>
      </w:r>
      <w:r w:rsidRPr="00494E0B">
        <w:t>Illumina Netherlands B.V</w:t>
      </w:r>
      <w:r>
        <w:t>., wordt u verz</w:t>
      </w:r>
      <w:r w:rsidR="00C357E2">
        <w:t>ocht zich uiterlijk 28 september 2018 voor 17</w:t>
      </w:r>
      <w:r>
        <w:t>.00 uur via de berichtenmodule in TenderNed te melden bij de heer R.A.M. van der Hilst, senior inkoper laboratorium benodigdheden. Als dit tijdens de bovengenoemde periode niet (succesvol) gebeurt, treedt rechtsverwerking op en zal VUmc over gaan tot aanschaf van bovengenoemde opdracht.</w:t>
      </w:r>
    </w:p>
    <w:p w:rsidR="00494E0B" w:rsidRDefault="00494E0B" w:rsidP="00494E0B"/>
    <w:p w:rsidR="00494E0B" w:rsidRPr="000F584B" w:rsidRDefault="00494E0B" w:rsidP="00494E0B"/>
    <w:sectPr w:rsidR="00494E0B" w:rsidRPr="000F584B" w:rsidSect="0018019B">
      <w:pgSz w:w="11904" w:h="16840"/>
      <w:pgMar w:top="1135" w:right="1316" w:bottom="284"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557A"/>
    <w:multiLevelType w:val="hybridMultilevel"/>
    <w:tmpl w:val="D004B8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2E90BAD"/>
    <w:multiLevelType w:val="hybridMultilevel"/>
    <w:tmpl w:val="3F8A14EA"/>
    <w:lvl w:ilvl="0" w:tplc="B776C336">
      <w:start w:val="1"/>
      <w:numFmt w:val="bullet"/>
      <w:lvlText w:val=""/>
      <w:lvlJc w:val="left"/>
      <w:pPr>
        <w:ind w:left="8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08C59B8">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362A16">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24A254">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98C7B6">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8EDE42">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E3611C4">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0F62562">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F06D3C">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7C"/>
    <w:rsid w:val="000F584B"/>
    <w:rsid w:val="0018019B"/>
    <w:rsid w:val="0034124B"/>
    <w:rsid w:val="00494E0B"/>
    <w:rsid w:val="0050432C"/>
    <w:rsid w:val="005D517C"/>
    <w:rsid w:val="006E7DF6"/>
    <w:rsid w:val="00910B9B"/>
    <w:rsid w:val="00950EB9"/>
    <w:rsid w:val="00974498"/>
    <w:rsid w:val="00AE4079"/>
    <w:rsid w:val="00C357E2"/>
    <w:rsid w:val="00DB7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5180"/>
  <w15:docId w15:val="{133B2722-221C-4D41-8026-140591A1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3" w:line="249" w:lineRule="auto"/>
      <w:ind w:left="110" w:hanging="10"/>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0"/>
      <w:ind w:left="110" w:hanging="10"/>
      <w:outlineLvl w:val="0"/>
    </w:pPr>
    <w:rPr>
      <w:rFonts w:ascii="Calibri" w:eastAsia="Calibri" w:hAnsi="Calibri" w:cs="Calibri"/>
      <w: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i/>
      <w:color w:val="000000"/>
      <w:sz w:val="22"/>
    </w:rPr>
  </w:style>
  <w:style w:type="paragraph" w:styleId="Lijstalinea">
    <w:name w:val="List Paragraph"/>
    <w:basedOn w:val="Standaard"/>
    <w:uiPriority w:val="34"/>
    <w:qFormat/>
    <w:rsid w:val="00DB7FFE"/>
    <w:pPr>
      <w:spacing w:after="200" w:line="276" w:lineRule="auto"/>
      <w:ind w:left="720" w:firstLine="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B800B90A</Template>
  <TotalTime>0</TotalTime>
  <Pages>1</Pages>
  <Words>326</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Microsoft Word - Aankondiging van vrijwillige transparantie VUmc_aanschaf van apparatuur voor flowcytometrische bepalingen_DEF</vt:lpstr>
    </vt:vector>
  </TitlesOfParts>
  <Company>VUmc</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Aankondiging van vrijwillige transparantie VUmc_aanschaf van apparatuur voor flowcytometrische bepalingen_DEF</dc:title>
  <dc:subject/>
  <dc:creator>m.geven</dc:creator>
  <cp:keywords/>
  <cp:lastModifiedBy>Hilst, René van der</cp:lastModifiedBy>
  <cp:revision>2</cp:revision>
  <dcterms:created xsi:type="dcterms:W3CDTF">2018-09-07T07:49:00Z</dcterms:created>
  <dcterms:modified xsi:type="dcterms:W3CDTF">2018-09-07T07:49:00Z</dcterms:modified>
</cp:coreProperties>
</file>