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A6" w:rsidRPr="00147A11" w:rsidRDefault="005252A6" w:rsidP="005252A6">
      <w:pPr>
        <w:tabs>
          <w:tab w:val="left" w:pos="1701"/>
          <w:tab w:val="left" w:pos="4731"/>
        </w:tabs>
        <w:spacing w:before="120" w:after="120" w:line="240" w:lineRule="atLeast"/>
        <w:ind w:left="-851"/>
        <w:rPr>
          <w:rFonts w:ascii="Arial" w:hAnsi="Arial"/>
          <w:b/>
          <w:sz w:val="22"/>
          <w:szCs w:val="22"/>
        </w:rPr>
      </w:pPr>
      <w:r w:rsidRPr="00147A11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B142C33" wp14:editId="5FF089E0">
            <wp:simplePos x="0" y="0"/>
            <wp:positionH relativeFrom="column">
              <wp:posOffset>6760210</wp:posOffset>
            </wp:positionH>
            <wp:positionV relativeFrom="paragraph">
              <wp:posOffset>-577215</wp:posOffset>
            </wp:positionV>
            <wp:extent cx="2590800" cy="1036320"/>
            <wp:effectExtent l="0" t="0" r="0" b="0"/>
            <wp:wrapNone/>
            <wp:docPr id="1" name="Picture 2" descr="LOGO GEMEENTE LELYSTAD-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EMEENTE LELYSTAD-Z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7A11">
        <w:rPr>
          <w:rFonts w:ascii="Arial" w:hAnsi="Arial"/>
          <w:b/>
          <w:noProof/>
          <w:sz w:val="22"/>
          <w:szCs w:val="22"/>
        </w:rPr>
        <w:t>Aanbe</w:t>
      </w:r>
      <w:r w:rsidR="004D2D59" w:rsidRPr="00147A11">
        <w:rPr>
          <w:rFonts w:ascii="Arial" w:hAnsi="Arial"/>
          <w:b/>
          <w:noProof/>
          <w:sz w:val="22"/>
          <w:szCs w:val="22"/>
        </w:rPr>
        <w:t>steding:</w:t>
      </w:r>
      <w:r w:rsidR="004D2D59" w:rsidRPr="00147A11">
        <w:rPr>
          <w:rFonts w:ascii="Arial" w:hAnsi="Arial"/>
          <w:b/>
          <w:noProof/>
          <w:sz w:val="22"/>
          <w:szCs w:val="22"/>
        </w:rPr>
        <w:tab/>
      </w:r>
      <w:r w:rsidR="00767147">
        <w:rPr>
          <w:rFonts w:ascii="Arial" w:hAnsi="Arial"/>
          <w:b/>
          <w:noProof/>
          <w:sz w:val="22"/>
          <w:szCs w:val="22"/>
        </w:rPr>
        <w:t>Multifunctionals</w:t>
      </w:r>
      <w:r w:rsidR="001E3B44">
        <w:rPr>
          <w:rFonts w:ascii="Arial" w:hAnsi="Arial"/>
          <w:b/>
          <w:noProof/>
          <w:sz w:val="22"/>
          <w:szCs w:val="22"/>
        </w:rPr>
        <w:t xml:space="preserve"> en printers</w:t>
      </w:r>
      <w:bookmarkStart w:id="0" w:name="_GoBack"/>
      <w:bookmarkEnd w:id="0"/>
    </w:p>
    <w:p w:rsidR="005252A6" w:rsidRPr="00147A11" w:rsidRDefault="005252A6" w:rsidP="005252A6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2"/>
          <w:szCs w:val="22"/>
        </w:rPr>
      </w:pPr>
      <w:r w:rsidRPr="00147A11">
        <w:rPr>
          <w:rFonts w:ascii="Arial" w:hAnsi="Arial"/>
          <w:b/>
          <w:sz w:val="22"/>
          <w:szCs w:val="22"/>
        </w:rPr>
        <w:t>Procedure:</w:t>
      </w:r>
      <w:r w:rsidRPr="00147A11">
        <w:rPr>
          <w:rFonts w:ascii="Arial" w:hAnsi="Arial"/>
          <w:b/>
          <w:sz w:val="22"/>
          <w:szCs w:val="22"/>
        </w:rPr>
        <w:tab/>
      </w:r>
      <w:r w:rsidR="00767147">
        <w:rPr>
          <w:rFonts w:ascii="Arial" w:hAnsi="Arial"/>
          <w:b/>
          <w:sz w:val="22"/>
          <w:szCs w:val="22"/>
        </w:rPr>
        <w:t>O</w:t>
      </w:r>
      <w:r w:rsidRPr="00147A11">
        <w:rPr>
          <w:rFonts w:ascii="Arial" w:hAnsi="Arial"/>
          <w:b/>
          <w:sz w:val="22"/>
          <w:szCs w:val="22"/>
        </w:rPr>
        <w:t>penbare aanbesteding (Europees)</w:t>
      </w:r>
    </w:p>
    <w:p w:rsidR="005252A6" w:rsidRPr="00147A11" w:rsidRDefault="005252A6" w:rsidP="005252A6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2"/>
          <w:szCs w:val="22"/>
        </w:rPr>
      </w:pPr>
      <w:proofErr w:type="spellStart"/>
      <w:r w:rsidRPr="00147A11">
        <w:rPr>
          <w:rFonts w:ascii="Arial" w:hAnsi="Arial"/>
          <w:b/>
          <w:sz w:val="22"/>
          <w:szCs w:val="22"/>
        </w:rPr>
        <w:t>TenderNed</w:t>
      </w:r>
      <w:proofErr w:type="spellEnd"/>
      <w:r w:rsidRPr="00147A11">
        <w:rPr>
          <w:rFonts w:ascii="Arial" w:hAnsi="Arial"/>
          <w:b/>
          <w:sz w:val="22"/>
          <w:szCs w:val="22"/>
        </w:rPr>
        <w:t xml:space="preserve">-kenmerk: </w:t>
      </w:r>
      <w:r w:rsidRPr="00147A11">
        <w:rPr>
          <w:rFonts w:ascii="Arial" w:hAnsi="Arial"/>
          <w:b/>
          <w:sz w:val="22"/>
          <w:szCs w:val="22"/>
        </w:rPr>
        <w:tab/>
      </w:r>
      <w:r w:rsidR="00767147">
        <w:rPr>
          <w:rFonts w:ascii="Arial" w:hAnsi="Arial"/>
          <w:b/>
          <w:sz w:val="22"/>
          <w:szCs w:val="22"/>
        </w:rPr>
        <w:t>180464</w:t>
      </w:r>
      <w:r w:rsidR="00D52A2B">
        <w:rPr>
          <w:rFonts w:ascii="Arial" w:hAnsi="Arial"/>
          <w:b/>
          <w:sz w:val="22"/>
          <w:szCs w:val="22"/>
        </w:rPr>
        <w:t xml:space="preserve">   </w:t>
      </w:r>
    </w:p>
    <w:p w:rsidR="005252A6" w:rsidRPr="00147A11" w:rsidRDefault="005252A6" w:rsidP="005252A6">
      <w:pPr>
        <w:tabs>
          <w:tab w:val="left" w:pos="1701"/>
        </w:tabs>
        <w:spacing w:before="120" w:after="120" w:line="240" w:lineRule="atLeast"/>
        <w:ind w:left="-851"/>
        <w:rPr>
          <w:rFonts w:ascii="Arial" w:hAnsi="Arial"/>
          <w:b/>
          <w:sz w:val="22"/>
          <w:szCs w:val="22"/>
        </w:rPr>
      </w:pPr>
      <w:r w:rsidRPr="00147A11">
        <w:rPr>
          <w:rFonts w:ascii="Arial" w:hAnsi="Arial"/>
          <w:b/>
          <w:sz w:val="22"/>
          <w:szCs w:val="22"/>
        </w:rPr>
        <w:t>Fase:</w:t>
      </w:r>
      <w:r w:rsidRPr="00147A11">
        <w:rPr>
          <w:rFonts w:ascii="Arial" w:hAnsi="Arial"/>
          <w:b/>
          <w:sz w:val="22"/>
          <w:szCs w:val="22"/>
        </w:rPr>
        <w:tab/>
        <w:t>Gunningfase</w:t>
      </w:r>
    </w:p>
    <w:p w:rsidR="00BC472B" w:rsidRPr="00147A11" w:rsidRDefault="00912178" w:rsidP="00912178">
      <w:pPr>
        <w:tabs>
          <w:tab w:val="left" w:pos="2410"/>
        </w:tabs>
        <w:spacing w:before="120" w:after="120" w:line="240" w:lineRule="atLeast"/>
        <w:ind w:left="-851"/>
        <w:jc w:val="both"/>
        <w:rPr>
          <w:rFonts w:ascii="Arial" w:hAnsi="Arial"/>
          <w:b/>
          <w:sz w:val="20"/>
          <w:szCs w:val="20"/>
        </w:rPr>
      </w:pPr>
      <w:r w:rsidRPr="00147A11">
        <w:rPr>
          <w:rFonts w:ascii="Arial" w:hAnsi="Arial"/>
          <w:bCs/>
          <w:iCs/>
          <w:sz w:val="20"/>
          <w:szCs w:val="20"/>
        </w:rPr>
        <w:t xml:space="preserve">Inschrijver verklaart de onderstaande voorbehouden te hebben op de concept </w:t>
      </w:r>
      <w:r w:rsidR="005B0585">
        <w:rPr>
          <w:rFonts w:ascii="Arial" w:hAnsi="Arial"/>
          <w:bCs/>
          <w:iCs/>
          <w:sz w:val="20"/>
          <w:szCs w:val="20"/>
        </w:rPr>
        <w:t xml:space="preserve">Gemeentelijke </w:t>
      </w:r>
      <w:r w:rsidRPr="00147A11">
        <w:rPr>
          <w:rFonts w:ascii="Arial" w:hAnsi="Arial"/>
          <w:bCs/>
          <w:iCs/>
          <w:sz w:val="20"/>
          <w:szCs w:val="20"/>
        </w:rPr>
        <w:t xml:space="preserve">Inkoopvoorwaarden </w:t>
      </w:r>
      <w:r w:rsidR="005B0585">
        <w:rPr>
          <w:rFonts w:ascii="Arial" w:hAnsi="Arial"/>
          <w:bCs/>
          <w:iCs/>
          <w:sz w:val="20"/>
          <w:szCs w:val="20"/>
        </w:rPr>
        <w:t>voor IT (GIBIT)</w:t>
      </w:r>
    </w:p>
    <w:tbl>
      <w:tblPr>
        <w:tblW w:w="14899" w:type="dxa"/>
        <w:tblInd w:w="-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779"/>
        <w:gridCol w:w="780"/>
        <w:gridCol w:w="5174"/>
        <w:gridCol w:w="5174"/>
        <w:gridCol w:w="1701"/>
      </w:tblGrid>
      <w:tr w:rsidR="00912178" w:rsidRPr="00147A11" w:rsidTr="00F77CDC">
        <w:trPr>
          <w:tblHeader/>
        </w:trPr>
        <w:tc>
          <w:tcPr>
            <w:tcW w:w="1291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sz w:val="20"/>
                <w:szCs w:val="20"/>
              </w:rPr>
              <w:t>Steller</w:t>
            </w:r>
          </w:p>
        </w:tc>
        <w:tc>
          <w:tcPr>
            <w:tcW w:w="779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sz w:val="20"/>
                <w:szCs w:val="20"/>
              </w:rPr>
              <w:t>Art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sz w:val="20"/>
                <w:szCs w:val="20"/>
              </w:rPr>
              <w:t>Sub.</w:t>
            </w:r>
          </w:p>
          <w:p w:rsidR="00912178" w:rsidRPr="00147A11" w:rsidRDefault="00912178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147A11">
              <w:rPr>
                <w:rFonts w:ascii="Arial" w:hAnsi="Arial"/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174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sz w:val="20"/>
                <w:szCs w:val="20"/>
              </w:rPr>
              <w:t>Vraag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sz w:val="20"/>
                <w:szCs w:val="20"/>
              </w:rPr>
              <w:t>Antwoord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12178" w:rsidRPr="00147A11" w:rsidRDefault="00912178" w:rsidP="00EA5BA4">
            <w:pPr>
              <w:spacing w:before="120" w:after="120" w:line="240" w:lineRule="atLeast"/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47A11">
              <w:rPr>
                <w:rFonts w:ascii="Arial" w:hAnsi="Arial"/>
                <w:b/>
                <w:bCs/>
                <w:iCs/>
                <w:sz w:val="20"/>
                <w:szCs w:val="20"/>
              </w:rPr>
              <w:t>Mate van belangrijkheid (1, 2, of 3)</w:t>
            </w:r>
            <w:r w:rsidRPr="00147A11">
              <w:rPr>
                <w:rStyle w:val="Voetnootmarkering"/>
                <w:rFonts w:ascii="Arial" w:hAnsi="Arial"/>
                <w:b/>
                <w:bCs/>
                <w:iCs/>
                <w:sz w:val="20"/>
                <w:szCs w:val="20"/>
              </w:rPr>
              <w:footnoteReference w:id="1"/>
            </w:r>
          </w:p>
        </w:tc>
      </w:tr>
      <w:tr w:rsidR="00912178" w:rsidRPr="00147A11" w:rsidTr="00F77CDC">
        <w:trPr>
          <w:cantSplit/>
        </w:trPr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178" w:rsidRPr="00147A11" w:rsidTr="00F77CDC">
        <w:tc>
          <w:tcPr>
            <w:tcW w:w="129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74" w:type="dxa"/>
          </w:tcPr>
          <w:p w:rsidR="00912178" w:rsidRPr="00147A11" w:rsidRDefault="00912178" w:rsidP="00147A11">
            <w:pPr>
              <w:spacing w:before="120" w:after="120" w:line="2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12178" w:rsidRPr="00147A11" w:rsidRDefault="00912178" w:rsidP="00147A11">
            <w:pPr>
              <w:spacing w:before="120" w:after="120" w:line="24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391AFD" w:rsidRPr="00147A11" w:rsidRDefault="00AB78FD" w:rsidP="00147A11">
      <w:pPr>
        <w:widowControl w:val="0"/>
        <w:spacing w:before="120" w:after="120" w:line="240" w:lineRule="atLeast"/>
        <w:ind w:left="-851"/>
        <w:rPr>
          <w:rFonts w:ascii="Arial" w:hAnsi="Arial"/>
          <w:bCs/>
          <w:i/>
          <w:iCs/>
          <w:color w:val="FF0000"/>
          <w:sz w:val="20"/>
          <w:szCs w:val="20"/>
        </w:rPr>
      </w:pPr>
      <w:r w:rsidRPr="00147A11">
        <w:rPr>
          <w:rFonts w:ascii="Arial" w:hAnsi="Arial"/>
          <w:bCs/>
          <w:i/>
          <w:iCs/>
          <w:color w:val="FF0000"/>
          <w:sz w:val="20"/>
          <w:szCs w:val="20"/>
        </w:rPr>
        <w:t xml:space="preserve">Vragen dienen in </w:t>
      </w:r>
      <w:r w:rsidRPr="00147A11">
        <w:rPr>
          <w:rFonts w:ascii="Arial" w:hAnsi="Arial"/>
          <w:b/>
          <w:bCs/>
          <w:i/>
          <w:iCs/>
          <w:color w:val="FF0000"/>
          <w:sz w:val="20"/>
          <w:szCs w:val="20"/>
        </w:rPr>
        <w:t>Word-format</w:t>
      </w:r>
      <w:r w:rsidRPr="00147A11">
        <w:rPr>
          <w:rFonts w:ascii="Arial" w:hAnsi="Arial"/>
          <w:bCs/>
          <w:i/>
          <w:iCs/>
          <w:color w:val="FF0000"/>
          <w:sz w:val="20"/>
          <w:szCs w:val="20"/>
        </w:rPr>
        <w:t xml:space="preserve"> aangeleverd te worden.</w:t>
      </w:r>
    </w:p>
    <w:p w:rsidR="00391AFD" w:rsidRPr="00147A11" w:rsidRDefault="00391AFD" w:rsidP="00147A11">
      <w:pPr>
        <w:widowControl w:val="0"/>
        <w:spacing w:before="120" w:after="120" w:line="240" w:lineRule="atLeast"/>
        <w:ind w:left="-851"/>
        <w:contextualSpacing/>
        <w:rPr>
          <w:rFonts w:ascii="Arial" w:hAnsi="Arial"/>
          <w:bCs/>
          <w:i/>
          <w:iCs/>
          <w:sz w:val="20"/>
          <w:szCs w:val="20"/>
        </w:rPr>
      </w:pPr>
    </w:p>
    <w:p w:rsidR="00912178" w:rsidRPr="00147A11" w:rsidRDefault="00912178" w:rsidP="00912178">
      <w:pPr>
        <w:tabs>
          <w:tab w:val="left" w:pos="2410"/>
        </w:tabs>
        <w:spacing w:before="120" w:after="120" w:line="240" w:lineRule="atLeast"/>
        <w:ind w:left="-851"/>
        <w:jc w:val="both"/>
        <w:rPr>
          <w:rFonts w:ascii="Arial" w:hAnsi="Arial"/>
          <w:bCs/>
          <w:iCs/>
          <w:sz w:val="20"/>
          <w:szCs w:val="20"/>
        </w:rPr>
      </w:pPr>
      <w:r w:rsidRPr="00147A11">
        <w:rPr>
          <w:rFonts w:ascii="Arial" w:hAnsi="Arial"/>
          <w:bCs/>
          <w:iCs/>
          <w:sz w:val="20"/>
          <w:szCs w:val="20"/>
        </w:rPr>
        <w:t xml:space="preserve">Deze bijlage dient Inschrijver alleen ingevuld te retourneren wanneer er voorbehouden bestaan op de concept </w:t>
      </w:r>
      <w:r w:rsidR="005B0585">
        <w:rPr>
          <w:rFonts w:ascii="Arial" w:hAnsi="Arial"/>
          <w:bCs/>
          <w:iCs/>
          <w:sz w:val="20"/>
          <w:szCs w:val="20"/>
        </w:rPr>
        <w:t>Gemeentelijke I</w:t>
      </w:r>
      <w:r w:rsidR="00391AFD" w:rsidRPr="00147A11">
        <w:rPr>
          <w:rFonts w:ascii="Arial" w:hAnsi="Arial"/>
          <w:bCs/>
          <w:iCs/>
          <w:sz w:val="20"/>
          <w:szCs w:val="20"/>
        </w:rPr>
        <w:t xml:space="preserve">nkoopvoorwaarden </w:t>
      </w:r>
      <w:r w:rsidR="005B0585">
        <w:rPr>
          <w:rFonts w:ascii="Arial" w:hAnsi="Arial"/>
          <w:bCs/>
          <w:iCs/>
          <w:sz w:val="20"/>
          <w:szCs w:val="20"/>
        </w:rPr>
        <w:t>voor IT (GIBIT)</w:t>
      </w:r>
      <w:r w:rsidR="00D75E43" w:rsidRPr="00147A11">
        <w:rPr>
          <w:rFonts w:ascii="Arial" w:hAnsi="Arial"/>
          <w:bCs/>
          <w:iCs/>
          <w:sz w:val="20"/>
          <w:szCs w:val="20"/>
        </w:rPr>
        <w:t>. Deze bijlage</w:t>
      </w:r>
      <w:r w:rsidRPr="00147A11">
        <w:rPr>
          <w:rFonts w:ascii="Arial" w:hAnsi="Arial"/>
          <w:bCs/>
          <w:iCs/>
          <w:sz w:val="20"/>
          <w:szCs w:val="20"/>
        </w:rPr>
        <w:t xml:space="preserve"> dient dan </w:t>
      </w:r>
      <w:r w:rsidR="00391AFD" w:rsidRPr="00147A11">
        <w:rPr>
          <w:rFonts w:ascii="Arial" w:hAnsi="Arial"/>
          <w:bCs/>
          <w:iCs/>
          <w:sz w:val="20"/>
          <w:szCs w:val="20"/>
        </w:rPr>
        <w:t xml:space="preserve">uiterlijk op de in </w:t>
      </w:r>
      <w:r w:rsidR="00D75E43" w:rsidRPr="00147A11">
        <w:rPr>
          <w:rFonts w:ascii="Arial" w:hAnsi="Arial"/>
          <w:bCs/>
          <w:iCs/>
          <w:sz w:val="20"/>
          <w:szCs w:val="20"/>
        </w:rPr>
        <w:t>de planning</w:t>
      </w:r>
      <w:r w:rsidRPr="00147A11">
        <w:rPr>
          <w:rFonts w:ascii="Arial" w:hAnsi="Arial"/>
          <w:bCs/>
          <w:iCs/>
          <w:sz w:val="20"/>
          <w:szCs w:val="20"/>
        </w:rPr>
        <w:t xml:space="preserve"> genoemde datum en tijdstip </w:t>
      </w:r>
      <w:r w:rsidR="00D75E43" w:rsidRPr="00147A11">
        <w:rPr>
          <w:rFonts w:ascii="Arial" w:hAnsi="Arial"/>
          <w:bCs/>
          <w:iCs/>
          <w:sz w:val="20"/>
          <w:szCs w:val="20"/>
        </w:rPr>
        <w:t xml:space="preserve">via </w:t>
      </w:r>
      <w:r w:rsidR="0034676C" w:rsidRPr="00147A11">
        <w:rPr>
          <w:rFonts w:ascii="Arial" w:hAnsi="Arial"/>
          <w:bCs/>
          <w:iCs/>
          <w:sz w:val="20"/>
          <w:szCs w:val="20"/>
        </w:rPr>
        <w:t>TenderNed</w:t>
      </w:r>
      <w:r w:rsidR="00D75E43" w:rsidRPr="00147A11">
        <w:rPr>
          <w:rFonts w:ascii="Arial" w:hAnsi="Arial"/>
          <w:bCs/>
          <w:iCs/>
          <w:sz w:val="20"/>
          <w:szCs w:val="20"/>
        </w:rPr>
        <w:t xml:space="preserve"> </w:t>
      </w:r>
      <w:r w:rsidR="00391AFD" w:rsidRPr="00147A11">
        <w:rPr>
          <w:rFonts w:ascii="Arial" w:hAnsi="Arial"/>
          <w:bCs/>
          <w:iCs/>
          <w:sz w:val="20"/>
          <w:szCs w:val="20"/>
        </w:rPr>
        <w:t xml:space="preserve">te worden aangeleverd. Een bijlage </w:t>
      </w:r>
      <w:r w:rsidRPr="00147A11">
        <w:rPr>
          <w:rFonts w:ascii="Arial" w:hAnsi="Arial"/>
          <w:bCs/>
          <w:iCs/>
          <w:sz w:val="20"/>
          <w:szCs w:val="20"/>
        </w:rPr>
        <w:t xml:space="preserve">die later of niet conform de voorwaarden wordt ontvangen, wordt niet in behandeling genomen. </w:t>
      </w:r>
    </w:p>
    <w:p w:rsidR="00912178" w:rsidRPr="00EA5BA4" w:rsidRDefault="00912178" w:rsidP="00147A11">
      <w:pPr>
        <w:tabs>
          <w:tab w:val="left" w:pos="2410"/>
        </w:tabs>
        <w:spacing w:before="120" w:after="120" w:line="240" w:lineRule="atLeast"/>
        <w:ind w:left="-851"/>
        <w:jc w:val="both"/>
        <w:rPr>
          <w:rFonts w:ascii="Arial" w:hAnsi="Arial"/>
          <w:bCs/>
          <w:i/>
          <w:iCs/>
          <w:sz w:val="28"/>
          <w:szCs w:val="28"/>
        </w:rPr>
      </w:pPr>
      <w:r w:rsidRPr="00147A11">
        <w:rPr>
          <w:rFonts w:ascii="Arial" w:hAnsi="Arial"/>
          <w:bCs/>
          <w:iCs/>
          <w:sz w:val="20"/>
          <w:szCs w:val="20"/>
        </w:rPr>
        <w:t>De voorbehoude</w:t>
      </w:r>
      <w:r w:rsidR="00391AFD" w:rsidRPr="00147A11">
        <w:rPr>
          <w:rFonts w:ascii="Arial" w:hAnsi="Arial"/>
          <w:bCs/>
          <w:iCs/>
          <w:sz w:val="20"/>
          <w:szCs w:val="20"/>
        </w:rPr>
        <w:t xml:space="preserve">n kunnen (voor zover </w:t>
      </w:r>
      <w:r w:rsidR="0034676C" w:rsidRPr="00147A11">
        <w:rPr>
          <w:rFonts w:ascii="Arial" w:hAnsi="Arial"/>
          <w:bCs/>
          <w:iCs/>
          <w:sz w:val="20"/>
          <w:szCs w:val="20"/>
        </w:rPr>
        <w:t>Gemeente Lelystad</w:t>
      </w:r>
      <w:r w:rsidRPr="00147A11">
        <w:rPr>
          <w:rFonts w:ascii="Arial" w:hAnsi="Arial"/>
          <w:bCs/>
          <w:iCs/>
          <w:sz w:val="20"/>
          <w:szCs w:val="20"/>
        </w:rPr>
        <w:t xml:space="preserve"> dit relevant acht) in de definitieve </w:t>
      </w:r>
      <w:r w:rsidR="005B0585">
        <w:rPr>
          <w:rFonts w:ascii="Arial" w:hAnsi="Arial"/>
          <w:bCs/>
          <w:iCs/>
          <w:sz w:val="20"/>
          <w:szCs w:val="20"/>
        </w:rPr>
        <w:t xml:space="preserve">Gemeentelijke </w:t>
      </w:r>
      <w:r w:rsidR="00391AFD" w:rsidRPr="00147A11">
        <w:rPr>
          <w:rFonts w:ascii="Arial" w:hAnsi="Arial"/>
          <w:bCs/>
          <w:iCs/>
          <w:sz w:val="20"/>
          <w:szCs w:val="20"/>
        </w:rPr>
        <w:t xml:space="preserve">Inkoopvoorwaarden </w:t>
      </w:r>
      <w:r w:rsidR="005B0585">
        <w:rPr>
          <w:rFonts w:ascii="Arial" w:hAnsi="Arial"/>
          <w:bCs/>
          <w:iCs/>
          <w:sz w:val="20"/>
          <w:szCs w:val="20"/>
        </w:rPr>
        <w:t>voor IT (GIBIT)</w:t>
      </w:r>
      <w:r w:rsidRPr="00147A11">
        <w:rPr>
          <w:rFonts w:ascii="Arial" w:hAnsi="Arial"/>
          <w:bCs/>
          <w:iCs/>
          <w:sz w:val="20"/>
          <w:szCs w:val="20"/>
        </w:rPr>
        <w:t xml:space="preserve"> worden verwerkt. De definitieve versie wordt tegelijk met de laatste Nota van Inlichtingen aan Inschrijver toegezonden.</w:t>
      </w:r>
    </w:p>
    <w:sectPr w:rsidR="00912178" w:rsidRPr="00EA5BA4" w:rsidSect="00912178">
      <w:headerReference w:type="default" r:id="rId9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78" w:rsidRDefault="00912178" w:rsidP="00386656">
      <w:r>
        <w:separator/>
      </w:r>
    </w:p>
  </w:endnote>
  <w:endnote w:type="continuationSeparator" w:id="0">
    <w:p w:rsidR="00912178" w:rsidRDefault="00912178" w:rsidP="0038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78" w:rsidRDefault="00912178" w:rsidP="00386656">
      <w:r>
        <w:separator/>
      </w:r>
    </w:p>
  </w:footnote>
  <w:footnote w:type="continuationSeparator" w:id="0">
    <w:p w:rsidR="00912178" w:rsidRDefault="00912178" w:rsidP="00386656">
      <w:r>
        <w:continuationSeparator/>
      </w:r>
    </w:p>
  </w:footnote>
  <w:footnote w:id="1">
    <w:p w:rsidR="00912178" w:rsidRPr="00D35F53" w:rsidRDefault="00912178" w:rsidP="00912178">
      <w:pPr>
        <w:rPr>
          <w:rFonts w:ascii="Arial" w:hAnsi="Arial"/>
          <w:sz w:val="18"/>
          <w:szCs w:val="18"/>
        </w:rPr>
      </w:pPr>
      <w:r w:rsidRPr="00D35F53">
        <w:rPr>
          <w:rStyle w:val="Voetnootmarkering"/>
          <w:rFonts w:ascii="Arial" w:hAnsi="Arial"/>
        </w:rPr>
        <w:footnoteRef/>
      </w:r>
      <w:r w:rsidRPr="00D35F53">
        <w:rPr>
          <w:rFonts w:ascii="Arial" w:hAnsi="Arial"/>
        </w:rPr>
        <w:t xml:space="preserve"> </w:t>
      </w:r>
      <w:r w:rsidRPr="00D35F53">
        <w:rPr>
          <w:rFonts w:ascii="Arial" w:hAnsi="Arial"/>
          <w:sz w:val="18"/>
          <w:szCs w:val="18"/>
        </w:rPr>
        <w:t>De volgende typering zal gelden voor mate van belangrijkheid:</w:t>
      </w:r>
    </w:p>
    <w:p w:rsidR="00912178" w:rsidRPr="00D35F53" w:rsidRDefault="00912178" w:rsidP="00912178">
      <w:pPr>
        <w:numPr>
          <w:ilvl w:val="0"/>
          <w:numId w:val="2"/>
        </w:numPr>
        <w:tabs>
          <w:tab w:val="clear" w:pos="1460"/>
          <w:tab w:val="num" w:pos="1065"/>
        </w:tabs>
        <w:ind w:left="1065"/>
        <w:rPr>
          <w:rFonts w:ascii="Arial" w:hAnsi="Arial"/>
          <w:sz w:val="18"/>
          <w:szCs w:val="18"/>
        </w:rPr>
      </w:pPr>
      <w:r w:rsidRPr="00D35F53">
        <w:rPr>
          <w:rFonts w:ascii="Arial" w:hAnsi="Arial"/>
          <w:sz w:val="18"/>
          <w:szCs w:val="18"/>
        </w:rPr>
        <w:t>Relevant maar niet essentieel.</w:t>
      </w:r>
    </w:p>
    <w:p w:rsidR="00912178" w:rsidRPr="00D35F53" w:rsidRDefault="00391AFD" w:rsidP="00912178">
      <w:pPr>
        <w:numPr>
          <w:ilvl w:val="0"/>
          <w:numId w:val="2"/>
        </w:numPr>
        <w:tabs>
          <w:tab w:val="clear" w:pos="1460"/>
          <w:tab w:val="num" w:pos="1065"/>
        </w:tabs>
        <w:ind w:left="1065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Belangrijk voor u als Inschrijver</w:t>
      </w:r>
      <w:r w:rsidR="00912178" w:rsidRPr="00D35F53">
        <w:rPr>
          <w:rFonts w:ascii="Arial" w:hAnsi="Arial"/>
          <w:sz w:val="18"/>
          <w:szCs w:val="18"/>
        </w:rPr>
        <w:t>, maar wel bespreekbaar.</w:t>
      </w:r>
    </w:p>
    <w:p w:rsidR="00912178" w:rsidRPr="00D35F53" w:rsidRDefault="00391AFD" w:rsidP="00912178">
      <w:pPr>
        <w:numPr>
          <w:ilvl w:val="0"/>
          <w:numId w:val="2"/>
        </w:numPr>
        <w:tabs>
          <w:tab w:val="clear" w:pos="1460"/>
          <w:tab w:val="num" w:pos="1065"/>
        </w:tabs>
        <w:ind w:left="1065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Zeer belangrijk voor u als Inschrijver</w:t>
      </w:r>
      <w:r w:rsidR="00912178" w:rsidRPr="00D35F53">
        <w:rPr>
          <w:rFonts w:ascii="Arial" w:hAnsi="Arial"/>
          <w:sz w:val="18"/>
          <w:szCs w:val="18"/>
        </w:rPr>
        <w:t>, niet bespreekbaar.</w:t>
      </w:r>
    </w:p>
    <w:p w:rsidR="00912178" w:rsidRPr="00D35F53" w:rsidRDefault="00912178" w:rsidP="00912178">
      <w:pPr>
        <w:pStyle w:val="Voetnoottekst"/>
        <w:rPr>
          <w:rFonts w:ascii="Arial" w:hAnsi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78" w:rsidRDefault="00912178">
    <w:pPr>
      <w:pStyle w:val="Koptekst"/>
    </w:pPr>
  </w:p>
  <w:p w:rsidR="00912178" w:rsidRDefault="0091217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68D2"/>
    <w:multiLevelType w:val="singleLevel"/>
    <w:tmpl w:val="388CE118"/>
    <w:lvl w:ilvl="0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</w:abstractNum>
  <w:abstractNum w:abstractNumId="1" w15:restartNumberingAfterBreak="0">
    <w:nsid w:val="31454F0A"/>
    <w:multiLevelType w:val="hybridMultilevel"/>
    <w:tmpl w:val="8A64A152"/>
    <w:lvl w:ilvl="0" w:tplc="B9DA6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56"/>
    <w:rsid w:val="00005090"/>
    <w:rsid w:val="000503E7"/>
    <w:rsid w:val="000508B8"/>
    <w:rsid w:val="000534AE"/>
    <w:rsid w:val="0006387D"/>
    <w:rsid w:val="000738A2"/>
    <w:rsid w:val="00082146"/>
    <w:rsid w:val="000D0C0A"/>
    <w:rsid w:val="000E118C"/>
    <w:rsid w:val="00110182"/>
    <w:rsid w:val="00111682"/>
    <w:rsid w:val="00132998"/>
    <w:rsid w:val="00147A11"/>
    <w:rsid w:val="00196283"/>
    <w:rsid w:val="001A06C1"/>
    <w:rsid w:val="001A40CF"/>
    <w:rsid w:val="001B521B"/>
    <w:rsid w:val="001D3F1F"/>
    <w:rsid w:val="001E3B44"/>
    <w:rsid w:val="00200464"/>
    <w:rsid w:val="002070B5"/>
    <w:rsid w:val="00291CE5"/>
    <w:rsid w:val="002B58B4"/>
    <w:rsid w:val="002B7121"/>
    <w:rsid w:val="00306FC5"/>
    <w:rsid w:val="0034676C"/>
    <w:rsid w:val="003513C4"/>
    <w:rsid w:val="00353E55"/>
    <w:rsid w:val="00376914"/>
    <w:rsid w:val="00386656"/>
    <w:rsid w:val="00391AFD"/>
    <w:rsid w:val="003D6664"/>
    <w:rsid w:val="003D7BA9"/>
    <w:rsid w:val="004159EF"/>
    <w:rsid w:val="0042488A"/>
    <w:rsid w:val="004569B7"/>
    <w:rsid w:val="004A389E"/>
    <w:rsid w:val="004D2D59"/>
    <w:rsid w:val="004F6183"/>
    <w:rsid w:val="005252A6"/>
    <w:rsid w:val="00530083"/>
    <w:rsid w:val="00577645"/>
    <w:rsid w:val="005B0585"/>
    <w:rsid w:val="005B204F"/>
    <w:rsid w:val="00615637"/>
    <w:rsid w:val="0065576B"/>
    <w:rsid w:val="00681B66"/>
    <w:rsid w:val="006D0C00"/>
    <w:rsid w:val="006E418C"/>
    <w:rsid w:val="00715E7C"/>
    <w:rsid w:val="007343D3"/>
    <w:rsid w:val="00756332"/>
    <w:rsid w:val="00767147"/>
    <w:rsid w:val="007A44FF"/>
    <w:rsid w:val="007B5235"/>
    <w:rsid w:val="00843C6A"/>
    <w:rsid w:val="008607F3"/>
    <w:rsid w:val="008754BF"/>
    <w:rsid w:val="00881662"/>
    <w:rsid w:val="008908C1"/>
    <w:rsid w:val="0089678F"/>
    <w:rsid w:val="008A2010"/>
    <w:rsid w:val="008B2002"/>
    <w:rsid w:val="00900618"/>
    <w:rsid w:val="00912178"/>
    <w:rsid w:val="00920E8A"/>
    <w:rsid w:val="0098658B"/>
    <w:rsid w:val="009B1352"/>
    <w:rsid w:val="009B77A3"/>
    <w:rsid w:val="00A94C97"/>
    <w:rsid w:val="00AB78FD"/>
    <w:rsid w:val="00B05EFD"/>
    <w:rsid w:val="00B14E91"/>
    <w:rsid w:val="00B222DB"/>
    <w:rsid w:val="00B51383"/>
    <w:rsid w:val="00B9304F"/>
    <w:rsid w:val="00BC3A21"/>
    <w:rsid w:val="00BC472B"/>
    <w:rsid w:val="00BE7CAA"/>
    <w:rsid w:val="00C03A6A"/>
    <w:rsid w:val="00C33AF8"/>
    <w:rsid w:val="00CF7DBD"/>
    <w:rsid w:val="00D3233F"/>
    <w:rsid w:val="00D41E58"/>
    <w:rsid w:val="00D52A2B"/>
    <w:rsid w:val="00D7022B"/>
    <w:rsid w:val="00D7179E"/>
    <w:rsid w:val="00D75E43"/>
    <w:rsid w:val="00DF2EFC"/>
    <w:rsid w:val="00DF48E2"/>
    <w:rsid w:val="00E0110E"/>
    <w:rsid w:val="00E37624"/>
    <w:rsid w:val="00EA5BA4"/>
    <w:rsid w:val="00F240B5"/>
    <w:rsid w:val="00F422BF"/>
    <w:rsid w:val="00F635E5"/>
    <w:rsid w:val="00F654C2"/>
    <w:rsid w:val="00F77CDC"/>
    <w:rsid w:val="00F866BB"/>
    <w:rsid w:val="00FF07EC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EE4EB0F5-8360-4D16-B26F-973179D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6656"/>
    <w:pPr>
      <w:spacing w:after="0" w:line="240" w:lineRule="auto"/>
    </w:pPr>
    <w:rPr>
      <w:rFonts w:ascii="Verdana" w:eastAsia="Times New Roman" w:hAnsi="Verdana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3866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866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6656"/>
    <w:rPr>
      <w:rFonts w:ascii="Verdana" w:eastAsia="Times New Roman" w:hAnsi="Verdana" w:cs="Arial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66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6656"/>
    <w:rPr>
      <w:rFonts w:ascii="Tahoma" w:eastAsia="Times New Roman" w:hAnsi="Tahoma" w:cs="Tahoma"/>
      <w:sz w:val="16"/>
      <w:szCs w:val="16"/>
      <w:lang w:eastAsia="nl-NL"/>
    </w:rPr>
  </w:style>
  <w:style w:type="paragraph" w:styleId="Normaalweb">
    <w:name w:val="Normal (Web)"/>
    <w:basedOn w:val="Standaard"/>
    <w:uiPriority w:val="99"/>
    <w:unhideWhenUsed/>
    <w:rsid w:val="00BC472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Lijstalinea">
    <w:name w:val="List Paragraph"/>
    <w:basedOn w:val="Standaard"/>
    <w:uiPriority w:val="34"/>
    <w:qFormat/>
    <w:rsid w:val="00BC472B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Voetnootmarkering">
    <w:name w:val="footnote reference"/>
    <w:basedOn w:val="Standaardalinea-lettertype"/>
    <w:semiHidden/>
    <w:rsid w:val="00912178"/>
    <w:rPr>
      <w:rFonts w:ascii="Garamond" w:hAnsi="Garamond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1217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2178"/>
    <w:rPr>
      <w:rFonts w:ascii="Verdana" w:eastAsia="Times New Roman" w:hAnsi="Verdana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CC3D-5BB4-4980-9FE0-2E9173EB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DFDEC9BF</Template>
  <TotalTime>20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Bliekendaal-Kuiper, K (Karin)</cp:lastModifiedBy>
  <cp:revision>4</cp:revision>
  <dcterms:created xsi:type="dcterms:W3CDTF">2018-04-25T20:32:00Z</dcterms:created>
  <dcterms:modified xsi:type="dcterms:W3CDTF">2018-06-13T08:19:00Z</dcterms:modified>
</cp:coreProperties>
</file>