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E7" w:rsidRPr="0058549E" w:rsidRDefault="00A67BE4" w:rsidP="00A67BE4">
      <w:pPr>
        <w:rPr>
          <w:b/>
          <w:sz w:val="40"/>
          <w:szCs w:val="40"/>
        </w:rPr>
      </w:pPr>
      <w:r w:rsidRPr="0058549E">
        <w:br/>
      </w:r>
      <w:r w:rsidR="00294EBD">
        <w:rPr>
          <w:b/>
          <w:sz w:val="40"/>
          <w:szCs w:val="40"/>
        </w:rPr>
        <w:t>Bijlage 3</w:t>
      </w:r>
    </w:p>
    <w:p w:rsidR="00A67BE4" w:rsidRPr="0058549E" w:rsidRDefault="00A67BE4" w:rsidP="00A67BE4">
      <w:r w:rsidRPr="0058549E">
        <w:rPr>
          <w:b/>
          <w:sz w:val="40"/>
          <w:szCs w:val="40"/>
        </w:rPr>
        <w:t xml:space="preserve">Matrix </w:t>
      </w:r>
      <w:r w:rsidR="001A0DE7" w:rsidRPr="0058549E">
        <w:rPr>
          <w:b/>
          <w:sz w:val="40"/>
          <w:szCs w:val="40"/>
        </w:rPr>
        <w:t>mate van</w:t>
      </w:r>
      <w:r w:rsidRPr="0058549E">
        <w:rPr>
          <w:b/>
          <w:sz w:val="40"/>
          <w:szCs w:val="40"/>
        </w:rPr>
        <w:t xml:space="preserve"> </w:t>
      </w:r>
      <w:r w:rsidR="00245896" w:rsidRPr="0058549E">
        <w:rPr>
          <w:b/>
          <w:sz w:val="40"/>
          <w:szCs w:val="40"/>
        </w:rPr>
        <w:t>zeggenschap</w:t>
      </w:r>
      <w:r w:rsidRPr="0058549E">
        <w:rPr>
          <w:b/>
          <w:u w:val="single"/>
        </w:rPr>
        <w:br/>
        <w:t xml:space="preserve"> </w:t>
      </w:r>
    </w:p>
    <w:tbl>
      <w:tblPr>
        <w:tblStyle w:val="Tabelraster"/>
        <w:tblW w:w="0" w:type="auto"/>
        <w:tblLook w:val="04A0" w:firstRow="1" w:lastRow="0" w:firstColumn="1" w:lastColumn="0" w:noHBand="0" w:noVBand="1"/>
      </w:tblPr>
      <w:tblGrid>
        <w:gridCol w:w="4536"/>
        <w:gridCol w:w="851"/>
        <w:gridCol w:w="851"/>
        <w:gridCol w:w="851"/>
        <w:gridCol w:w="851"/>
      </w:tblGrid>
      <w:tr w:rsidR="00A67BE4" w:rsidRPr="0058549E" w:rsidTr="00B37A8B">
        <w:trPr>
          <w:cantSplit/>
          <w:trHeight w:val="2400"/>
        </w:trPr>
        <w:tc>
          <w:tcPr>
            <w:tcW w:w="4536" w:type="dxa"/>
            <w:tcBorders>
              <w:bottom w:val="single" w:sz="4" w:space="0" w:color="auto"/>
            </w:tcBorders>
            <w:textDirection w:val="btLr"/>
          </w:tcPr>
          <w:p w:rsidR="00A67BE4" w:rsidRPr="0058549E" w:rsidRDefault="00A67BE4" w:rsidP="00B37A8B">
            <w:pPr>
              <w:ind w:left="113" w:right="113"/>
              <w:rPr>
                <w:b/>
              </w:rPr>
            </w:pPr>
            <w:r w:rsidRPr="0058549E">
              <w:rPr>
                <w:b/>
              </w:rPr>
              <w:t>Mate van zeggenschap</w:t>
            </w:r>
          </w:p>
        </w:tc>
        <w:tc>
          <w:tcPr>
            <w:tcW w:w="851" w:type="dxa"/>
            <w:tcBorders>
              <w:bottom w:val="single" w:sz="4" w:space="0" w:color="auto"/>
            </w:tcBorders>
            <w:textDirection w:val="btLr"/>
          </w:tcPr>
          <w:p w:rsidR="00A67BE4" w:rsidRPr="0058549E" w:rsidRDefault="00A67BE4" w:rsidP="00B37A8B">
            <w:pPr>
              <w:ind w:left="113" w:right="113"/>
              <w:rPr>
                <w:b/>
              </w:rPr>
            </w:pPr>
            <w:r w:rsidRPr="0058549E">
              <w:rPr>
                <w:b/>
              </w:rPr>
              <w:t xml:space="preserve">Informeren </w:t>
            </w:r>
          </w:p>
        </w:tc>
        <w:tc>
          <w:tcPr>
            <w:tcW w:w="851" w:type="dxa"/>
            <w:tcBorders>
              <w:bottom w:val="single" w:sz="4" w:space="0" w:color="auto"/>
            </w:tcBorders>
            <w:textDirection w:val="btLr"/>
          </w:tcPr>
          <w:p w:rsidR="00A67BE4" w:rsidRPr="0058549E" w:rsidRDefault="00A67BE4" w:rsidP="00B37A8B">
            <w:pPr>
              <w:ind w:left="113" w:right="113"/>
              <w:rPr>
                <w:b/>
              </w:rPr>
            </w:pPr>
            <w:r w:rsidRPr="0058549E">
              <w:rPr>
                <w:b/>
              </w:rPr>
              <w:t xml:space="preserve">Inspraak </w:t>
            </w:r>
          </w:p>
        </w:tc>
        <w:tc>
          <w:tcPr>
            <w:tcW w:w="851" w:type="dxa"/>
            <w:tcBorders>
              <w:bottom w:val="single" w:sz="4" w:space="0" w:color="auto"/>
            </w:tcBorders>
            <w:textDirection w:val="btLr"/>
          </w:tcPr>
          <w:p w:rsidR="00A67BE4" w:rsidRPr="0058549E" w:rsidRDefault="00061286" w:rsidP="00061286">
            <w:pPr>
              <w:ind w:left="113" w:right="113"/>
              <w:rPr>
                <w:b/>
              </w:rPr>
            </w:pPr>
            <w:r w:rsidRPr="0058549E">
              <w:rPr>
                <w:b/>
              </w:rPr>
              <w:t>Individuele  keuze</w:t>
            </w:r>
          </w:p>
        </w:tc>
        <w:tc>
          <w:tcPr>
            <w:tcW w:w="851" w:type="dxa"/>
            <w:tcBorders>
              <w:bottom w:val="single" w:sz="4" w:space="0" w:color="auto"/>
            </w:tcBorders>
            <w:textDirection w:val="btLr"/>
          </w:tcPr>
          <w:p w:rsidR="00A67BE4" w:rsidRPr="0058549E" w:rsidRDefault="00061286" w:rsidP="00061286">
            <w:pPr>
              <w:ind w:left="113" w:right="113"/>
              <w:rPr>
                <w:b/>
              </w:rPr>
            </w:pPr>
            <w:r w:rsidRPr="0058549E">
              <w:rPr>
                <w:b/>
              </w:rPr>
              <w:t xml:space="preserve">Collectieve  beslissing </w:t>
            </w:r>
          </w:p>
        </w:tc>
      </w:tr>
      <w:tr w:rsidR="00A67BE4" w:rsidRPr="0058549E" w:rsidTr="0058549E">
        <w:tc>
          <w:tcPr>
            <w:tcW w:w="4536" w:type="dxa"/>
            <w:shd w:val="clear" w:color="auto" w:fill="CCECFF"/>
          </w:tcPr>
          <w:p w:rsidR="00A67BE4" w:rsidRPr="0058549E" w:rsidRDefault="004A1139" w:rsidP="00B37A8B">
            <w:r w:rsidRPr="0058549E">
              <w:t>Initiatieffase</w:t>
            </w:r>
            <w:r w:rsidR="004B2BB9" w:rsidRPr="0058549E">
              <w:t>/Groepsvorming</w:t>
            </w:r>
          </w:p>
        </w:tc>
        <w:tc>
          <w:tcPr>
            <w:tcW w:w="851" w:type="dxa"/>
            <w:shd w:val="clear" w:color="auto" w:fill="CCECFF"/>
          </w:tcPr>
          <w:p w:rsidR="00A67BE4" w:rsidRPr="0058549E" w:rsidRDefault="00A67BE4" w:rsidP="00B37A8B"/>
        </w:tc>
        <w:tc>
          <w:tcPr>
            <w:tcW w:w="851" w:type="dxa"/>
            <w:shd w:val="clear" w:color="auto" w:fill="CCECFF"/>
          </w:tcPr>
          <w:p w:rsidR="00A67BE4" w:rsidRPr="0058549E" w:rsidRDefault="00A67BE4" w:rsidP="00B37A8B"/>
        </w:tc>
        <w:tc>
          <w:tcPr>
            <w:tcW w:w="851" w:type="dxa"/>
            <w:shd w:val="clear" w:color="auto" w:fill="CCECFF"/>
          </w:tcPr>
          <w:p w:rsidR="00A67BE4" w:rsidRPr="0058549E" w:rsidRDefault="00A67BE4" w:rsidP="00B37A8B"/>
        </w:tc>
        <w:tc>
          <w:tcPr>
            <w:tcW w:w="851" w:type="dxa"/>
            <w:shd w:val="clear" w:color="auto" w:fill="CCECFF"/>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0628C1" w:rsidRPr="0058549E" w:rsidTr="00FC6045">
        <w:tc>
          <w:tcPr>
            <w:tcW w:w="4536" w:type="dxa"/>
            <w:shd w:val="clear" w:color="auto" w:fill="CCECFF"/>
          </w:tcPr>
          <w:p w:rsidR="000628C1" w:rsidRPr="0058549E" w:rsidRDefault="000628C1" w:rsidP="00FC6045">
            <w:r w:rsidRPr="0058549E">
              <w:t xml:space="preserve">Schetsontwerp </w:t>
            </w:r>
          </w:p>
        </w:tc>
        <w:tc>
          <w:tcPr>
            <w:tcW w:w="851" w:type="dxa"/>
            <w:shd w:val="clear" w:color="auto" w:fill="CCECFF"/>
          </w:tcPr>
          <w:p w:rsidR="000628C1" w:rsidRPr="0058549E" w:rsidRDefault="000628C1" w:rsidP="00FC6045"/>
        </w:tc>
        <w:tc>
          <w:tcPr>
            <w:tcW w:w="851" w:type="dxa"/>
            <w:shd w:val="clear" w:color="auto" w:fill="CCECFF"/>
          </w:tcPr>
          <w:p w:rsidR="000628C1" w:rsidRPr="0058549E" w:rsidRDefault="000628C1" w:rsidP="00FC6045"/>
        </w:tc>
        <w:tc>
          <w:tcPr>
            <w:tcW w:w="851" w:type="dxa"/>
            <w:shd w:val="clear" w:color="auto" w:fill="CCECFF"/>
          </w:tcPr>
          <w:p w:rsidR="000628C1" w:rsidRPr="0058549E" w:rsidRDefault="000628C1" w:rsidP="00FC6045"/>
        </w:tc>
        <w:tc>
          <w:tcPr>
            <w:tcW w:w="851" w:type="dxa"/>
            <w:shd w:val="clear" w:color="auto" w:fill="CCECFF"/>
          </w:tcPr>
          <w:p w:rsidR="000628C1" w:rsidRPr="0058549E" w:rsidRDefault="000628C1" w:rsidP="00FC6045"/>
        </w:tc>
      </w:tr>
      <w:tr w:rsidR="00A67BE4" w:rsidRPr="0058549E" w:rsidTr="00B37A8B">
        <w:tc>
          <w:tcPr>
            <w:tcW w:w="4536"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0628C1" w:rsidRPr="0058549E" w:rsidTr="0099517A">
        <w:tc>
          <w:tcPr>
            <w:tcW w:w="4536" w:type="dxa"/>
            <w:shd w:val="clear" w:color="auto" w:fill="CCECFF"/>
          </w:tcPr>
          <w:p w:rsidR="000628C1" w:rsidRPr="0058549E" w:rsidRDefault="000628C1" w:rsidP="0099517A">
            <w:r>
              <w:t>Voorlopig Ontwerp</w:t>
            </w:r>
            <w:r w:rsidRPr="0058549E">
              <w:t xml:space="preserve"> </w:t>
            </w:r>
          </w:p>
        </w:tc>
        <w:tc>
          <w:tcPr>
            <w:tcW w:w="851" w:type="dxa"/>
            <w:shd w:val="clear" w:color="auto" w:fill="CCECFF"/>
          </w:tcPr>
          <w:p w:rsidR="000628C1" w:rsidRPr="0058549E" w:rsidRDefault="000628C1" w:rsidP="0099517A"/>
        </w:tc>
        <w:tc>
          <w:tcPr>
            <w:tcW w:w="851" w:type="dxa"/>
            <w:shd w:val="clear" w:color="auto" w:fill="CCECFF"/>
          </w:tcPr>
          <w:p w:rsidR="000628C1" w:rsidRPr="0058549E" w:rsidRDefault="000628C1" w:rsidP="0099517A"/>
        </w:tc>
        <w:tc>
          <w:tcPr>
            <w:tcW w:w="851" w:type="dxa"/>
            <w:shd w:val="clear" w:color="auto" w:fill="CCECFF"/>
          </w:tcPr>
          <w:p w:rsidR="000628C1" w:rsidRPr="0058549E" w:rsidRDefault="000628C1" w:rsidP="0099517A"/>
        </w:tc>
        <w:tc>
          <w:tcPr>
            <w:tcW w:w="851" w:type="dxa"/>
            <w:shd w:val="clear" w:color="auto" w:fill="CCECFF"/>
          </w:tcPr>
          <w:p w:rsidR="000628C1" w:rsidRPr="0058549E" w:rsidRDefault="000628C1" w:rsidP="0099517A"/>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0628C1" w:rsidRPr="0058549E" w:rsidRDefault="000628C1"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0628C1" w:rsidRPr="0058549E" w:rsidTr="001706E7">
        <w:tc>
          <w:tcPr>
            <w:tcW w:w="4536" w:type="dxa"/>
            <w:shd w:val="clear" w:color="auto" w:fill="CCECFF"/>
          </w:tcPr>
          <w:p w:rsidR="000628C1" w:rsidRPr="0058549E" w:rsidRDefault="000628C1" w:rsidP="001706E7">
            <w:r w:rsidRPr="0058549E">
              <w:t>Definitief Ontwerp</w:t>
            </w:r>
          </w:p>
        </w:tc>
        <w:tc>
          <w:tcPr>
            <w:tcW w:w="851" w:type="dxa"/>
            <w:shd w:val="clear" w:color="auto" w:fill="CCECFF"/>
          </w:tcPr>
          <w:p w:rsidR="000628C1" w:rsidRPr="0058549E" w:rsidRDefault="000628C1" w:rsidP="001706E7"/>
        </w:tc>
        <w:tc>
          <w:tcPr>
            <w:tcW w:w="851" w:type="dxa"/>
            <w:shd w:val="clear" w:color="auto" w:fill="CCECFF"/>
          </w:tcPr>
          <w:p w:rsidR="000628C1" w:rsidRPr="0058549E" w:rsidRDefault="000628C1" w:rsidP="001706E7"/>
        </w:tc>
        <w:tc>
          <w:tcPr>
            <w:tcW w:w="851" w:type="dxa"/>
            <w:shd w:val="clear" w:color="auto" w:fill="CCECFF"/>
          </w:tcPr>
          <w:p w:rsidR="000628C1" w:rsidRPr="0058549E" w:rsidRDefault="000628C1" w:rsidP="001706E7"/>
        </w:tc>
        <w:tc>
          <w:tcPr>
            <w:tcW w:w="851" w:type="dxa"/>
            <w:shd w:val="clear" w:color="auto" w:fill="CCECFF"/>
          </w:tcPr>
          <w:p w:rsidR="000628C1" w:rsidRPr="0058549E" w:rsidRDefault="000628C1" w:rsidP="001706E7"/>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4B2BB9" w:rsidRPr="0058549E" w:rsidTr="00B37A8B">
        <w:tc>
          <w:tcPr>
            <w:tcW w:w="4536"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r>
      <w:tr w:rsidR="004B2BB9" w:rsidRPr="0058549E" w:rsidTr="00B37A8B">
        <w:tc>
          <w:tcPr>
            <w:tcW w:w="4536"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r>
      <w:tr w:rsidR="004B2BB9" w:rsidRPr="0058549E" w:rsidTr="00B37A8B">
        <w:tc>
          <w:tcPr>
            <w:tcW w:w="4536"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bookmarkStart w:id="0" w:name="_GoBack"/>
        <w:bookmarkEnd w:id="0"/>
      </w:tr>
      <w:tr w:rsidR="00A67BE4" w:rsidRPr="0058549E" w:rsidTr="00B37A8B">
        <w:tc>
          <w:tcPr>
            <w:tcW w:w="4536"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r>
      <w:tr w:rsidR="000628C1" w:rsidRPr="0058549E" w:rsidTr="00B37A8B">
        <w:tc>
          <w:tcPr>
            <w:tcW w:w="4536" w:type="dxa"/>
            <w:tcBorders>
              <w:bottom w:val="single" w:sz="4" w:space="0" w:color="auto"/>
            </w:tcBorders>
          </w:tcPr>
          <w:p w:rsidR="000628C1" w:rsidRPr="0058549E" w:rsidRDefault="000628C1" w:rsidP="00B37A8B"/>
        </w:tc>
        <w:tc>
          <w:tcPr>
            <w:tcW w:w="851" w:type="dxa"/>
            <w:tcBorders>
              <w:bottom w:val="single" w:sz="4" w:space="0" w:color="auto"/>
            </w:tcBorders>
          </w:tcPr>
          <w:p w:rsidR="000628C1" w:rsidRPr="0058549E" w:rsidRDefault="000628C1" w:rsidP="00B37A8B"/>
        </w:tc>
        <w:tc>
          <w:tcPr>
            <w:tcW w:w="851" w:type="dxa"/>
            <w:tcBorders>
              <w:bottom w:val="single" w:sz="4" w:space="0" w:color="auto"/>
            </w:tcBorders>
          </w:tcPr>
          <w:p w:rsidR="000628C1" w:rsidRPr="0058549E" w:rsidRDefault="000628C1" w:rsidP="00B37A8B"/>
        </w:tc>
        <w:tc>
          <w:tcPr>
            <w:tcW w:w="851" w:type="dxa"/>
            <w:tcBorders>
              <w:bottom w:val="single" w:sz="4" w:space="0" w:color="auto"/>
            </w:tcBorders>
          </w:tcPr>
          <w:p w:rsidR="000628C1" w:rsidRPr="0058549E" w:rsidRDefault="000628C1" w:rsidP="00B37A8B"/>
        </w:tc>
        <w:tc>
          <w:tcPr>
            <w:tcW w:w="851" w:type="dxa"/>
            <w:tcBorders>
              <w:bottom w:val="single" w:sz="4" w:space="0" w:color="auto"/>
            </w:tcBorders>
          </w:tcPr>
          <w:p w:rsidR="000628C1" w:rsidRPr="0058549E" w:rsidRDefault="000628C1" w:rsidP="00B37A8B"/>
        </w:tc>
      </w:tr>
      <w:tr w:rsidR="000628C1" w:rsidRPr="0058549E" w:rsidTr="007D4291">
        <w:tc>
          <w:tcPr>
            <w:tcW w:w="4536" w:type="dxa"/>
            <w:shd w:val="clear" w:color="auto" w:fill="CCECFF"/>
          </w:tcPr>
          <w:p w:rsidR="000628C1" w:rsidRPr="0058549E" w:rsidRDefault="000628C1" w:rsidP="007D4291">
            <w:r w:rsidRPr="0058549E">
              <w:t xml:space="preserve">Inbouw </w:t>
            </w:r>
          </w:p>
        </w:tc>
        <w:tc>
          <w:tcPr>
            <w:tcW w:w="851" w:type="dxa"/>
            <w:shd w:val="clear" w:color="auto" w:fill="CCECFF"/>
          </w:tcPr>
          <w:p w:rsidR="000628C1" w:rsidRPr="0058549E" w:rsidRDefault="000628C1" w:rsidP="007D4291"/>
        </w:tc>
        <w:tc>
          <w:tcPr>
            <w:tcW w:w="851" w:type="dxa"/>
            <w:shd w:val="clear" w:color="auto" w:fill="CCECFF"/>
          </w:tcPr>
          <w:p w:rsidR="000628C1" w:rsidRPr="0058549E" w:rsidRDefault="000628C1" w:rsidP="007D4291"/>
        </w:tc>
        <w:tc>
          <w:tcPr>
            <w:tcW w:w="851" w:type="dxa"/>
            <w:shd w:val="clear" w:color="auto" w:fill="CCECFF"/>
          </w:tcPr>
          <w:p w:rsidR="000628C1" w:rsidRPr="0058549E" w:rsidRDefault="000628C1" w:rsidP="007D4291"/>
        </w:tc>
        <w:tc>
          <w:tcPr>
            <w:tcW w:w="851" w:type="dxa"/>
            <w:shd w:val="clear" w:color="auto" w:fill="CCECFF"/>
          </w:tcPr>
          <w:p w:rsidR="000628C1" w:rsidRPr="0058549E" w:rsidRDefault="000628C1" w:rsidP="007D4291"/>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A67BE4" w:rsidRPr="0058549E" w:rsidTr="00B37A8B">
        <w:tc>
          <w:tcPr>
            <w:tcW w:w="4536"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c>
          <w:tcPr>
            <w:tcW w:w="851" w:type="dxa"/>
          </w:tcPr>
          <w:p w:rsidR="00A67BE4" w:rsidRPr="0058549E" w:rsidRDefault="00A67BE4" w:rsidP="00B37A8B"/>
        </w:tc>
      </w:tr>
      <w:tr w:rsidR="004B2BB9" w:rsidRPr="0058549E" w:rsidTr="00B37A8B">
        <w:tc>
          <w:tcPr>
            <w:tcW w:w="4536"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r>
      <w:tr w:rsidR="004B2BB9" w:rsidRPr="0058549E" w:rsidTr="00B37A8B">
        <w:tc>
          <w:tcPr>
            <w:tcW w:w="4536"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c>
          <w:tcPr>
            <w:tcW w:w="851" w:type="dxa"/>
          </w:tcPr>
          <w:p w:rsidR="004B2BB9" w:rsidRPr="0058549E" w:rsidRDefault="004B2BB9" w:rsidP="00B37A8B"/>
        </w:tc>
      </w:tr>
      <w:tr w:rsidR="00A67BE4" w:rsidRPr="0058549E" w:rsidTr="00B37A8B">
        <w:tc>
          <w:tcPr>
            <w:tcW w:w="4536"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c>
          <w:tcPr>
            <w:tcW w:w="851" w:type="dxa"/>
            <w:tcBorders>
              <w:bottom w:val="single" w:sz="4" w:space="0" w:color="auto"/>
            </w:tcBorders>
          </w:tcPr>
          <w:p w:rsidR="00A67BE4" w:rsidRPr="0058549E" w:rsidRDefault="00A67BE4" w:rsidP="00B37A8B"/>
        </w:tc>
      </w:tr>
      <w:tr w:rsidR="00A67BE4" w:rsidRPr="0058549E" w:rsidTr="00B3006C">
        <w:tc>
          <w:tcPr>
            <w:tcW w:w="4536" w:type="dxa"/>
            <w:shd w:val="clear" w:color="auto" w:fill="auto"/>
          </w:tcPr>
          <w:p w:rsidR="00A67BE4" w:rsidRPr="0058549E" w:rsidRDefault="00A67BE4" w:rsidP="00B37A8B">
            <w:pPr>
              <w:rPr>
                <w:b/>
              </w:rPr>
            </w:pPr>
          </w:p>
        </w:tc>
        <w:tc>
          <w:tcPr>
            <w:tcW w:w="851" w:type="dxa"/>
            <w:shd w:val="clear" w:color="auto" w:fill="auto"/>
          </w:tcPr>
          <w:p w:rsidR="00A67BE4" w:rsidRPr="0058549E" w:rsidRDefault="00A67BE4" w:rsidP="00B37A8B">
            <w:pPr>
              <w:rPr>
                <w:b/>
              </w:rPr>
            </w:pPr>
          </w:p>
        </w:tc>
        <w:tc>
          <w:tcPr>
            <w:tcW w:w="851" w:type="dxa"/>
            <w:shd w:val="clear" w:color="auto" w:fill="auto"/>
          </w:tcPr>
          <w:p w:rsidR="00A67BE4" w:rsidRPr="0058549E" w:rsidRDefault="00A67BE4" w:rsidP="00B37A8B">
            <w:pPr>
              <w:rPr>
                <w:b/>
              </w:rPr>
            </w:pPr>
          </w:p>
        </w:tc>
        <w:tc>
          <w:tcPr>
            <w:tcW w:w="851" w:type="dxa"/>
            <w:shd w:val="clear" w:color="auto" w:fill="auto"/>
          </w:tcPr>
          <w:p w:rsidR="00A67BE4" w:rsidRPr="0058549E" w:rsidRDefault="00A67BE4" w:rsidP="00B37A8B">
            <w:pPr>
              <w:rPr>
                <w:b/>
              </w:rPr>
            </w:pPr>
          </w:p>
        </w:tc>
        <w:tc>
          <w:tcPr>
            <w:tcW w:w="851" w:type="dxa"/>
            <w:shd w:val="clear" w:color="auto" w:fill="auto"/>
          </w:tcPr>
          <w:p w:rsidR="00A67BE4" w:rsidRPr="0058549E" w:rsidRDefault="00A67BE4" w:rsidP="00B37A8B">
            <w:pPr>
              <w:rPr>
                <w:b/>
              </w:rPr>
            </w:pPr>
          </w:p>
        </w:tc>
      </w:tr>
    </w:tbl>
    <w:p w:rsidR="007A2F77" w:rsidRPr="0058549E" w:rsidRDefault="00A67BE4" w:rsidP="00A67BE4">
      <w:r w:rsidRPr="0058549E">
        <w:br/>
      </w:r>
      <w:r w:rsidRPr="0058549E">
        <w:br/>
      </w:r>
      <w:r w:rsidRPr="0058549E">
        <w:br/>
      </w:r>
      <w:r w:rsidRPr="0058549E">
        <w:rPr>
          <w:b/>
        </w:rPr>
        <w:lastRenderedPageBreak/>
        <w:t>Definities mate van zeggenschapsmatrix</w:t>
      </w:r>
      <w:r w:rsidRPr="0058549E">
        <w:t xml:space="preserve"> </w:t>
      </w:r>
      <w:r w:rsidRPr="0058549E">
        <w:br/>
      </w:r>
    </w:p>
    <w:p w:rsidR="007A2F77" w:rsidRPr="0058549E" w:rsidRDefault="00A67BE4" w:rsidP="00A67BE4">
      <w:r w:rsidRPr="0058549E">
        <w:rPr>
          <w:u w:val="single"/>
        </w:rPr>
        <w:t>Informeren</w:t>
      </w:r>
      <w:r w:rsidRPr="0058549E">
        <w:t xml:space="preserve">: inlichtingen die verstrekt worden door de optienemer  </w:t>
      </w:r>
      <w:r w:rsidRPr="0058549E">
        <w:br/>
      </w:r>
    </w:p>
    <w:p w:rsidR="007A2F77" w:rsidRPr="0058549E" w:rsidRDefault="00A67BE4" w:rsidP="00A67BE4">
      <w:r w:rsidRPr="0058549E">
        <w:rPr>
          <w:u w:val="single"/>
        </w:rPr>
        <w:t>Inspraak</w:t>
      </w:r>
      <w:r w:rsidRPr="0058549E">
        <w:t>: de mogelijkheid om een mening te geven door de (aspirant) koper aan de optienemer</w:t>
      </w:r>
      <w:r w:rsidR="007A2F77" w:rsidRPr="0058549E">
        <w:t xml:space="preserve"> en het inpassen van deze mening in het project of uitleggen waarom inpassen niet mogelijk is</w:t>
      </w:r>
      <w:r w:rsidRPr="0058549E">
        <w:t xml:space="preserve"> </w:t>
      </w:r>
      <w:r w:rsidRPr="0058549E">
        <w:br/>
      </w:r>
    </w:p>
    <w:p w:rsidR="007A2F77" w:rsidRPr="0058549E" w:rsidRDefault="007A2F77" w:rsidP="00A67BE4">
      <w:r w:rsidRPr="0058549E">
        <w:rPr>
          <w:u w:val="single"/>
        </w:rPr>
        <w:t>Individuele keuze</w:t>
      </w:r>
      <w:r w:rsidRPr="0058549E">
        <w:t>: de keuze die iedere  (aspirant) koper autonoom kan maken op basis van een aanbod van de optienemer (is dat alleen een keuze tussen ja of nee of een keuze uit meerdere opties)</w:t>
      </w:r>
    </w:p>
    <w:p w:rsidR="007A2F77" w:rsidRPr="0058549E" w:rsidRDefault="007A2F77" w:rsidP="00A67BE4"/>
    <w:p w:rsidR="00FE0154" w:rsidRPr="0058549E" w:rsidRDefault="00A67BE4" w:rsidP="00A67BE4">
      <w:r w:rsidRPr="0058549E">
        <w:rPr>
          <w:u w:val="single"/>
        </w:rPr>
        <w:t>Collectieve beslissing</w:t>
      </w:r>
      <w:r w:rsidRPr="0058549E">
        <w:t>: een besluit dat wordt voorgelegd door de optienemer en dat genomen wordt op basis van een meerderheid van de (aspirant) kopers</w:t>
      </w:r>
      <w:r w:rsidR="007A2F77" w:rsidRPr="0058549E">
        <w:t xml:space="preserve"> (of andere wijze van besluitvorming conform aangegeven in de inschrijving)</w:t>
      </w:r>
      <w:r w:rsidRPr="0058549E">
        <w:br/>
      </w:r>
    </w:p>
    <w:p w:rsidR="00A67BE4" w:rsidRPr="0058549E" w:rsidRDefault="00A67BE4" w:rsidP="00A67BE4">
      <w:pPr>
        <w:rPr>
          <w:b/>
        </w:rPr>
      </w:pPr>
      <w:r w:rsidRPr="0058549E">
        <w:br/>
      </w:r>
    </w:p>
    <w:sectPr w:rsidR="00A67BE4" w:rsidRPr="0058549E"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7FF82B0C"/>
    <w:multiLevelType w:val="hybridMultilevel"/>
    <w:tmpl w:val="AA8A0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0"/>
  </w:num>
  <w:num w:numId="6">
    <w:abstractNumId w:val="1"/>
  </w:num>
  <w:num w:numId="7">
    <w:abstractNumId w:val="4"/>
  </w:num>
  <w:num w:numId="8">
    <w:abstractNumId w:val="3"/>
  </w:num>
  <w:num w:numId="9">
    <w:abstractNumId w:val="6"/>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3"/>
  </w:num>
  <w:num w:numId="20">
    <w:abstractNumId w:val="6"/>
  </w:num>
  <w:num w:numId="21">
    <w:abstractNumId w:val="0"/>
  </w:num>
  <w:num w:numId="22">
    <w:abstractNumId w:val="1"/>
  </w:num>
  <w:num w:numId="23">
    <w:abstractNumId w:val="4"/>
  </w:num>
  <w:num w:numId="24">
    <w:abstractNumId w:val="0"/>
  </w:num>
  <w:num w:numId="25">
    <w:abstractNumId w:val="0"/>
  </w:num>
  <w:num w:numId="26">
    <w:abstractNumId w:val="0"/>
  </w:num>
  <w:num w:numId="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E4"/>
    <w:rsid w:val="00061286"/>
    <w:rsid w:val="000628C1"/>
    <w:rsid w:val="000B46D8"/>
    <w:rsid w:val="00177A29"/>
    <w:rsid w:val="001A0DE7"/>
    <w:rsid w:val="00245896"/>
    <w:rsid w:val="00294EBD"/>
    <w:rsid w:val="00296315"/>
    <w:rsid w:val="002B5524"/>
    <w:rsid w:val="003B3222"/>
    <w:rsid w:val="00424DED"/>
    <w:rsid w:val="00482A4F"/>
    <w:rsid w:val="004A1139"/>
    <w:rsid w:val="004B2BB9"/>
    <w:rsid w:val="00527398"/>
    <w:rsid w:val="0058549E"/>
    <w:rsid w:val="00632123"/>
    <w:rsid w:val="007A2F77"/>
    <w:rsid w:val="007B3568"/>
    <w:rsid w:val="008104C5"/>
    <w:rsid w:val="008402D9"/>
    <w:rsid w:val="009175F9"/>
    <w:rsid w:val="009761CF"/>
    <w:rsid w:val="009B0D92"/>
    <w:rsid w:val="00A03098"/>
    <w:rsid w:val="00A3732E"/>
    <w:rsid w:val="00A53085"/>
    <w:rsid w:val="00A67BE4"/>
    <w:rsid w:val="00B3006C"/>
    <w:rsid w:val="00BD0C39"/>
    <w:rsid w:val="00E0514B"/>
    <w:rsid w:val="00E4740B"/>
    <w:rsid w:val="00E97428"/>
    <w:rsid w:val="00EB1492"/>
    <w:rsid w:val="00F12F0D"/>
    <w:rsid w:val="00FE0154"/>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A67BE4"/>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rsid w:val="00A67B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A2F77"/>
    <w:pPr>
      <w:ind w:left="720"/>
      <w:contextualSpacing/>
    </w:pPr>
  </w:style>
  <w:style w:type="character" w:styleId="Verwijzingopmerking">
    <w:name w:val="annotation reference"/>
    <w:basedOn w:val="Standaardalinea-lettertype"/>
    <w:uiPriority w:val="99"/>
    <w:unhideWhenUsed/>
    <w:rsid w:val="00FE0154"/>
    <w:rPr>
      <w:sz w:val="16"/>
      <w:szCs w:val="16"/>
    </w:rPr>
  </w:style>
  <w:style w:type="paragraph" w:styleId="Tekstopmerking">
    <w:name w:val="annotation text"/>
    <w:basedOn w:val="Standaard"/>
    <w:link w:val="TekstopmerkingChar"/>
    <w:uiPriority w:val="99"/>
    <w:unhideWhenUsed/>
    <w:rsid w:val="00FE0154"/>
    <w:pPr>
      <w:spacing w:after="20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E0154"/>
    <w:rPr>
      <w:rFonts w:asciiTheme="minorHAnsi" w:eastAsiaTheme="minorHAnsi" w:hAnsiTheme="minorHAnsi" w:cstheme="minorBidi"/>
      <w:sz w:val="20"/>
      <w:szCs w:val="20"/>
      <w:lang w:eastAsia="en-US"/>
    </w:rPr>
  </w:style>
  <w:style w:type="paragraph" w:styleId="Ballontekst">
    <w:name w:val="Balloon Text"/>
    <w:basedOn w:val="Standaard"/>
    <w:link w:val="BallontekstChar"/>
    <w:rsid w:val="00FE015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E0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A67BE4"/>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rsid w:val="00A67B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A2F77"/>
    <w:pPr>
      <w:ind w:left="720"/>
      <w:contextualSpacing/>
    </w:pPr>
  </w:style>
  <w:style w:type="character" w:styleId="Verwijzingopmerking">
    <w:name w:val="annotation reference"/>
    <w:basedOn w:val="Standaardalinea-lettertype"/>
    <w:uiPriority w:val="99"/>
    <w:unhideWhenUsed/>
    <w:rsid w:val="00FE0154"/>
    <w:rPr>
      <w:sz w:val="16"/>
      <w:szCs w:val="16"/>
    </w:rPr>
  </w:style>
  <w:style w:type="paragraph" w:styleId="Tekstopmerking">
    <w:name w:val="annotation text"/>
    <w:basedOn w:val="Standaard"/>
    <w:link w:val="TekstopmerkingChar"/>
    <w:uiPriority w:val="99"/>
    <w:unhideWhenUsed/>
    <w:rsid w:val="00FE0154"/>
    <w:pPr>
      <w:spacing w:after="20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E0154"/>
    <w:rPr>
      <w:rFonts w:asciiTheme="minorHAnsi" w:eastAsiaTheme="minorHAnsi" w:hAnsiTheme="minorHAnsi" w:cstheme="minorBidi"/>
      <w:sz w:val="20"/>
      <w:szCs w:val="20"/>
      <w:lang w:eastAsia="en-US"/>
    </w:rPr>
  </w:style>
  <w:style w:type="paragraph" w:styleId="Ballontekst">
    <w:name w:val="Balloon Text"/>
    <w:basedOn w:val="Standaard"/>
    <w:link w:val="BallontekstChar"/>
    <w:rsid w:val="00FE015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E0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10F7CF0.dotm</Template>
  <TotalTime>2</TotalTime>
  <Pages>2</Pages>
  <Words>132</Words>
  <Characters>1009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Smals, Christine</dc:creator>
  <cp:lastModifiedBy>Abbing, Harjen</cp:lastModifiedBy>
  <cp:revision>5</cp:revision>
  <dcterms:created xsi:type="dcterms:W3CDTF">2018-01-31T11:02:00Z</dcterms:created>
  <dcterms:modified xsi:type="dcterms:W3CDTF">2018-05-30T08:54:00Z</dcterms:modified>
</cp:coreProperties>
</file>