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81" w:rsidRPr="00554081" w:rsidRDefault="00554081" w:rsidP="00554081">
      <w:pPr>
        <w:ind w:left="0" w:firstLine="0"/>
        <w:rPr>
          <w:b/>
          <w:sz w:val="28"/>
          <w:szCs w:val="28"/>
        </w:rPr>
      </w:pPr>
      <w:bookmarkStart w:id="0" w:name="_GoBack"/>
      <w:bookmarkEnd w:id="0"/>
      <w:r>
        <w:rPr>
          <w:b/>
          <w:sz w:val="28"/>
          <w:szCs w:val="28"/>
        </w:rPr>
        <w:t>Bijlage 2 : Cloud</w:t>
      </w:r>
      <w:r w:rsidRPr="00554081">
        <w:rPr>
          <w:b/>
          <w:sz w:val="28"/>
          <w:szCs w:val="28"/>
        </w:rPr>
        <w:t xml:space="preserve">beleid Waalwijk </w:t>
      </w:r>
    </w:p>
    <w:p w:rsidR="00554081" w:rsidRDefault="00554081" w:rsidP="00554081">
      <w:pPr>
        <w:ind w:left="0" w:firstLine="0"/>
      </w:pPr>
    </w:p>
    <w:p w:rsidR="00554081" w:rsidRPr="00554081" w:rsidRDefault="00554081" w:rsidP="00554081">
      <w:pPr>
        <w:ind w:left="0" w:firstLine="0"/>
      </w:pPr>
      <w:r w:rsidRPr="00554081">
        <w:t>Bij het wegen van de risico’s is het van belang onderscheid te maken in de mate van vertrouwelijkheid van de verschillende typen gegevens in de organisatie. Het zaaksysteem, DMS en KCS vallen onder het classificatieniveau Vertrouwelijk. Dit houdt in dat het informatie bevat die alleen toegankelijk mag zijn voor een beperkte groep gebruikers. De informatie wordt ter beschikking gesteld op basis van vertrouwen. Schending van deze classificatie kan serieuze (in)directe schade toebrengen.</w:t>
      </w:r>
    </w:p>
    <w:p w:rsidR="00554081" w:rsidRPr="00554081" w:rsidRDefault="00554081" w:rsidP="00554081">
      <w:pPr>
        <w:ind w:left="0" w:firstLine="0"/>
      </w:pPr>
    </w:p>
    <w:p w:rsidR="005B63D1" w:rsidRPr="00554081" w:rsidRDefault="00554081" w:rsidP="00554081">
      <w:pPr>
        <w:ind w:left="0" w:firstLine="0"/>
      </w:pPr>
      <w:r w:rsidRPr="00554081">
        <w:t>In onderstaande tabellen staan de eisen van de gemeente Waalwijk ten opzichte van Cloud dienstverlening welke van toepassing zijn voor het classificatieniveau Vertrouwelijk.</w:t>
      </w:r>
    </w:p>
    <w:p w:rsidR="00F52DE6" w:rsidRDefault="00F52DE6" w:rsidP="00F52DE6">
      <w:pPr>
        <w:ind w:left="0" w:firstLine="0"/>
        <w:rPr>
          <w:b/>
        </w:rPr>
      </w:pPr>
    </w:p>
    <w:p w:rsidR="00F52DE6" w:rsidRPr="0050421E" w:rsidRDefault="00F52DE6" w:rsidP="00F52DE6">
      <w:pPr>
        <w:ind w:left="0" w:firstLine="0"/>
      </w:pPr>
      <w:r>
        <w:rPr>
          <w:b/>
        </w:rPr>
        <w:t>A</w:t>
      </w:r>
      <w:r w:rsidRPr="00D77E56">
        <w:rPr>
          <w:b/>
        </w:rPr>
        <w:t>lgemeen</w:t>
      </w:r>
    </w:p>
    <w:tbl>
      <w:tblPr>
        <w:tblStyle w:val="Eenvoudigetabel3"/>
        <w:tblW w:w="13382" w:type="dxa"/>
        <w:tblBorders>
          <w:top w:val="single" w:sz="12" w:space="0" w:color="AABA0A"/>
          <w:left w:val="single" w:sz="12" w:space="0" w:color="AABA0A"/>
          <w:bottom w:val="single" w:sz="12" w:space="0" w:color="AABA0A"/>
          <w:right w:val="single" w:sz="12" w:space="0" w:color="AABA0A"/>
        </w:tblBorders>
        <w:tblLayout w:type="fixed"/>
        <w:tblCellMar>
          <w:left w:w="57" w:type="dxa"/>
          <w:right w:w="57" w:type="dxa"/>
        </w:tblCellMar>
        <w:tblLook w:val="04A0" w:firstRow="1" w:lastRow="0" w:firstColumn="1" w:lastColumn="0" w:noHBand="0" w:noVBand="1"/>
      </w:tblPr>
      <w:tblGrid>
        <w:gridCol w:w="534"/>
        <w:gridCol w:w="12848"/>
      </w:tblGrid>
      <w:tr w:rsidR="00C01E54" w:rsidRPr="007F4749" w:rsidTr="00C01E54">
        <w:trPr>
          <w:cnfStyle w:val="100000000000" w:firstRow="1" w:lastRow="0" w:firstColumn="0" w:lastColumn="0" w:oddVBand="0" w:evenVBand="0" w:oddHBand="0" w:evenHBand="0" w:firstRowFirstColumn="0" w:firstRowLastColumn="0" w:lastRowFirstColumn="0" w:lastRowLastColumn="0"/>
          <w:cantSplit/>
          <w:trHeight w:val="33"/>
        </w:trPr>
        <w:tc>
          <w:tcPr>
            <w:tcW w:w="534" w:type="dxa"/>
            <w:tcBorders>
              <w:bottom w:val="nil"/>
            </w:tcBorders>
            <w:shd w:val="solid" w:color="AABA0A" w:fill="FFFFFF"/>
          </w:tcPr>
          <w:p w:rsidR="00C01E54" w:rsidRPr="00C01E54" w:rsidRDefault="00C01E54" w:rsidP="00C01E54">
            <w:pPr>
              <w:pStyle w:val="Default"/>
              <w:rPr>
                <w:bCs w:val="0"/>
                <w:sz w:val="16"/>
                <w:szCs w:val="16"/>
              </w:rPr>
            </w:pPr>
            <w:proofErr w:type="spellStart"/>
            <w:r w:rsidRPr="00C01E54">
              <w:rPr>
                <w:bCs w:val="0"/>
                <w:sz w:val="16"/>
                <w:szCs w:val="16"/>
              </w:rPr>
              <w:t>Nr</w:t>
            </w:r>
            <w:proofErr w:type="spellEnd"/>
          </w:p>
        </w:tc>
        <w:tc>
          <w:tcPr>
            <w:tcW w:w="12848" w:type="dxa"/>
            <w:tcBorders>
              <w:bottom w:val="nil"/>
            </w:tcBorders>
            <w:shd w:val="solid" w:color="AABA0A" w:fill="FFFFFF"/>
          </w:tcPr>
          <w:p w:rsidR="00C01E54" w:rsidRPr="00BA2A48" w:rsidRDefault="00C01E54" w:rsidP="00C01E54">
            <w:pPr>
              <w:pStyle w:val="Default"/>
              <w:rPr>
                <w:bCs w:val="0"/>
                <w:sz w:val="16"/>
                <w:szCs w:val="16"/>
              </w:rPr>
            </w:pPr>
            <w:r w:rsidRPr="00BA2A48">
              <w:rPr>
                <w:bCs w:val="0"/>
                <w:sz w:val="16"/>
                <w:szCs w:val="16"/>
              </w:rPr>
              <w:t>omschrijving</w:t>
            </w:r>
          </w:p>
        </w:tc>
      </w:tr>
      <w:tr w:rsidR="00C01E54" w:rsidRPr="007F4749" w:rsidTr="00C01E54">
        <w:trPr>
          <w:trHeight w:val="219"/>
        </w:trPr>
        <w:tc>
          <w:tcPr>
            <w:tcW w:w="534"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48" w:type="dxa"/>
            <w:tcBorders>
              <w:top w:val="single" w:sz="4" w:space="0" w:color="AABA0A"/>
              <w:bottom w:val="single" w:sz="4" w:space="0" w:color="AABA0A"/>
              <w:right w:val="single" w:sz="4" w:space="0" w:color="AABA0A"/>
            </w:tcBorders>
          </w:tcPr>
          <w:p w:rsidR="00C01E54" w:rsidRPr="003D3B96" w:rsidRDefault="00C01E54" w:rsidP="004176D4">
            <w:r>
              <w:t xml:space="preserve">De leverancier beschikt over een gecertificeerd (ISO27001 of vergelijkbaar) Informatie Beveiliging Management Systeem (ISMS), gerelateerd aan de te leveren diensten. </w:t>
            </w:r>
          </w:p>
        </w:tc>
      </w:tr>
      <w:tr w:rsidR="00C01E54" w:rsidRPr="007F4749" w:rsidTr="00C01E54">
        <w:trPr>
          <w:trHeight w:val="60"/>
        </w:trPr>
        <w:tc>
          <w:tcPr>
            <w:tcW w:w="534" w:type="dxa"/>
            <w:tcBorders>
              <w:top w:val="single" w:sz="4" w:space="0" w:color="AABA0A"/>
              <w:bottom w:val="single" w:sz="4" w:space="0" w:color="AABA0A"/>
            </w:tcBorders>
          </w:tcPr>
          <w:p w:rsidR="00C01E54" w:rsidRDefault="00C01E54" w:rsidP="00F52DE6">
            <w:pPr>
              <w:pStyle w:val="Lijstalinea"/>
              <w:numPr>
                <w:ilvl w:val="0"/>
                <w:numId w:val="5"/>
              </w:numPr>
            </w:pPr>
          </w:p>
          <w:p w:rsidR="00C01E54" w:rsidRDefault="00C01E54" w:rsidP="004176D4"/>
        </w:tc>
        <w:tc>
          <w:tcPr>
            <w:tcW w:w="12848" w:type="dxa"/>
            <w:tcBorders>
              <w:top w:val="single" w:sz="4" w:space="0" w:color="AABA0A"/>
              <w:bottom w:val="single" w:sz="4" w:space="0" w:color="AABA0A"/>
              <w:right w:val="single" w:sz="4" w:space="0" w:color="AABA0A"/>
            </w:tcBorders>
          </w:tcPr>
          <w:p w:rsidR="00C01E54" w:rsidRPr="00C01E54" w:rsidRDefault="00C01E54" w:rsidP="004176D4">
            <w:r>
              <w:t xml:space="preserve">De leverancier levert controleerbaar bewijs van de opzet, bestaan en werking van een passend stelsel van beveiligingsmaatregelen ten aanzien van het geheel van de te leveren dienst(en). </w:t>
            </w:r>
          </w:p>
        </w:tc>
      </w:tr>
      <w:tr w:rsidR="00C01E54" w:rsidRPr="007F4749" w:rsidTr="00C01E54">
        <w:tc>
          <w:tcPr>
            <w:tcW w:w="534"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48" w:type="dxa"/>
            <w:tcBorders>
              <w:top w:val="single" w:sz="4" w:space="0" w:color="AABA0A"/>
              <w:bottom w:val="single" w:sz="4" w:space="0" w:color="AABA0A"/>
              <w:right w:val="single" w:sz="4" w:space="0" w:color="AABA0A"/>
            </w:tcBorders>
          </w:tcPr>
          <w:p w:rsidR="00C01E54" w:rsidRPr="00C44D2C" w:rsidRDefault="00C01E54" w:rsidP="0022225E">
            <w:pPr>
              <w:rPr>
                <w:rFonts w:asciiTheme="minorHAnsi" w:hAnsiTheme="minorHAnsi" w:cstheme="minorHAnsi"/>
              </w:rPr>
            </w:pPr>
            <w:r w:rsidRPr="00C44D2C">
              <w:rPr>
                <w:rFonts w:asciiTheme="minorHAnsi" w:hAnsiTheme="minorHAnsi" w:cstheme="minorHAnsi"/>
              </w:rPr>
              <w:t xml:space="preserve">De </w:t>
            </w:r>
            <w:r>
              <w:rPr>
                <w:rFonts w:asciiTheme="minorHAnsi" w:hAnsiTheme="minorHAnsi" w:cstheme="minorHAnsi"/>
              </w:rPr>
              <w:t>gemeente Waalwijk</w:t>
            </w:r>
            <w:r w:rsidRPr="00C44D2C">
              <w:rPr>
                <w:rFonts w:asciiTheme="minorHAnsi" w:hAnsiTheme="minorHAnsi" w:cstheme="minorHAnsi"/>
              </w:rPr>
              <w:t xml:space="preserve"> heeft het recht de door de leverancier geleverde dienst en bijbehorende processen te auditen, deze audit door een derde partij te laten uitvoeren en de statutaire rechten van de auditors te benoemen.</w:t>
            </w:r>
          </w:p>
        </w:tc>
      </w:tr>
      <w:tr w:rsidR="00C01E54" w:rsidRPr="007F4749" w:rsidTr="00C01E54">
        <w:tc>
          <w:tcPr>
            <w:tcW w:w="534"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48" w:type="dxa"/>
            <w:tcBorders>
              <w:top w:val="single" w:sz="4" w:space="0" w:color="AABA0A"/>
              <w:bottom w:val="single" w:sz="4" w:space="0" w:color="AABA0A"/>
              <w:right w:val="single" w:sz="4" w:space="0" w:color="AABA0A"/>
            </w:tcBorders>
          </w:tcPr>
          <w:p w:rsidR="00C01E54" w:rsidRPr="00400783" w:rsidRDefault="00C01E54" w:rsidP="004176D4">
            <w:r w:rsidRPr="006C76EB">
              <w:t xml:space="preserve">De </w:t>
            </w:r>
            <w:r>
              <w:t xml:space="preserve">gemeente Waalwijk </w:t>
            </w:r>
            <w:r w:rsidRPr="006C76EB">
              <w:t xml:space="preserve">blijft eigenaar van alle </w:t>
            </w:r>
            <w:r>
              <w:t>data</w:t>
            </w:r>
            <w:r w:rsidRPr="006C76EB">
              <w:t xml:space="preserve"> die hij binnen de </w:t>
            </w:r>
            <w:r>
              <w:t>Cloud</w:t>
            </w:r>
            <w:r w:rsidRPr="006C76EB">
              <w:t xml:space="preserve"> verwerkt en/of opslaat.</w:t>
            </w:r>
          </w:p>
        </w:tc>
      </w:tr>
      <w:tr w:rsidR="00C01E54" w:rsidRPr="007F4749" w:rsidTr="00C01E54">
        <w:tc>
          <w:tcPr>
            <w:tcW w:w="534"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48" w:type="dxa"/>
            <w:tcBorders>
              <w:top w:val="single" w:sz="4" w:space="0" w:color="AABA0A"/>
              <w:bottom w:val="single" w:sz="4" w:space="0" w:color="AABA0A"/>
              <w:right w:val="single" w:sz="4" w:space="0" w:color="AABA0A"/>
            </w:tcBorders>
          </w:tcPr>
          <w:p w:rsidR="00C01E54" w:rsidRPr="003D3B96" w:rsidRDefault="00C01E54" w:rsidP="004176D4">
            <w:r>
              <w:t>De fysieke systemen, programmatuur en gegevens staan en blijven in de EU.</w:t>
            </w:r>
          </w:p>
        </w:tc>
      </w:tr>
      <w:tr w:rsidR="00C01E54" w:rsidRPr="007F4749" w:rsidTr="00C01E54">
        <w:tc>
          <w:tcPr>
            <w:tcW w:w="534"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48" w:type="dxa"/>
            <w:tcBorders>
              <w:top w:val="single" w:sz="4" w:space="0" w:color="AABA0A"/>
              <w:bottom w:val="single" w:sz="4" w:space="0" w:color="AABA0A"/>
              <w:right w:val="single" w:sz="4" w:space="0" w:color="AABA0A"/>
            </w:tcBorders>
          </w:tcPr>
          <w:p w:rsidR="00C01E54" w:rsidRPr="00C44D2C" w:rsidRDefault="00C01E54" w:rsidP="00405AAB">
            <w:pPr>
              <w:rPr>
                <w:rFonts w:asciiTheme="minorHAnsi" w:hAnsiTheme="minorHAnsi" w:cstheme="minorHAnsi"/>
              </w:rPr>
            </w:pPr>
            <w:r w:rsidRPr="00C44D2C">
              <w:rPr>
                <w:rFonts w:asciiTheme="minorHAnsi" w:hAnsiTheme="minorHAnsi" w:cstheme="minorHAnsi"/>
              </w:rPr>
              <w:t>In het geval van een (dreigend) beveiligingsincident onderneemt de leverancier alle acties die noodzake</w:t>
            </w:r>
            <w:r>
              <w:rPr>
                <w:rFonts w:asciiTheme="minorHAnsi" w:hAnsiTheme="minorHAnsi" w:cstheme="minorHAnsi"/>
              </w:rPr>
              <w:t>lijk zijn om het risico voor de gemeente Waalwijk</w:t>
            </w:r>
            <w:r w:rsidRPr="00C44D2C">
              <w:rPr>
                <w:rFonts w:asciiTheme="minorHAnsi" w:hAnsiTheme="minorHAnsi" w:cstheme="minorHAnsi"/>
              </w:rPr>
              <w:t xml:space="preserve"> tot een minimum te beperken en meldt deze onmiddellijk aan </w:t>
            </w:r>
            <w:r>
              <w:rPr>
                <w:rFonts w:asciiTheme="minorHAnsi" w:hAnsiTheme="minorHAnsi" w:cstheme="minorHAnsi"/>
              </w:rPr>
              <w:t>de gemeente Waalwijk</w:t>
            </w:r>
            <w:r w:rsidRPr="00C44D2C">
              <w:rPr>
                <w:rFonts w:asciiTheme="minorHAnsi" w:hAnsiTheme="minorHAnsi" w:cstheme="minorHAnsi"/>
              </w:rPr>
              <w:t xml:space="preserve"> </w:t>
            </w:r>
            <w:r w:rsidRPr="003F4843">
              <w:rPr>
                <w:rFonts w:asciiTheme="minorHAnsi" w:hAnsiTheme="minorHAnsi" w:cstheme="minorHAnsi"/>
              </w:rPr>
              <w:t>conform de procedure beschreven in bijlage 3 van de standaard Verwerkersovereenkomst van Waalwijk.</w:t>
            </w:r>
          </w:p>
        </w:tc>
      </w:tr>
    </w:tbl>
    <w:p w:rsidR="00F52DE6" w:rsidRDefault="00F52DE6" w:rsidP="00F52DE6">
      <w:pPr>
        <w:ind w:left="0" w:firstLine="0"/>
        <w:rPr>
          <w:b/>
          <w:bCs/>
        </w:rPr>
      </w:pPr>
    </w:p>
    <w:p w:rsidR="00F52DE6" w:rsidRPr="006C3213" w:rsidRDefault="00F52DE6" w:rsidP="00F52DE6">
      <w:pPr>
        <w:ind w:left="0" w:firstLine="0"/>
        <w:rPr>
          <w:b/>
        </w:rPr>
      </w:pPr>
      <w:r>
        <w:rPr>
          <w:b/>
        </w:rPr>
        <w:t>Applicatie</w:t>
      </w:r>
      <w:r w:rsidRPr="0007076E">
        <w:rPr>
          <w:b/>
        </w:rPr>
        <w:t xml:space="preserve"> </w:t>
      </w:r>
      <w:r>
        <w:rPr>
          <w:b/>
        </w:rPr>
        <w:t xml:space="preserve">en koppelingen </w:t>
      </w:r>
    </w:p>
    <w:tbl>
      <w:tblPr>
        <w:tblStyle w:val="Eenvoudigetabel3"/>
        <w:tblW w:w="13382" w:type="dxa"/>
        <w:tblBorders>
          <w:top w:val="single" w:sz="12" w:space="0" w:color="AABA0A"/>
          <w:left w:val="single" w:sz="12" w:space="0" w:color="AABA0A"/>
          <w:bottom w:val="single" w:sz="12" w:space="0" w:color="AABA0A"/>
          <w:right w:val="single" w:sz="12" w:space="0" w:color="AABA0A"/>
        </w:tblBorders>
        <w:tblLayout w:type="fixed"/>
        <w:tblCellMar>
          <w:left w:w="57" w:type="dxa"/>
          <w:right w:w="57" w:type="dxa"/>
        </w:tblCellMar>
        <w:tblLook w:val="04A0" w:firstRow="1" w:lastRow="0" w:firstColumn="1" w:lastColumn="0" w:noHBand="0" w:noVBand="1"/>
      </w:tblPr>
      <w:tblGrid>
        <w:gridCol w:w="532"/>
        <w:gridCol w:w="12850"/>
      </w:tblGrid>
      <w:tr w:rsidR="00C01E54" w:rsidRPr="007F4749" w:rsidTr="00C01E54">
        <w:trPr>
          <w:cnfStyle w:val="100000000000" w:firstRow="1" w:lastRow="0" w:firstColumn="0" w:lastColumn="0" w:oddVBand="0" w:evenVBand="0" w:oddHBand="0" w:evenHBand="0" w:firstRowFirstColumn="0" w:firstRowLastColumn="0" w:lastRowFirstColumn="0" w:lastRowLastColumn="0"/>
          <w:cantSplit/>
          <w:trHeight w:val="158"/>
        </w:trPr>
        <w:tc>
          <w:tcPr>
            <w:tcW w:w="532" w:type="dxa"/>
            <w:tcBorders>
              <w:bottom w:val="nil"/>
            </w:tcBorders>
            <w:shd w:val="solid" w:color="AABA0A" w:fill="FFFFFF"/>
          </w:tcPr>
          <w:p w:rsidR="00C01E54" w:rsidRPr="00C01E54" w:rsidRDefault="00C01E54" w:rsidP="004176D4">
            <w:pPr>
              <w:rPr>
                <w:rFonts w:ascii="Verdana" w:eastAsia="Times New Roman" w:hAnsi="Verdana" w:cs="Verdana"/>
                <w:bCs w:val="0"/>
                <w:sz w:val="16"/>
                <w:szCs w:val="16"/>
              </w:rPr>
            </w:pPr>
            <w:proofErr w:type="spellStart"/>
            <w:r w:rsidRPr="00C01E54">
              <w:rPr>
                <w:rFonts w:ascii="Verdana" w:eastAsia="Times New Roman" w:hAnsi="Verdana" w:cs="Verdana"/>
                <w:bCs w:val="0"/>
                <w:sz w:val="16"/>
                <w:szCs w:val="16"/>
              </w:rPr>
              <w:t>Nr</w:t>
            </w:r>
            <w:proofErr w:type="spellEnd"/>
          </w:p>
        </w:tc>
        <w:tc>
          <w:tcPr>
            <w:tcW w:w="12850" w:type="dxa"/>
            <w:tcBorders>
              <w:bottom w:val="nil"/>
            </w:tcBorders>
            <w:shd w:val="solid" w:color="AABA0A" w:fill="FFFFFF"/>
          </w:tcPr>
          <w:p w:rsidR="00C01E54" w:rsidRPr="00BA2A48" w:rsidRDefault="00C01E54" w:rsidP="004176D4">
            <w:pPr>
              <w:pStyle w:val="Default"/>
              <w:rPr>
                <w:bCs w:val="0"/>
                <w:sz w:val="16"/>
                <w:szCs w:val="16"/>
              </w:rPr>
            </w:pPr>
            <w:r w:rsidRPr="00BA2A48">
              <w:rPr>
                <w:bCs w:val="0"/>
                <w:sz w:val="16"/>
                <w:szCs w:val="16"/>
              </w:rPr>
              <w:t>omschrijving</w:t>
            </w:r>
          </w:p>
        </w:tc>
      </w:tr>
      <w:tr w:rsidR="00C01E54" w:rsidRPr="007F4749" w:rsidTr="00C01E54">
        <w:trPr>
          <w:trHeight w:val="60"/>
        </w:trPr>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Default="00C01E54" w:rsidP="004176D4">
            <w:r>
              <w:t>De leverancier heeft aantoonbaar maatregelen ingevoerd om de kans dat informatie kan worden onderschept tijdens transport/overdracht door onbevoegden te minimaliseren.</w:t>
            </w:r>
          </w:p>
        </w:tc>
      </w:tr>
      <w:tr w:rsidR="00C01E54" w:rsidRPr="007F4749" w:rsidTr="00C01E54">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Default="00C01E54" w:rsidP="004176D4">
            <w:r>
              <w:t>Bij transport van informatie over onbetrouwbare netwerken (zoals het internet) is encryptie toegepast.</w:t>
            </w:r>
          </w:p>
        </w:tc>
      </w:tr>
      <w:tr w:rsidR="00C01E54" w:rsidRPr="007F4749" w:rsidTr="00C01E54">
        <w:tc>
          <w:tcPr>
            <w:tcW w:w="532" w:type="dxa"/>
            <w:tcBorders>
              <w:top w:val="single" w:sz="4" w:space="0" w:color="AABA0A"/>
              <w:bottom w:val="single" w:sz="4" w:space="0" w:color="AABA0A"/>
            </w:tcBorders>
          </w:tcPr>
          <w:p w:rsidR="00C01E54" w:rsidRPr="00EE46A7"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3D3B96" w:rsidRDefault="00C01E54" w:rsidP="004176D4">
            <w:pPr>
              <w:pStyle w:val="Geenafstand"/>
            </w:pPr>
            <w:r w:rsidRPr="009A1A54">
              <w:t xml:space="preserve">Communicatie tussen de Private </w:t>
            </w:r>
            <w:r>
              <w:t>Cloud</w:t>
            </w:r>
            <w:r w:rsidRPr="009A1A54">
              <w:t xml:space="preserve"> en Public </w:t>
            </w:r>
            <w:proofErr w:type="spellStart"/>
            <w:r>
              <w:t>Cloud</w:t>
            </w:r>
            <w:r w:rsidRPr="009A1A54">
              <w:t>s</w:t>
            </w:r>
            <w:proofErr w:type="spellEnd"/>
            <w:r w:rsidRPr="009A1A54">
              <w:t xml:space="preserve"> vindt uitsluitend plaats via binnen de DMZ</w:t>
            </w:r>
            <w:r>
              <w:rPr>
                <w:rFonts w:asciiTheme="minorHAnsi" w:hAnsiTheme="minorHAnsi" w:cstheme="minorHAnsi"/>
                <w:sz w:val="16"/>
                <w:szCs w:val="16"/>
              </w:rPr>
              <w:t>¹</w:t>
            </w:r>
            <w:r w:rsidRPr="009A1A54">
              <w:t xml:space="preserve"> aangeboden </w:t>
            </w:r>
            <w:proofErr w:type="spellStart"/>
            <w:r w:rsidRPr="009A1A54">
              <w:t>webservices</w:t>
            </w:r>
            <w:proofErr w:type="spellEnd"/>
            <w:r w:rsidRPr="009A1A54">
              <w:t>. Deze koppelingen moeten gecertificeerd zijn.</w:t>
            </w:r>
          </w:p>
        </w:tc>
      </w:tr>
      <w:tr w:rsidR="00C01E54" w:rsidRPr="007F4749" w:rsidTr="00C01E54">
        <w:tc>
          <w:tcPr>
            <w:tcW w:w="532" w:type="dxa"/>
            <w:tcBorders>
              <w:top w:val="single" w:sz="4" w:space="0" w:color="AABA0A"/>
              <w:bottom w:val="single" w:sz="4" w:space="0" w:color="AABA0A"/>
            </w:tcBorders>
          </w:tcPr>
          <w:p w:rsidR="00C01E54" w:rsidRPr="00EE46A7"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9A1A54" w:rsidRDefault="00C01E54" w:rsidP="004176D4">
            <w:pPr>
              <w:ind w:left="0" w:firstLine="0"/>
            </w:pPr>
            <w:r>
              <w:t xml:space="preserve">Gegevensuitwisseling tussen vertrouwde en niet vertrouwde zones dient inhoudelijk geautomatiseerd gecontroleerd te worden op aanwezigheid van </w:t>
            </w:r>
            <w:proofErr w:type="spellStart"/>
            <w:r>
              <w:t>malware</w:t>
            </w:r>
            <w:proofErr w:type="spellEnd"/>
            <w:r>
              <w:t>.</w:t>
            </w:r>
          </w:p>
        </w:tc>
      </w:tr>
      <w:tr w:rsidR="00C01E54" w:rsidRPr="007F4749" w:rsidTr="00C01E54">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8C41D9" w:rsidRDefault="00203A88" w:rsidP="00D94747">
            <w:pPr>
              <w:pStyle w:val="Geenafstand"/>
              <w:rPr>
                <w:color w:val="auto"/>
              </w:rPr>
            </w:pPr>
            <w:r w:rsidRPr="00B774B2">
              <w:t xml:space="preserve">De leverancier mag bij het verwerken van de gegevens alleen derden inschakelen met wie hij een schriftelijke overeenkomst heeft gesloten waarin geheimhoudings-en beveiligingsverplichtingen zijn opgenomen welke </w:t>
            </w:r>
            <w:r w:rsidR="00882B5F">
              <w:t xml:space="preserve">minimaal gelijkwaardig </w:t>
            </w:r>
            <w:r w:rsidRPr="00B774B2">
              <w:t xml:space="preserve">zijn </w:t>
            </w:r>
            <w:r w:rsidR="00882B5F">
              <w:t xml:space="preserve">aan </w:t>
            </w:r>
            <w:r w:rsidR="00D94747">
              <w:t>het</w:t>
            </w:r>
            <w:r w:rsidRPr="00B774B2">
              <w:t xml:space="preserve"> afgesproken beveiligingsniveau tussen de leverancier en Waalwijk.</w:t>
            </w:r>
          </w:p>
        </w:tc>
      </w:tr>
      <w:tr w:rsidR="00C01E54" w:rsidRPr="007F4749" w:rsidTr="00C01E54">
        <w:tc>
          <w:tcPr>
            <w:tcW w:w="532" w:type="dxa"/>
            <w:tcBorders>
              <w:top w:val="single" w:sz="4" w:space="0" w:color="AABA0A"/>
              <w:bottom w:val="single" w:sz="4" w:space="0" w:color="AABA0A"/>
            </w:tcBorders>
          </w:tcPr>
          <w:p w:rsidR="00C01E54" w:rsidRPr="00EE46A7"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3D3B96" w:rsidRDefault="00C01E54" w:rsidP="00BB1A05">
            <w:r w:rsidRPr="00400783">
              <w:t xml:space="preserve">Bij </w:t>
            </w:r>
            <w:proofErr w:type="spellStart"/>
            <w:r w:rsidRPr="00400783">
              <w:t>SaaS</w:t>
            </w:r>
            <w:proofErr w:type="spellEnd"/>
            <w:r w:rsidRPr="00400783">
              <w:t>-diensten wijkt de digitale identiteit (de user-</w:t>
            </w:r>
            <w:proofErr w:type="spellStart"/>
            <w:r w:rsidRPr="00400783">
              <w:t>id</w:t>
            </w:r>
            <w:proofErr w:type="spellEnd"/>
            <w:r w:rsidRPr="00400783">
              <w:t xml:space="preserve">) niet af van die binnen de Private </w:t>
            </w:r>
            <w:r>
              <w:t>Cloud</w:t>
            </w:r>
            <w:r w:rsidRPr="00400783">
              <w:t xml:space="preserve">. Het beheer van toegangsrechten, inclusief de bewaking van functie-scheiding, </w:t>
            </w:r>
            <w:r w:rsidRPr="00AF1980">
              <w:t>geschiedt vanuit één (logisch) identiteit management systeem zonder hulp van de leverancier (zero-</w:t>
            </w:r>
            <w:proofErr w:type="spellStart"/>
            <w:r w:rsidRPr="00AF1980">
              <w:t>coding</w:t>
            </w:r>
            <w:proofErr w:type="spellEnd"/>
            <w:r w:rsidRPr="00AF1980">
              <w:t>).</w:t>
            </w:r>
            <w:r>
              <w:t xml:space="preserve"> </w:t>
            </w:r>
          </w:p>
        </w:tc>
      </w:tr>
      <w:tr w:rsidR="00C01E54" w:rsidRPr="007F4749" w:rsidTr="00C01E54">
        <w:tc>
          <w:tcPr>
            <w:tcW w:w="532" w:type="dxa"/>
            <w:tcBorders>
              <w:top w:val="single" w:sz="4" w:space="0" w:color="AABA0A"/>
              <w:bottom w:val="single" w:sz="4" w:space="0" w:color="AABA0A"/>
            </w:tcBorders>
          </w:tcPr>
          <w:p w:rsidR="00C01E54" w:rsidRPr="00EE46A7"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5A6612" w:rsidRDefault="00C01E54" w:rsidP="00CB5CEA">
            <w:r w:rsidRPr="00CB5CEA">
              <w:t>Bij het inloggen in een SAAS oplossing via een willekeurige internetverbinding wordt dit minimaal afgedwongen met behulp van een tweetraps-authenticatie.</w:t>
            </w:r>
          </w:p>
        </w:tc>
      </w:tr>
      <w:tr w:rsidR="00C01E54" w:rsidRPr="007F4749" w:rsidTr="00C01E54">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400783" w:rsidRDefault="00C01E54" w:rsidP="004176D4">
            <w:r>
              <w:t xml:space="preserve">De </w:t>
            </w:r>
            <w:r w:rsidRPr="000E3012">
              <w:t>leverancier heeft aantoonbaar maatregelen ingevoerd ten behoeve van sterke user authenticatie voor toegang tot gegevens</w:t>
            </w:r>
          </w:p>
        </w:tc>
      </w:tr>
      <w:tr w:rsidR="00C01E54" w:rsidRPr="007F4749" w:rsidTr="00C01E54">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Default="00C01E54" w:rsidP="004176D4">
            <w:r>
              <w:t>De leverancier toont aan dat:</w:t>
            </w:r>
          </w:p>
          <w:p w:rsidR="00C01E54" w:rsidRDefault="00C01E54" w:rsidP="004176D4">
            <w:r>
              <w:t>- de organisatiegegevens logisch en functioneel zijn gescheiden van de overige afnemers. Een logische en functionele scheiding wordt gegarandeerd;</w:t>
            </w:r>
          </w:p>
          <w:p w:rsidR="00C01E54" w:rsidRDefault="00C01E54" w:rsidP="004176D4">
            <w:r>
              <w:t>- er geen afhankelijkheid bestaat van andere afnemers in geval van:</w:t>
            </w:r>
          </w:p>
          <w:p w:rsidR="00C01E54" w:rsidRDefault="00C01E54" w:rsidP="00F52DE6">
            <w:pPr>
              <w:pStyle w:val="Lijstalinea"/>
              <w:numPr>
                <w:ilvl w:val="0"/>
                <w:numId w:val="2"/>
              </w:numPr>
            </w:pPr>
            <w:r>
              <w:t>onderhoud- en releasewerkzaamheden;</w:t>
            </w:r>
          </w:p>
          <w:p w:rsidR="00C01E54" w:rsidRPr="003D3B96" w:rsidRDefault="00C01E54" w:rsidP="00F52DE6">
            <w:pPr>
              <w:pStyle w:val="Lijstalinea"/>
              <w:numPr>
                <w:ilvl w:val="0"/>
                <w:numId w:val="2"/>
              </w:numPr>
            </w:pPr>
            <w:r>
              <w:t>technische uitwijk;</w:t>
            </w:r>
          </w:p>
          <w:p w:rsidR="00C01E54" w:rsidRPr="006C76EB" w:rsidRDefault="00C01E54" w:rsidP="004176D4">
            <w:pPr>
              <w:pStyle w:val="Default"/>
              <w:rPr>
                <w:rFonts w:asciiTheme="minorHAnsi" w:hAnsiTheme="minorHAnsi" w:cstheme="minorHAnsi"/>
                <w:sz w:val="20"/>
                <w:szCs w:val="20"/>
              </w:rPr>
            </w:pPr>
            <w:r w:rsidRPr="006C76EB">
              <w:rPr>
                <w:rFonts w:asciiTheme="minorHAnsi" w:hAnsiTheme="minorHAnsi" w:cstheme="minorHAnsi"/>
                <w:sz w:val="20"/>
                <w:szCs w:val="20"/>
              </w:rPr>
              <w:t>- de performance niet lijdt onder de piekbelastingen door andere afnemers van de infrastructuur;</w:t>
            </w:r>
          </w:p>
          <w:p w:rsidR="00C01E54" w:rsidRPr="0062302B" w:rsidRDefault="00C01E54" w:rsidP="004176D4">
            <w:pPr>
              <w:pStyle w:val="Default"/>
              <w:rPr>
                <w:rFonts w:asciiTheme="minorHAnsi" w:hAnsiTheme="minorHAnsi" w:cstheme="minorHAnsi"/>
                <w:sz w:val="20"/>
                <w:szCs w:val="20"/>
              </w:rPr>
            </w:pPr>
            <w:r w:rsidRPr="006C76EB">
              <w:rPr>
                <w:rFonts w:asciiTheme="minorHAnsi" w:hAnsiTheme="minorHAnsi" w:cstheme="minorHAnsi"/>
                <w:sz w:val="20"/>
                <w:szCs w:val="20"/>
              </w:rPr>
              <w:t>- de schaalbaarheid en flexibiliteit niet worden beperkt.</w:t>
            </w:r>
          </w:p>
        </w:tc>
      </w:tr>
      <w:tr w:rsidR="00C01E54" w:rsidRPr="007F4749" w:rsidTr="00C01E54">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Default="00C01E54" w:rsidP="004176D4">
            <w:pPr>
              <w:ind w:left="0" w:firstLine="0"/>
            </w:pPr>
            <w:r w:rsidRPr="00695DF3">
              <w:t>Op basis van voorspellingen van het gebruik wordt actie genomen om tijdig de benodigde uitbreiding van capaciteit te bewerkstelligen</w:t>
            </w:r>
            <w:r>
              <w:t xml:space="preserve">. Gemeente Waalwijk wordt hier tijdig over geïnformeerd. </w:t>
            </w:r>
          </w:p>
        </w:tc>
      </w:tr>
      <w:tr w:rsidR="00C01E54" w:rsidRPr="007F4749" w:rsidTr="00C01E54">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4E157B" w:rsidRDefault="00C01E54" w:rsidP="000E3012">
            <w:pPr>
              <w:rPr>
                <w:sz w:val="24"/>
                <w:szCs w:val="24"/>
              </w:rPr>
            </w:pPr>
            <w:r w:rsidRPr="00CB5CEA">
              <w:t>De leverancier waarborgt dat de oplossing niet meer dan één major versie achterloopt (‘neerwaartse compatibiliteit’) op de open standaarden van het Forum Standaardisatie en de landelijke standaarden, zoals de Zaak-document-services’ etc.</w:t>
            </w:r>
          </w:p>
        </w:tc>
      </w:tr>
      <w:tr w:rsidR="00C01E54" w:rsidRPr="007F4749" w:rsidTr="00C01E54">
        <w:trPr>
          <w:trHeight w:val="552"/>
        </w:trPr>
        <w:tc>
          <w:tcPr>
            <w:tcW w:w="532" w:type="dxa"/>
            <w:tcBorders>
              <w:top w:val="single" w:sz="4" w:space="0" w:color="AABA0A"/>
              <w:bottom w:val="single" w:sz="4" w:space="0" w:color="AABA0A"/>
            </w:tcBorders>
          </w:tcPr>
          <w:p w:rsidR="00C01E54" w:rsidRDefault="00C01E54" w:rsidP="00F52DE6">
            <w:pPr>
              <w:pStyle w:val="Lijstalinea"/>
              <w:numPr>
                <w:ilvl w:val="0"/>
                <w:numId w:val="5"/>
              </w:numPr>
            </w:pPr>
          </w:p>
        </w:tc>
        <w:tc>
          <w:tcPr>
            <w:tcW w:w="12850" w:type="dxa"/>
            <w:tcBorders>
              <w:top w:val="single" w:sz="4" w:space="0" w:color="AABA0A"/>
              <w:bottom w:val="single" w:sz="4" w:space="0" w:color="AABA0A"/>
              <w:right w:val="single" w:sz="4" w:space="0" w:color="AABA0A"/>
            </w:tcBorders>
          </w:tcPr>
          <w:p w:rsidR="00C01E54" w:rsidRDefault="00C01E54" w:rsidP="00AF1980">
            <w:pPr>
              <w:autoSpaceDE w:val="0"/>
              <w:autoSpaceDN w:val="0"/>
              <w:adjustRightInd w:val="0"/>
              <w:spacing w:after="0" w:line="240" w:lineRule="auto"/>
              <w:ind w:left="0" w:right="0" w:firstLine="0"/>
              <w:rPr>
                <w:rFonts w:eastAsiaTheme="minorHAnsi"/>
                <w:color w:val="auto"/>
                <w:lang w:eastAsia="en-US"/>
              </w:rPr>
            </w:pPr>
            <w:r>
              <w:rPr>
                <w:rFonts w:eastAsiaTheme="minorHAnsi"/>
                <w:color w:val="auto"/>
                <w:lang w:eastAsia="en-US"/>
              </w:rPr>
              <w:t>Aanvullende eisen gemeente Waalwijk (maatwerk per keer):</w:t>
            </w:r>
          </w:p>
          <w:p w:rsidR="00C01E54" w:rsidRDefault="00C01E54" w:rsidP="00AF1980">
            <w:pPr>
              <w:autoSpaceDE w:val="0"/>
              <w:autoSpaceDN w:val="0"/>
              <w:adjustRightInd w:val="0"/>
              <w:spacing w:after="0" w:line="240" w:lineRule="auto"/>
              <w:ind w:left="0" w:right="0" w:firstLine="0"/>
            </w:pPr>
            <w:r>
              <w:rPr>
                <w:rFonts w:ascii="Calibri,Italic" w:eastAsiaTheme="minorHAnsi" w:hAnsi="Calibri,Italic" w:cs="Calibri,Italic"/>
                <w:i/>
                <w:iCs/>
                <w:color w:val="auto"/>
                <w:sz w:val="18"/>
                <w:szCs w:val="18"/>
                <w:lang w:eastAsia="en-US"/>
              </w:rPr>
              <w:t xml:space="preserve">- </w:t>
            </w:r>
            <w:r w:rsidRPr="00CB5CEA">
              <w:t>printen vanuit de oplossing op lokale printers moet</w:t>
            </w:r>
            <w:r>
              <w:t xml:space="preserve"> zonder problemen mogelijk zijn</w:t>
            </w:r>
          </w:p>
          <w:p w:rsidR="00C01E54" w:rsidRPr="001B60FB" w:rsidRDefault="00C01E54" w:rsidP="00CB5CEA">
            <w:pPr>
              <w:autoSpaceDE w:val="0"/>
              <w:autoSpaceDN w:val="0"/>
              <w:adjustRightInd w:val="0"/>
              <w:spacing w:after="0" w:line="240" w:lineRule="auto"/>
              <w:ind w:left="0" w:right="0" w:firstLine="0"/>
              <w:rPr>
                <w:i/>
                <w:sz w:val="18"/>
                <w:szCs w:val="18"/>
              </w:rPr>
            </w:pPr>
            <w:r>
              <w:t>- a</w:t>
            </w:r>
            <w:r w:rsidRPr="00CB5CEA">
              <w:t xml:space="preserve">uthenticatie verloopt via de Active Directory van de gemeente Waalwijk. Na authenticatie via de Active Directory, hebben gebruikers door middel van Single </w:t>
            </w:r>
            <w:proofErr w:type="spellStart"/>
            <w:r w:rsidRPr="00CB5CEA">
              <w:t>Sign</w:t>
            </w:r>
            <w:proofErr w:type="spellEnd"/>
            <w:r w:rsidRPr="00CB5CEA">
              <w:t xml:space="preserve"> On (SSO) direct toegang tot alle onderdelen van de aangeboden Oplossing, uiteraard voor zover ze daartoe zijn geautoriseerd. SSO wil zeggen dat de gebruiker niet apart hoeft in te loggen in de oplossing nadat de gebruiker is aangemeld op het netwerk (via de Active Directory).</w:t>
            </w:r>
          </w:p>
        </w:tc>
      </w:tr>
    </w:tbl>
    <w:p w:rsidR="00F52DE6" w:rsidRPr="008B209A" w:rsidRDefault="00F52DE6" w:rsidP="00F52DE6">
      <w:pPr>
        <w:rPr>
          <w:sz w:val="16"/>
          <w:szCs w:val="16"/>
        </w:rPr>
      </w:pPr>
      <w:r>
        <w:rPr>
          <w:rFonts w:asciiTheme="minorHAnsi" w:hAnsiTheme="minorHAnsi" w:cstheme="minorHAnsi"/>
          <w:sz w:val="16"/>
          <w:szCs w:val="16"/>
        </w:rPr>
        <w:t>¹</w:t>
      </w:r>
      <w:r w:rsidRPr="001B7FE0">
        <w:rPr>
          <w:rFonts w:asciiTheme="minorHAnsi" w:hAnsiTheme="minorHAnsi" w:cstheme="minorHAnsi"/>
          <w:sz w:val="16"/>
          <w:szCs w:val="16"/>
        </w:rPr>
        <w:t xml:space="preserve"> </w:t>
      </w:r>
      <w:r w:rsidRPr="001B7FE0">
        <w:rPr>
          <w:sz w:val="16"/>
          <w:szCs w:val="16"/>
          <w:lang w:eastAsia="en-US"/>
        </w:rPr>
        <w:t xml:space="preserve">Een </w:t>
      </w:r>
      <w:proofErr w:type="spellStart"/>
      <w:r w:rsidRPr="001B7FE0">
        <w:rPr>
          <w:sz w:val="16"/>
          <w:szCs w:val="16"/>
          <w:lang w:eastAsia="en-US"/>
        </w:rPr>
        <w:t>demilitarized</w:t>
      </w:r>
      <w:proofErr w:type="spellEnd"/>
      <w:r w:rsidRPr="001B7FE0">
        <w:rPr>
          <w:sz w:val="16"/>
          <w:szCs w:val="16"/>
          <w:lang w:eastAsia="en-US"/>
        </w:rPr>
        <w:t xml:space="preserve"> zone (DMZ) is een netwerksegment dat zich tussen het interne en externe netwerk bevindt. Het externe netwerk is meestal het </w:t>
      </w:r>
      <w:hyperlink r:id="rId7" w:tooltip="Internet" w:history="1">
        <w:r w:rsidRPr="001B7FE0">
          <w:rPr>
            <w:sz w:val="16"/>
            <w:szCs w:val="16"/>
            <w:lang w:eastAsia="en-US"/>
          </w:rPr>
          <w:t>internet</w:t>
        </w:r>
      </w:hyperlink>
      <w:r w:rsidRPr="001B7FE0">
        <w:rPr>
          <w:sz w:val="16"/>
          <w:szCs w:val="16"/>
          <w:lang w:eastAsia="en-US"/>
        </w:rPr>
        <w:t>.</w:t>
      </w:r>
      <w:r>
        <w:rPr>
          <w:sz w:val="16"/>
          <w:szCs w:val="16"/>
          <w:lang w:eastAsia="en-US"/>
        </w:rPr>
        <w:t xml:space="preserve"> </w:t>
      </w:r>
      <w:r w:rsidRPr="001B7FE0">
        <w:rPr>
          <w:sz w:val="16"/>
          <w:szCs w:val="16"/>
          <w:lang w:eastAsia="en-US"/>
        </w:rPr>
        <w:t>Een DMZ is feitelijk een gedeelte van het netwerk dat voor de buitenwereld volledig toegankelijk is maar wel beveiligd wordt door firewall.</w:t>
      </w:r>
      <w:r>
        <w:rPr>
          <w:sz w:val="16"/>
          <w:szCs w:val="16"/>
          <w:lang w:eastAsia="en-US"/>
        </w:rPr>
        <w:br/>
      </w:r>
      <w:r w:rsidRPr="008B209A">
        <w:rPr>
          <w:sz w:val="16"/>
          <w:szCs w:val="16"/>
        </w:rPr>
        <w:t xml:space="preserve">² Active Directory </w:t>
      </w:r>
      <w:proofErr w:type="spellStart"/>
      <w:r w:rsidRPr="008B209A">
        <w:rPr>
          <w:sz w:val="16"/>
          <w:szCs w:val="16"/>
        </w:rPr>
        <w:t>Federation</w:t>
      </w:r>
      <w:proofErr w:type="spellEnd"/>
      <w:r w:rsidRPr="008B209A">
        <w:rPr>
          <w:sz w:val="16"/>
          <w:szCs w:val="16"/>
        </w:rPr>
        <w:t xml:space="preserve"> Services (ADFS)</w:t>
      </w:r>
      <w:r>
        <w:rPr>
          <w:sz w:val="16"/>
          <w:szCs w:val="16"/>
        </w:rPr>
        <w:t xml:space="preserve"> een softwarecomponent</w:t>
      </w:r>
      <w:r w:rsidRPr="008B209A">
        <w:rPr>
          <w:sz w:val="16"/>
          <w:szCs w:val="16"/>
        </w:rPr>
        <w:t xml:space="preserve"> om gebruikers te voorzien van eenmal</w:t>
      </w:r>
      <w:r>
        <w:rPr>
          <w:sz w:val="16"/>
          <w:szCs w:val="16"/>
        </w:rPr>
        <w:t>ige aanmelding voor systemen/</w:t>
      </w:r>
      <w:r w:rsidRPr="008B209A">
        <w:rPr>
          <w:sz w:val="16"/>
          <w:szCs w:val="16"/>
        </w:rPr>
        <w:t>applicaties die over organisatorische grenzen liggen.</w:t>
      </w:r>
    </w:p>
    <w:p w:rsidR="005B63D1" w:rsidRDefault="005B63D1" w:rsidP="00F52DE6">
      <w:pPr>
        <w:ind w:left="0" w:firstLine="0"/>
        <w:rPr>
          <w:b/>
        </w:rPr>
      </w:pPr>
    </w:p>
    <w:p w:rsidR="00F52DE6" w:rsidRPr="006C76EB" w:rsidRDefault="00F52DE6" w:rsidP="00F52DE6">
      <w:pPr>
        <w:ind w:left="0" w:firstLine="0"/>
        <w:rPr>
          <w:b/>
        </w:rPr>
      </w:pPr>
      <w:r>
        <w:rPr>
          <w:b/>
        </w:rPr>
        <w:t>Informatiebeheer</w:t>
      </w:r>
    </w:p>
    <w:tbl>
      <w:tblPr>
        <w:tblStyle w:val="Eenvoudigetabel3"/>
        <w:tblW w:w="13382" w:type="dxa"/>
        <w:tblBorders>
          <w:top w:val="single" w:sz="12" w:space="0" w:color="AABA0A"/>
          <w:left w:val="single" w:sz="12" w:space="0" w:color="AABA0A"/>
          <w:bottom w:val="single" w:sz="12" w:space="0" w:color="AABA0A"/>
          <w:right w:val="single" w:sz="12" w:space="0" w:color="AABA0A"/>
        </w:tblBorders>
        <w:tblLayout w:type="fixed"/>
        <w:tblCellMar>
          <w:left w:w="57" w:type="dxa"/>
          <w:right w:w="57" w:type="dxa"/>
        </w:tblCellMar>
        <w:tblLook w:val="04A0" w:firstRow="1" w:lastRow="0" w:firstColumn="1" w:lastColumn="0" w:noHBand="0" w:noVBand="1"/>
      </w:tblPr>
      <w:tblGrid>
        <w:gridCol w:w="532"/>
        <w:gridCol w:w="12850"/>
      </w:tblGrid>
      <w:tr w:rsidR="00C01E54" w:rsidRPr="007F4749" w:rsidTr="00C01E54">
        <w:trPr>
          <w:cnfStyle w:val="100000000000" w:firstRow="1" w:lastRow="0" w:firstColumn="0" w:lastColumn="0" w:oddVBand="0" w:evenVBand="0" w:oddHBand="0" w:evenHBand="0" w:firstRowFirstColumn="0" w:firstRowLastColumn="0" w:lastRowFirstColumn="0" w:lastRowLastColumn="0"/>
          <w:cantSplit/>
          <w:trHeight w:val="42"/>
        </w:trPr>
        <w:tc>
          <w:tcPr>
            <w:tcW w:w="532" w:type="dxa"/>
            <w:tcBorders>
              <w:bottom w:val="nil"/>
            </w:tcBorders>
            <w:shd w:val="solid" w:color="AABA0A" w:fill="FFFFFF"/>
          </w:tcPr>
          <w:p w:rsidR="00C01E54" w:rsidRPr="00C01E54" w:rsidRDefault="00C01E54" w:rsidP="00C01E54">
            <w:pPr>
              <w:pStyle w:val="Default"/>
              <w:rPr>
                <w:bCs w:val="0"/>
                <w:sz w:val="16"/>
                <w:szCs w:val="16"/>
              </w:rPr>
            </w:pPr>
            <w:proofErr w:type="spellStart"/>
            <w:r w:rsidRPr="00C01E54">
              <w:rPr>
                <w:bCs w:val="0"/>
                <w:sz w:val="16"/>
                <w:szCs w:val="16"/>
              </w:rPr>
              <w:t>Nr</w:t>
            </w:r>
            <w:proofErr w:type="spellEnd"/>
          </w:p>
        </w:tc>
        <w:tc>
          <w:tcPr>
            <w:tcW w:w="12850" w:type="dxa"/>
            <w:tcBorders>
              <w:bottom w:val="nil"/>
            </w:tcBorders>
            <w:shd w:val="solid" w:color="AABA0A" w:fill="FFFFFF"/>
          </w:tcPr>
          <w:p w:rsidR="00C01E54" w:rsidRPr="00BA2A48" w:rsidRDefault="00C01E54" w:rsidP="00C01E54">
            <w:pPr>
              <w:pStyle w:val="Default"/>
              <w:rPr>
                <w:bCs w:val="0"/>
                <w:sz w:val="16"/>
                <w:szCs w:val="16"/>
              </w:rPr>
            </w:pPr>
            <w:r w:rsidRPr="00BA2A48">
              <w:rPr>
                <w:bCs w:val="0"/>
                <w:sz w:val="16"/>
                <w:szCs w:val="16"/>
              </w:rPr>
              <w:t>omschrijving</w:t>
            </w:r>
          </w:p>
        </w:tc>
      </w:tr>
      <w:tr w:rsidR="00C01E54" w:rsidRPr="007F4749" w:rsidTr="00C01E54">
        <w:trPr>
          <w:trHeight w:val="411"/>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Default="00C01E54" w:rsidP="00451116">
            <w:pPr>
              <w:ind w:firstLine="0"/>
              <w:rPr>
                <w:rFonts w:asciiTheme="minorHAnsi" w:hAnsiTheme="minorHAnsi" w:cstheme="minorHAnsi"/>
              </w:rPr>
            </w:pPr>
            <w:r w:rsidRPr="00021476">
              <w:rPr>
                <w:rFonts w:asciiTheme="minorHAnsi" w:hAnsiTheme="minorHAnsi" w:cstheme="minorHAnsi"/>
              </w:rPr>
              <w:t>De oplossing beschikt over een niet-muteerbare audit-</w:t>
            </w:r>
            <w:proofErr w:type="spellStart"/>
            <w:r w:rsidRPr="00021476">
              <w:rPr>
                <w:rFonts w:asciiTheme="minorHAnsi" w:hAnsiTheme="minorHAnsi" w:cstheme="minorHAnsi"/>
              </w:rPr>
              <w:t>trail</w:t>
            </w:r>
            <w:proofErr w:type="spellEnd"/>
            <w:r w:rsidRPr="00021476">
              <w:rPr>
                <w:rFonts w:asciiTheme="minorHAnsi" w:hAnsiTheme="minorHAnsi" w:cstheme="minorHAnsi"/>
              </w:rPr>
              <w:t xml:space="preserve"> zodat van elke van de onderstaande handelingen bekend is wie, wanneer en waar deze is uitgevoerd.</w:t>
            </w:r>
          </w:p>
          <w:p w:rsidR="00C01E54" w:rsidRPr="00021476" w:rsidRDefault="00C01E54" w:rsidP="00021476">
            <w:pPr>
              <w:pStyle w:val="Lijstalinea"/>
              <w:numPr>
                <w:ilvl w:val="0"/>
                <w:numId w:val="8"/>
              </w:numPr>
              <w:rPr>
                <w:rFonts w:asciiTheme="minorHAnsi" w:hAnsiTheme="minorHAnsi" w:cstheme="minorHAnsi"/>
              </w:rPr>
            </w:pPr>
            <w:r w:rsidRPr="00021476">
              <w:rPr>
                <w:rFonts w:asciiTheme="minorHAnsi" w:hAnsiTheme="minorHAnsi" w:cstheme="minorHAnsi"/>
              </w:rPr>
              <w:t>Raadplegen;</w:t>
            </w:r>
          </w:p>
          <w:p w:rsidR="00C01E54" w:rsidRPr="00021476" w:rsidRDefault="00C01E54" w:rsidP="00021476">
            <w:pPr>
              <w:pStyle w:val="Lijstalinea"/>
              <w:numPr>
                <w:ilvl w:val="0"/>
                <w:numId w:val="8"/>
              </w:numPr>
              <w:rPr>
                <w:rFonts w:asciiTheme="minorHAnsi" w:hAnsiTheme="minorHAnsi" w:cstheme="minorHAnsi"/>
              </w:rPr>
            </w:pPr>
            <w:r w:rsidRPr="00021476">
              <w:rPr>
                <w:rFonts w:asciiTheme="minorHAnsi" w:hAnsiTheme="minorHAnsi" w:cstheme="minorHAnsi"/>
              </w:rPr>
              <w:t>Creëren / toevoegen;</w:t>
            </w:r>
          </w:p>
          <w:p w:rsidR="00C01E54" w:rsidRPr="00021476" w:rsidRDefault="00C01E54" w:rsidP="00021476">
            <w:pPr>
              <w:pStyle w:val="Lijstalinea"/>
              <w:numPr>
                <w:ilvl w:val="0"/>
                <w:numId w:val="8"/>
              </w:numPr>
              <w:rPr>
                <w:rFonts w:asciiTheme="minorHAnsi" w:hAnsiTheme="minorHAnsi" w:cstheme="minorHAnsi"/>
              </w:rPr>
            </w:pPr>
            <w:r w:rsidRPr="00021476">
              <w:rPr>
                <w:rFonts w:asciiTheme="minorHAnsi" w:hAnsiTheme="minorHAnsi" w:cstheme="minorHAnsi"/>
              </w:rPr>
              <w:t>Wijzigen;</w:t>
            </w:r>
          </w:p>
          <w:p w:rsidR="00C01E54" w:rsidRPr="00021476" w:rsidRDefault="00C01E54" w:rsidP="00021476">
            <w:pPr>
              <w:pStyle w:val="Lijstalinea"/>
              <w:numPr>
                <w:ilvl w:val="0"/>
                <w:numId w:val="8"/>
              </w:numPr>
              <w:rPr>
                <w:rFonts w:asciiTheme="minorHAnsi" w:hAnsiTheme="minorHAnsi" w:cstheme="minorHAnsi"/>
              </w:rPr>
            </w:pPr>
            <w:r w:rsidRPr="00021476">
              <w:rPr>
                <w:rFonts w:asciiTheme="minorHAnsi" w:hAnsiTheme="minorHAnsi" w:cstheme="minorHAnsi"/>
              </w:rPr>
              <w:t>Verwijderen;</w:t>
            </w:r>
          </w:p>
          <w:p w:rsidR="00C01E54" w:rsidRPr="00021476" w:rsidRDefault="00C01E54" w:rsidP="00021476">
            <w:pPr>
              <w:pStyle w:val="Lijstalinea"/>
              <w:numPr>
                <w:ilvl w:val="0"/>
                <w:numId w:val="8"/>
              </w:numPr>
              <w:rPr>
                <w:rFonts w:asciiTheme="minorHAnsi" w:hAnsiTheme="minorHAnsi" w:cstheme="minorHAnsi"/>
              </w:rPr>
            </w:pPr>
            <w:r w:rsidRPr="00021476">
              <w:rPr>
                <w:rFonts w:asciiTheme="minorHAnsi" w:hAnsiTheme="minorHAnsi" w:cstheme="minorHAnsi"/>
              </w:rPr>
              <w:t>Archiveren;</w:t>
            </w:r>
          </w:p>
          <w:p w:rsidR="00C01E54" w:rsidRPr="00154180" w:rsidRDefault="00C01E54" w:rsidP="00154180">
            <w:pPr>
              <w:pStyle w:val="Lijstalinea"/>
              <w:numPr>
                <w:ilvl w:val="0"/>
                <w:numId w:val="8"/>
              </w:numPr>
              <w:rPr>
                <w:rFonts w:asciiTheme="minorHAnsi" w:hAnsiTheme="minorHAnsi" w:cstheme="minorHAnsi"/>
              </w:rPr>
            </w:pPr>
            <w:r w:rsidRPr="00021476">
              <w:rPr>
                <w:rFonts w:asciiTheme="minorHAnsi" w:hAnsiTheme="minorHAnsi" w:cstheme="minorHAnsi"/>
              </w:rPr>
              <w:t>Vernietigen / Overdragen.</w:t>
            </w:r>
          </w:p>
        </w:tc>
      </w:tr>
      <w:tr w:rsidR="00C01E54" w:rsidRPr="007F4749" w:rsidTr="00C01E54">
        <w:trPr>
          <w:trHeight w:val="553"/>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59569B" w:rsidRDefault="0059569B" w:rsidP="0059569B">
            <w:pPr>
              <w:rPr>
                <w:rFonts w:ascii="Verdana" w:hAnsi="Verdana"/>
              </w:rPr>
            </w:pPr>
            <w:r>
              <w:t>De logbestanden uit de audit-</w:t>
            </w:r>
            <w:proofErr w:type="spellStart"/>
            <w:r>
              <w:t>trail</w:t>
            </w:r>
            <w:proofErr w:type="spellEnd"/>
            <w:r>
              <w:t xml:space="preserve"> (zie bovenstaand punt) worden, voor zover ze betrekking hebben op dienstverlening aan de gemeente Waalwijk, op verzoek van de gemeente Waalwijk verstrekt of de gemeente Waalwijk krijgt zelf toegang tot de audit-</w:t>
            </w:r>
            <w:proofErr w:type="spellStart"/>
            <w:r>
              <w:t>trail</w:t>
            </w:r>
            <w:proofErr w:type="spellEnd"/>
            <w:r>
              <w:t xml:space="preserve">. </w:t>
            </w:r>
            <w:r w:rsidRPr="0059569B">
              <w:rPr>
                <w:rStyle w:val="GeenafstandChar"/>
              </w:rPr>
              <w:t>De termijn van aanleveren is vastgelegd in de SLA.</w:t>
            </w:r>
          </w:p>
        </w:tc>
      </w:tr>
      <w:tr w:rsidR="00C01E54" w:rsidRPr="007F4749" w:rsidTr="00C01E54">
        <w:trPr>
          <w:trHeight w:val="53"/>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416FEC" w:rsidRDefault="00C01E54" w:rsidP="00451116">
            <w:pPr>
              <w:rPr>
                <w:rFonts w:asciiTheme="minorHAnsi" w:hAnsiTheme="minorHAnsi" w:cstheme="minorHAnsi"/>
              </w:rPr>
            </w:pPr>
            <w:r w:rsidRPr="00CF4808">
              <w:rPr>
                <w:rFonts w:asciiTheme="minorHAnsi" w:hAnsiTheme="minorHAnsi" w:cstheme="minorHAnsi"/>
              </w:rPr>
              <w:t>De logbestanden uit de audit-</w:t>
            </w:r>
            <w:proofErr w:type="spellStart"/>
            <w:r w:rsidRPr="00CF4808">
              <w:rPr>
                <w:rFonts w:asciiTheme="minorHAnsi" w:hAnsiTheme="minorHAnsi" w:cstheme="minorHAnsi"/>
              </w:rPr>
              <w:t>trail</w:t>
            </w:r>
            <w:proofErr w:type="spellEnd"/>
            <w:r w:rsidRPr="00CF4808">
              <w:rPr>
                <w:rFonts w:asciiTheme="minorHAnsi" w:hAnsiTheme="minorHAnsi" w:cstheme="minorHAnsi"/>
              </w:rPr>
              <w:t xml:space="preserve"> </w:t>
            </w:r>
            <w:r>
              <w:rPr>
                <w:rFonts w:asciiTheme="minorHAnsi" w:hAnsiTheme="minorHAnsi" w:cstheme="minorHAnsi"/>
              </w:rPr>
              <w:t>(zie bovenstaand punt</w:t>
            </w:r>
            <w:r w:rsidRPr="00416FEC">
              <w:rPr>
                <w:rFonts w:asciiTheme="minorHAnsi" w:hAnsiTheme="minorHAnsi" w:cstheme="minorHAnsi"/>
              </w:rPr>
              <w:t>)</w:t>
            </w:r>
            <w:r>
              <w:rPr>
                <w:rFonts w:asciiTheme="minorHAnsi" w:hAnsiTheme="minorHAnsi" w:cstheme="minorHAnsi"/>
              </w:rPr>
              <w:t xml:space="preserve"> </w:t>
            </w:r>
            <w:r w:rsidRPr="00CF4808">
              <w:rPr>
                <w:rFonts w:asciiTheme="minorHAnsi" w:hAnsiTheme="minorHAnsi" w:cstheme="minorHAnsi"/>
              </w:rPr>
              <w:t>worden gedurende</w:t>
            </w:r>
            <w:r w:rsidR="00882B5F">
              <w:rPr>
                <w:rFonts w:asciiTheme="minorHAnsi" w:hAnsiTheme="minorHAnsi" w:cstheme="minorHAnsi"/>
              </w:rPr>
              <w:t xml:space="preserve"> minimaal</w:t>
            </w:r>
            <w:r w:rsidRPr="00CF4808">
              <w:rPr>
                <w:rFonts w:asciiTheme="minorHAnsi" w:hAnsiTheme="minorHAnsi" w:cstheme="minorHAnsi"/>
              </w:rPr>
              <w:t xml:space="preserve"> twee jaar bewaard.</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Default="00C01E54" w:rsidP="004176D4">
            <w:pPr>
              <w:rPr>
                <w:rFonts w:asciiTheme="minorHAnsi" w:hAnsiTheme="minorHAnsi" w:cstheme="minorHAnsi"/>
              </w:rPr>
            </w:pPr>
            <w:r>
              <w:rPr>
                <w:rFonts w:asciiTheme="minorHAnsi" w:hAnsiTheme="minorHAnsi" w:cstheme="minorHAnsi"/>
              </w:rPr>
              <w:t xml:space="preserve">De leverancier kan te alle tijden aantonen dat de </w:t>
            </w:r>
            <w:r w:rsidRPr="00B94598">
              <w:rPr>
                <w:rFonts w:asciiTheme="minorHAnsi" w:hAnsiTheme="minorHAnsi" w:cstheme="minorHAnsi"/>
              </w:rPr>
              <w:t xml:space="preserve">logbestanden </w:t>
            </w:r>
            <w:r w:rsidRPr="00451116">
              <w:rPr>
                <w:rFonts w:asciiTheme="minorHAnsi" w:hAnsiTheme="minorHAnsi" w:cstheme="minorHAnsi"/>
              </w:rPr>
              <w:t>uit de bovengenoemde audit-</w:t>
            </w:r>
            <w:proofErr w:type="spellStart"/>
            <w:r w:rsidRPr="00451116">
              <w:rPr>
                <w:rFonts w:asciiTheme="minorHAnsi" w:hAnsiTheme="minorHAnsi" w:cstheme="minorHAnsi"/>
              </w:rPr>
              <w:t>trail</w:t>
            </w:r>
            <w:proofErr w:type="spellEnd"/>
            <w:r w:rsidRPr="00451116">
              <w:rPr>
                <w:rFonts w:asciiTheme="minorHAnsi" w:hAnsiTheme="minorHAnsi" w:cstheme="minorHAnsi"/>
              </w:rPr>
              <w:t xml:space="preserve"> na afgesproken periode zijn verwijderd.</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C44D2C" w:rsidRDefault="00C01E54" w:rsidP="004176D4">
            <w:pPr>
              <w:rPr>
                <w:rFonts w:asciiTheme="minorHAnsi" w:hAnsiTheme="minorHAnsi" w:cstheme="minorHAnsi"/>
              </w:rPr>
            </w:pPr>
            <w:r>
              <w:rPr>
                <w:rFonts w:asciiTheme="minorHAnsi" w:hAnsiTheme="minorHAnsi" w:cstheme="minorHAnsi"/>
              </w:rPr>
              <w:t>De leverancier beschikt over een gedegen back-up en recoverybeleid betreffende de omgang met en afhandeling van (</w:t>
            </w:r>
            <w:proofErr w:type="spellStart"/>
            <w:r w:rsidRPr="00C44D2C">
              <w:rPr>
                <w:rFonts w:asciiTheme="minorHAnsi" w:hAnsiTheme="minorHAnsi" w:cstheme="minorHAnsi"/>
              </w:rPr>
              <w:t>beveiligings</w:t>
            </w:r>
            <w:proofErr w:type="spellEnd"/>
            <w:r>
              <w:rPr>
                <w:rFonts w:asciiTheme="minorHAnsi" w:hAnsiTheme="minorHAnsi" w:cstheme="minorHAnsi"/>
              </w:rPr>
              <w:t>)</w:t>
            </w:r>
            <w:r w:rsidRPr="00C44D2C">
              <w:rPr>
                <w:rFonts w:asciiTheme="minorHAnsi" w:hAnsiTheme="minorHAnsi" w:cstheme="minorHAnsi"/>
              </w:rPr>
              <w:t>incidenten</w:t>
            </w:r>
            <w:r>
              <w:rPr>
                <w:rFonts w:asciiTheme="minorHAnsi" w:hAnsiTheme="minorHAnsi" w:cstheme="minorHAnsi"/>
              </w:rPr>
              <w:t xml:space="preserve">. Gemeente Waalwijk kan op verzoek inzage krijgen in het plan. </w:t>
            </w:r>
          </w:p>
        </w:tc>
      </w:tr>
      <w:tr w:rsidR="00C01E54" w:rsidRPr="007F4749" w:rsidTr="00C01E54">
        <w:trPr>
          <w:trHeight w:val="60"/>
        </w:trPr>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Pr="00212F86" w:rsidRDefault="00C01E54" w:rsidP="00021476">
            <w:pPr>
              <w:pStyle w:val="Geenafstand"/>
            </w:pPr>
            <w:r w:rsidRPr="00021476">
              <w:t>De leverancier draagt ten behoeve van migratie naar een andere oplossing, mogelijke verwerking door een ander systeem of beëindiging van contract altijd alle data (inclusief meta-data) uit de oplossing, kosteloos, over aan de gemeente. Dit in een origineel en een duurzaam bestandsformaat (conform standaarden van Forum Standaardisatie Rijksoverheid). Na bevestiging van overdracht wordt alle data van de systemen van de leverancier vernietigd in overleg en met goedkeuring van de gemeente Waalwijk. De leverancier levert een verklaring van vernietiging.</w:t>
            </w:r>
          </w:p>
        </w:tc>
      </w:tr>
      <w:tr w:rsidR="00C01E54" w:rsidRPr="007F4749" w:rsidTr="00C01E54">
        <w:trPr>
          <w:trHeight w:val="60"/>
        </w:trPr>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Default="00C01E54" w:rsidP="004176D4">
            <w:pPr>
              <w:pStyle w:val="Geenafstand"/>
            </w:pPr>
            <w:r>
              <w:t xml:space="preserve">Eisen van de gemeente t.o.v. conversie van gegevens: </w:t>
            </w:r>
          </w:p>
          <w:p w:rsidR="00C01E54" w:rsidRDefault="00C01E54" w:rsidP="004176D4">
            <w:pPr>
              <w:pStyle w:val="Geenafstand"/>
            </w:pPr>
            <w:r>
              <w:t>- data moet in een open standaard formaat (conform standaarden van Forum Standaardisatie Rijksoverheid) aangeboden worden</w:t>
            </w:r>
          </w:p>
          <w:p w:rsidR="00C01E54" w:rsidRPr="00544210" w:rsidRDefault="00C01E54" w:rsidP="004176D4">
            <w:pPr>
              <w:pStyle w:val="Geenafstand"/>
            </w:pPr>
            <w:r w:rsidRPr="00544210">
              <w:t xml:space="preserve">- </w:t>
            </w:r>
            <w:r w:rsidRPr="00544210">
              <w:rPr>
                <w:i/>
              </w:rPr>
              <w:t>[indien nodig hier specifieke eisen invullen]</w:t>
            </w:r>
          </w:p>
        </w:tc>
      </w:tr>
      <w:tr w:rsidR="00C01E54" w:rsidRPr="007F4749" w:rsidTr="00C01E54">
        <w:trPr>
          <w:trHeight w:val="60"/>
        </w:trPr>
        <w:tc>
          <w:tcPr>
            <w:tcW w:w="532" w:type="dxa"/>
            <w:tcBorders>
              <w:top w:val="single" w:sz="4" w:space="0" w:color="AABA0A"/>
              <w:bottom w:val="single" w:sz="4" w:space="0" w:color="AABA0A"/>
            </w:tcBorders>
          </w:tcPr>
          <w:p w:rsidR="00C01E54" w:rsidRDefault="00C01E54" w:rsidP="00F52DE6">
            <w:pPr>
              <w:pStyle w:val="Geenafstand"/>
              <w:numPr>
                <w:ilvl w:val="0"/>
                <w:numId w:val="5"/>
              </w:numPr>
              <w:spacing w:after="5" w:line="248" w:lineRule="auto"/>
            </w:pPr>
          </w:p>
        </w:tc>
        <w:tc>
          <w:tcPr>
            <w:tcW w:w="12850" w:type="dxa"/>
            <w:tcBorders>
              <w:top w:val="single" w:sz="4" w:space="0" w:color="AABA0A"/>
              <w:bottom w:val="single" w:sz="4" w:space="0" w:color="AABA0A"/>
              <w:right w:val="single" w:sz="4" w:space="0" w:color="AABA0A"/>
            </w:tcBorders>
          </w:tcPr>
          <w:p w:rsidR="00C01E54" w:rsidRDefault="00C01E54" w:rsidP="004176D4">
            <w:pPr>
              <w:pStyle w:val="Geenafstand"/>
            </w:pPr>
            <w:r>
              <w:t>Eisen van de gemeente t.o.v. o</w:t>
            </w:r>
            <w:r w:rsidRPr="005B5523">
              <w:t xml:space="preserve">verdacht van gegevens van- en naar de </w:t>
            </w:r>
            <w:r>
              <w:t>Cloud-</w:t>
            </w:r>
            <w:r w:rsidRPr="005B5523">
              <w:t>omgeving</w:t>
            </w:r>
            <w:r>
              <w:t xml:space="preserve">: </w:t>
            </w:r>
          </w:p>
          <w:p w:rsidR="00C01E54" w:rsidRPr="00544210" w:rsidRDefault="00C01E54" w:rsidP="004176D4">
            <w:pPr>
              <w:pStyle w:val="Geenafstand"/>
            </w:pPr>
            <w:r w:rsidRPr="00544210">
              <w:t xml:space="preserve">- </w:t>
            </w:r>
            <w:r w:rsidRPr="00544210">
              <w:rPr>
                <w:i/>
              </w:rPr>
              <w:t>[indien nodig hier specifieke eisen invullen]</w:t>
            </w:r>
            <w:r w:rsidRPr="00544210">
              <w:t xml:space="preserve"> </w:t>
            </w:r>
          </w:p>
        </w:tc>
      </w:tr>
    </w:tbl>
    <w:p w:rsidR="00F52DE6" w:rsidRDefault="00F52DE6" w:rsidP="00F52DE6">
      <w:pPr>
        <w:ind w:left="0" w:firstLine="0"/>
        <w:rPr>
          <w:b/>
        </w:rPr>
      </w:pPr>
    </w:p>
    <w:p w:rsidR="00F52DE6" w:rsidRDefault="00F52DE6" w:rsidP="00F52DE6">
      <w:pPr>
        <w:spacing w:after="0" w:line="240" w:lineRule="auto"/>
        <w:ind w:left="0" w:right="0" w:firstLine="0"/>
        <w:rPr>
          <w:b/>
        </w:rPr>
      </w:pPr>
      <w:r>
        <w:rPr>
          <w:b/>
        </w:rPr>
        <w:t>Licenties, overeenkomsten en dienstverlening</w:t>
      </w:r>
    </w:p>
    <w:tbl>
      <w:tblPr>
        <w:tblStyle w:val="Eenvoudigetabel3"/>
        <w:tblW w:w="13382" w:type="dxa"/>
        <w:tblBorders>
          <w:top w:val="single" w:sz="12" w:space="0" w:color="AABA0A"/>
          <w:left w:val="single" w:sz="12" w:space="0" w:color="AABA0A"/>
          <w:bottom w:val="single" w:sz="12" w:space="0" w:color="AABA0A"/>
          <w:right w:val="single" w:sz="12" w:space="0" w:color="AABA0A"/>
        </w:tblBorders>
        <w:tblLayout w:type="fixed"/>
        <w:tblCellMar>
          <w:left w:w="57" w:type="dxa"/>
          <w:right w:w="57" w:type="dxa"/>
        </w:tblCellMar>
        <w:tblLook w:val="04A0" w:firstRow="1" w:lastRow="0" w:firstColumn="1" w:lastColumn="0" w:noHBand="0" w:noVBand="1"/>
      </w:tblPr>
      <w:tblGrid>
        <w:gridCol w:w="532"/>
        <w:gridCol w:w="12850"/>
      </w:tblGrid>
      <w:tr w:rsidR="00C01E54" w:rsidRPr="007F4749" w:rsidTr="00C01E54">
        <w:trPr>
          <w:cnfStyle w:val="100000000000" w:firstRow="1" w:lastRow="0" w:firstColumn="0" w:lastColumn="0" w:oddVBand="0" w:evenVBand="0" w:oddHBand="0" w:evenHBand="0" w:firstRowFirstColumn="0" w:firstRowLastColumn="0" w:lastRowFirstColumn="0" w:lastRowLastColumn="0"/>
          <w:cantSplit/>
          <w:trHeight w:val="688"/>
        </w:trPr>
        <w:tc>
          <w:tcPr>
            <w:tcW w:w="532" w:type="dxa"/>
            <w:tcBorders>
              <w:bottom w:val="nil"/>
            </w:tcBorders>
            <w:shd w:val="solid" w:color="AABA0A" w:fill="FFFFFF"/>
          </w:tcPr>
          <w:p w:rsidR="00C01E54" w:rsidRPr="00BA2A48" w:rsidRDefault="00C01E54" w:rsidP="004176D4">
            <w:proofErr w:type="spellStart"/>
            <w:r w:rsidRPr="00BA2A48">
              <w:t>Nr</w:t>
            </w:r>
            <w:proofErr w:type="spellEnd"/>
          </w:p>
        </w:tc>
        <w:tc>
          <w:tcPr>
            <w:tcW w:w="12850" w:type="dxa"/>
            <w:tcBorders>
              <w:bottom w:val="nil"/>
            </w:tcBorders>
            <w:shd w:val="solid" w:color="AABA0A" w:fill="FFFFFF"/>
          </w:tcPr>
          <w:p w:rsidR="00C01E54" w:rsidRPr="00BA2A48" w:rsidRDefault="00C01E54" w:rsidP="004176D4">
            <w:pPr>
              <w:pStyle w:val="Default"/>
              <w:rPr>
                <w:bCs w:val="0"/>
                <w:sz w:val="16"/>
                <w:szCs w:val="16"/>
              </w:rPr>
            </w:pPr>
            <w:r w:rsidRPr="00BA2A48">
              <w:rPr>
                <w:bCs w:val="0"/>
                <w:sz w:val="16"/>
                <w:szCs w:val="16"/>
              </w:rPr>
              <w:t>omschrijving</w:t>
            </w:r>
          </w:p>
        </w:tc>
      </w:tr>
      <w:tr w:rsidR="00C01E54" w:rsidRPr="007F4749" w:rsidTr="00C01E54">
        <w:trPr>
          <w:trHeight w:val="208"/>
        </w:trPr>
        <w:tc>
          <w:tcPr>
            <w:tcW w:w="532"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50" w:type="dxa"/>
            <w:tcBorders>
              <w:top w:val="single" w:sz="4" w:space="0" w:color="AABA0A"/>
              <w:bottom w:val="single" w:sz="4" w:space="0" w:color="AABA0A"/>
              <w:right w:val="single" w:sz="4" w:space="0" w:color="AABA0A"/>
            </w:tcBorders>
          </w:tcPr>
          <w:p w:rsidR="00C01E54" w:rsidRDefault="00C01E54" w:rsidP="004176D4">
            <w:r w:rsidRPr="005B5523">
              <w:rPr>
                <w:rFonts w:cstheme="minorHAnsi"/>
              </w:rPr>
              <w:t>Beschrijving van basispakket en aanvullende (optionele) diensten en de daarvoor gehanteerde tarieven</w:t>
            </w:r>
            <w:r>
              <w:rPr>
                <w:rFonts w:cstheme="minorHAnsi"/>
              </w:rPr>
              <w:t xml:space="preserve"> dient vooraf helder te zijn. </w:t>
            </w:r>
          </w:p>
        </w:tc>
      </w:tr>
      <w:tr w:rsidR="00C01E54" w:rsidRPr="007F4749" w:rsidTr="00C01E54">
        <w:trPr>
          <w:trHeight w:val="53"/>
        </w:trPr>
        <w:tc>
          <w:tcPr>
            <w:tcW w:w="532"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50" w:type="dxa"/>
            <w:tcBorders>
              <w:top w:val="single" w:sz="4" w:space="0" w:color="AABA0A"/>
              <w:bottom w:val="single" w:sz="4" w:space="0" w:color="AABA0A"/>
              <w:right w:val="single" w:sz="4" w:space="0" w:color="AABA0A"/>
            </w:tcBorders>
          </w:tcPr>
          <w:p w:rsidR="00C01E54" w:rsidRPr="005B5523" w:rsidRDefault="00C01E54" w:rsidP="004176D4">
            <w:pPr>
              <w:rPr>
                <w:rFonts w:cstheme="minorHAnsi"/>
              </w:rPr>
            </w:pPr>
            <w:r>
              <w:t>Bij afname van Clouddiensten zijn er voor beide partijen (de leverancier en de gemeente Waalwijk)</w:t>
            </w:r>
            <w:r w:rsidRPr="006615A3">
              <w:t xml:space="preserve"> eenduidige aanspreekpunten. </w:t>
            </w:r>
          </w:p>
        </w:tc>
      </w:tr>
      <w:tr w:rsidR="00C01E54" w:rsidRPr="007F4749" w:rsidTr="00C01E54">
        <w:trPr>
          <w:trHeight w:val="53"/>
        </w:trPr>
        <w:tc>
          <w:tcPr>
            <w:tcW w:w="532"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50" w:type="dxa"/>
            <w:tcBorders>
              <w:top w:val="single" w:sz="4" w:space="0" w:color="AABA0A"/>
              <w:bottom w:val="single" w:sz="4" w:space="0" w:color="AABA0A"/>
              <w:right w:val="single" w:sz="4" w:space="0" w:color="AABA0A"/>
            </w:tcBorders>
          </w:tcPr>
          <w:p w:rsidR="00C01E54" w:rsidRDefault="00C01E54" w:rsidP="004176D4">
            <w:r w:rsidRPr="005B5523">
              <w:t xml:space="preserve">Software licenties (van wie zijn deze en mogen deze in een </w:t>
            </w:r>
            <w:r>
              <w:t>Cloud</w:t>
            </w:r>
            <w:r w:rsidRPr="005B5523">
              <w:t xml:space="preserve"> worden gebruikt)</w:t>
            </w:r>
            <w:r>
              <w:t xml:space="preserve"> dienen vooraf helder te zijn</w:t>
            </w:r>
          </w:p>
        </w:tc>
      </w:tr>
      <w:tr w:rsidR="00C01E54" w:rsidRPr="007F4749" w:rsidTr="00C01E54">
        <w:trPr>
          <w:trHeight w:val="53"/>
        </w:trPr>
        <w:tc>
          <w:tcPr>
            <w:tcW w:w="532"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50" w:type="dxa"/>
            <w:tcBorders>
              <w:top w:val="single" w:sz="4" w:space="0" w:color="AABA0A"/>
              <w:bottom w:val="single" w:sz="4" w:space="0" w:color="AABA0A"/>
              <w:right w:val="single" w:sz="4" w:space="0" w:color="AABA0A"/>
            </w:tcBorders>
          </w:tcPr>
          <w:p w:rsidR="00C01E54" w:rsidRPr="005B5523" w:rsidRDefault="00C01E54" w:rsidP="004176D4">
            <w:r w:rsidRPr="006E3EB8">
              <w:t>De looptijd van het contract, verlengingsopties en opzegtermijnen zijn vooraf helder</w:t>
            </w:r>
          </w:p>
        </w:tc>
      </w:tr>
      <w:tr w:rsidR="00C01E54" w:rsidRPr="007F4749" w:rsidTr="00C01E54">
        <w:trPr>
          <w:trHeight w:val="53"/>
        </w:trPr>
        <w:tc>
          <w:tcPr>
            <w:tcW w:w="532" w:type="dxa"/>
            <w:tcBorders>
              <w:top w:val="single" w:sz="4" w:space="0" w:color="AABA0A"/>
              <w:bottom w:val="single" w:sz="4" w:space="0" w:color="AABA0A"/>
            </w:tcBorders>
          </w:tcPr>
          <w:p w:rsidR="00C01E54" w:rsidRPr="00EE46A7" w:rsidRDefault="00C01E54" w:rsidP="00F52DE6">
            <w:pPr>
              <w:pStyle w:val="Lijstalinea"/>
              <w:numPr>
                <w:ilvl w:val="0"/>
                <w:numId w:val="5"/>
              </w:numPr>
            </w:pPr>
          </w:p>
        </w:tc>
        <w:tc>
          <w:tcPr>
            <w:tcW w:w="12850" w:type="dxa"/>
            <w:tcBorders>
              <w:top w:val="single" w:sz="4" w:space="0" w:color="AABA0A"/>
              <w:bottom w:val="single" w:sz="4" w:space="0" w:color="AABA0A"/>
              <w:right w:val="single" w:sz="4" w:space="0" w:color="AABA0A"/>
            </w:tcBorders>
          </w:tcPr>
          <w:p w:rsidR="00C01E54" w:rsidRDefault="00C01E54" w:rsidP="00107F2F">
            <w:pPr>
              <w:ind w:left="0" w:firstLine="0"/>
            </w:pPr>
            <w:r>
              <w:t>Er dienen</w:t>
            </w:r>
            <w:r w:rsidRPr="0028398C">
              <w:t xml:space="preserve"> duidelijke afspraken te zijn over de inhoud van rapportages</w:t>
            </w:r>
            <w:r w:rsidR="00107F2F">
              <w:t xml:space="preserve"> en de periodes van aanleveren</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C44D2C" w:rsidRDefault="00C01E54" w:rsidP="00742D82">
            <w:pPr>
              <w:pStyle w:val="Geenafstand"/>
              <w:rPr>
                <w:rFonts w:asciiTheme="minorHAnsi" w:hAnsiTheme="minorHAnsi" w:cstheme="minorHAnsi"/>
              </w:rPr>
            </w:pPr>
            <w:r>
              <w:t xml:space="preserve">Personen in dienst van of </w:t>
            </w:r>
            <w:r w:rsidRPr="008C0C0E">
              <w:t xml:space="preserve">werkzaam </w:t>
            </w:r>
            <w:r>
              <w:t>voor de leverancier</w:t>
            </w:r>
            <w:r w:rsidRPr="008C0C0E">
              <w:t xml:space="preserve"> zijn verplicht tot geheimhouding met betrekking tot gegevens </w:t>
            </w:r>
            <w:r>
              <w:t xml:space="preserve">van Waalwijk </w:t>
            </w:r>
            <w:r w:rsidRPr="008C0C0E">
              <w:t xml:space="preserve">waarvan zij kennis kunnen nemen. De leverancier heeft </w:t>
            </w:r>
            <w:r>
              <w:t xml:space="preserve">met hen </w:t>
            </w:r>
            <w:r w:rsidRPr="008C0C0E">
              <w:t xml:space="preserve">contractuele geheimhouding </w:t>
            </w:r>
            <w:r>
              <w:t>geregeld.</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C44D2C" w:rsidRDefault="00C01E54" w:rsidP="004176D4">
            <w:pPr>
              <w:rPr>
                <w:rFonts w:asciiTheme="minorHAnsi" w:hAnsiTheme="minorHAnsi" w:cstheme="minorHAnsi"/>
              </w:rPr>
            </w:pPr>
            <w:r w:rsidRPr="00C44D2C">
              <w:rPr>
                <w:rFonts w:asciiTheme="minorHAnsi" w:hAnsiTheme="minorHAnsi" w:cstheme="minorHAnsi"/>
              </w:rPr>
              <w:t xml:space="preserve">De respectievelijke aansprakelijkheden van de partijen die bij de overeenkomst zijn betrokken, zijn contractueel vastgelegd. </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585000" w:rsidRDefault="00C01E54" w:rsidP="006E3EB8">
            <w:r w:rsidRPr="002A1039">
              <w:rPr>
                <w:rFonts w:asciiTheme="minorHAnsi" w:hAnsiTheme="minorHAnsi" w:cstheme="minorHAnsi"/>
              </w:rPr>
              <w:t>Bij verwerking persoonsgegevens dient er een verwerkingsovereenkomst te zijn tussen leverancier (verwerker) en gemeente</w:t>
            </w:r>
            <w:r w:rsidRPr="00722257">
              <w:rPr>
                <w:rFonts w:asciiTheme="minorHAnsi" w:hAnsiTheme="minorHAnsi" w:cstheme="minorHAnsi"/>
              </w:rPr>
              <w:t xml:space="preserve">. De leverancier gaat akkoord </w:t>
            </w:r>
            <w:r w:rsidRPr="00722257">
              <w:t xml:space="preserve">met de </w:t>
            </w:r>
            <w:r>
              <w:t xml:space="preserve">voorgestelde </w:t>
            </w:r>
            <w:r w:rsidRPr="00722257">
              <w:t>verwerkersovereenkomst</w:t>
            </w:r>
            <w:r>
              <w:t xml:space="preserve"> door de gemeente Waalwijk (zie bijlage)</w:t>
            </w:r>
            <w:r w:rsidRPr="00722257">
              <w:t>.</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Default="00C01E54" w:rsidP="00107F2F">
            <w:pPr>
              <w:rPr>
                <w:rFonts w:asciiTheme="minorHAnsi" w:hAnsiTheme="minorHAnsi" w:cstheme="minorHAnsi"/>
              </w:rPr>
            </w:pPr>
            <w:r>
              <w:rPr>
                <w:rFonts w:asciiTheme="minorHAnsi" w:hAnsiTheme="minorHAnsi" w:cstheme="minorHAnsi"/>
              </w:rPr>
              <w:t>De leverancier gaat ermee akkoord dat de G</w:t>
            </w:r>
            <w:r w:rsidRPr="000A6849">
              <w:rPr>
                <w:rFonts w:asciiTheme="minorHAnsi" w:hAnsiTheme="minorHAnsi" w:cstheme="minorHAnsi"/>
              </w:rPr>
              <w:t>emeentelijke inkoopvoor</w:t>
            </w:r>
            <w:r>
              <w:rPr>
                <w:rFonts w:asciiTheme="minorHAnsi" w:hAnsiTheme="minorHAnsi" w:cstheme="minorHAnsi"/>
              </w:rPr>
              <w:t xml:space="preserve">waarden bij IT (GIBIT) van toepassing zijn. </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Default="00C01E54" w:rsidP="00722257">
            <w:pPr>
              <w:rPr>
                <w:rFonts w:asciiTheme="minorHAnsi" w:hAnsiTheme="minorHAnsi" w:cstheme="minorHAnsi"/>
              </w:rPr>
            </w:pPr>
            <w:r w:rsidRPr="00722257">
              <w:rPr>
                <w:rFonts w:asciiTheme="minorHAnsi" w:hAnsiTheme="minorHAnsi" w:cstheme="minorHAnsi"/>
              </w:rPr>
              <w:t xml:space="preserve">De duurzaamheid van de oplossing is gegarandeerd als de oplossing niet langer ondersteund wordt door de leverancier. Hierbij wordt de broncode (open source, </w:t>
            </w:r>
            <w:proofErr w:type="spellStart"/>
            <w:r w:rsidRPr="00722257">
              <w:rPr>
                <w:rFonts w:asciiTheme="minorHAnsi" w:hAnsiTheme="minorHAnsi" w:cstheme="minorHAnsi"/>
              </w:rPr>
              <w:t>escrow</w:t>
            </w:r>
            <w:proofErr w:type="spellEnd"/>
            <w:r w:rsidRPr="00722257">
              <w:rPr>
                <w:rFonts w:asciiTheme="minorHAnsi" w:hAnsiTheme="minorHAnsi" w:cstheme="minorHAnsi"/>
              </w:rPr>
              <w:t>) beschikbaar gesteld of bestaat de mogelijkheid om het onderhoud en de ondersteuning voort te zetten bij een andere partij (exclusief de Inschrijver en zuster-, dochter- en moedermaatschappijen).</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021476" w:rsidRDefault="00C01E54" w:rsidP="00021476">
            <w:pPr>
              <w:rPr>
                <w:rFonts w:asciiTheme="minorHAnsi" w:hAnsiTheme="minorHAnsi" w:cstheme="minorHAnsi"/>
              </w:rPr>
            </w:pPr>
            <w:r w:rsidRPr="00C44D2C">
              <w:rPr>
                <w:rFonts w:asciiTheme="minorHAnsi" w:hAnsiTheme="minorHAnsi" w:cstheme="minorHAnsi"/>
              </w:rPr>
              <w:t>Het beoogde serviceniveau en onaanvaardbare serviceniveaus zijn in de SLA beschreven</w:t>
            </w:r>
            <w:r>
              <w:rPr>
                <w:rFonts w:asciiTheme="minorHAnsi" w:hAnsiTheme="minorHAnsi" w:cstheme="minorHAnsi"/>
              </w:rPr>
              <w:t>.</w:t>
            </w:r>
          </w:p>
        </w:tc>
      </w:tr>
      <w:tr w:rsidR="00C01E54" w:rsidRPr="007F4749" w:rsidTr="00C01E54">
        <w:trPr>
          <w:trHeight w:val="60"/>
        </w:trPr>
        <w:tc>
          <w:tcPr>
            <w:tcW w:w="532" w:type="dxa"/>
            <w:tcBorders>
              <w:top w:val="single" w:sz="4" w:space="0" w:color="AABA0A"/>
              <w:bottom w:val="single" w:sz="4" w:space="0" w:color="AABA0A"/>
            </w:tcBorders>
          </w:tcPr>
          <w:p w:rsidR="00C01E54" w:rsidRPr="00021476"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021476" w:rsidRDefault="00C01E54" w:rsidP="002C7ADC">
            <w:r w:rsidRPr="00021476">
              <w:t>Op basis van het afgesloten contract garandeert de leverancier dat de oplossing, gedurende de contractperiode, doorontwikkeld zal worden zonder additionele kosten. Onder deze doorontwikkeling wordt, naast additief, correctief en preventief, ook verstaan dat op de oplossing adaptief onderhoud wordt uitgevoerd om te blijven voldoen aan geldende wet- en regelgeving.</w:t>
            </w:r>
          </w:p>
        </w:tc>
      </w:tr>
      <w:tr w:rsidR="00C01E54" w:rsidRPr="007F4749" w:rsidTr="00C01E54">
        <w:trPr>
          <w:trHeight w:val="60"/>
        </w:trPr>
        <w:tc>
          <w:tcPr>
            <w:tcW w:w="532" w:type="dxa"/>
            <w:tcBorders>
              <w:top w:val="single" w:sz="4" w:space="0" w:color="AABA0A"/>
              <w:bottom w:val="single" w:sz="4" w:space="0" w:color="AABA0A"/>
            </w:tcBorders>
          </w:tcPr>
          <w:p w:rsidR="00C01E54" w:rsidRPr="00025635" w:rsidRDefault="00C01E54" w:rsidP="00F52DE6">
            <w:pPr>
              <w:pStyle w:val="Lijstalinea"/>
              <w:numPr>
                <w:ilvl w:val="0"/>
                <w:numId w:val="5"/>
              </w:numPr>
              <w:rPr>
                <w:rFonts w:asciiTheme="minorHAnsi" w:hAnsiTheme="minorHAnsi" w:cstheme="minorHAnsi"/>
              </w:rPr>
            </w:pPr>
          </w:p>
        </w:tc>
        <w:tc>
          <w:tcPr>
            <w:tcW w:w="12850" w:type="dxa"/>
            <w:tcBorders>
              <w:top w:val="single" w:sz="4" w:space="0" w:color="AABA0A"/>
              <w:bottom w:val="single" w:sz="4" w:space="0" w:color="AABA0A"/>
              <w:right w:val="single" w:sz="4" w:space="0" w:color="AABA0A"/>
            </w:tcBorders>
          </w:tcPr>
          <w:p w:rsidR="00C01E54" w:rsidRPr="00C44D2C" w:rsidRDefault="00C01E54" w:rsidP="00405AAB">
            <w:pPr>
              <w:rPr>
                <w:rFonts w:asciiTheme="minorHAnsi" w:hAnsiTheme="minorHAnsi" w:cstheme="minorHAnsi"/>
              </w:rPr>
            </w:pPr>
            <w:r w:rsidRPr="00C44D2C">
              <w:rPr>
                <w:rFonts w:asciiTheme="minorHAnsi" w:hAnsiTheme="minorHAnsi" w:cstheme="minorHAnsi"/>
              </w:rPr>
              <w:t xml:space="preserve">Iedere wijziging (change) met een hoge impact wordt door de leverancier aan de </w:t>
            </w:r>
            <w:r>
              <w:rPr>
                <w:rFonts w:asciiTheme="minorHAnsi" w:hAnsiTheme="minorHAnsi" w:cstheme="minorHAnsi"/>
              </w:rPr>
              <w:t>gemeente Waalwijk</w:t>
            </w:r>
            <w:r w:rsidRPr="00C44D2C">
              <w:rPr>
                <w:rFonts w:asciiTheme="minorHAnsi" w:hAnsiTheme="minorHAnsi" w:cstheme="minorHAnsi"/>
              </w:rPr>
              <w:t xml:space="preserve"> ter beoordeling voorgelegd en waar mogelijk voorzien van een alternatief voorstel en/of een overzicht van mitigerende maatregelen, inclusief een indicatie van de tijdelijkheid van afwijking (gedoogsituatie).</w:t>
            </w:r>
          </w:p>
        </w:tc>
      </w:tr>
    </w:tbl>
    <w:p w:rsidR="00D418AD" w:rsidRDefault="00D418AD" w:rsidP="00D418AD">
      <w:pPr>
        <w:spacing w:after="0" w:line="240" w:lineRule="auto"/>
        <w:ind w:right="0"/>
        <w:rPr>
          <w:b/>
        </w:rPr>
      </w:pPr>
    </w:p>
    <w:p w:rsidR="00FE7423" w:rsidRPr="00DB373E" w:rsidRDefault="00554081" w:rsidP="00FE7423">
      <w:pPr>
        <w:spacing w:after="0" w:line="240" w:lineRule="auto"/>
        <w:ind w:left="0" w:right="0" w:firstLine="0"/>
      </w:pPr>
      <w:r>
        <w:rPr>
          <w:b/>
        </w:rPr>
        <w:t>O</w:t>
      </w:r>
      <w:r w:rsidR="00FE7423">
        <w:rPr>
          <w:b/>
        </w:rPr>
        <w:t>p verzoek van de gemeente Waalwijk</w:t>
      </w:r>
      <w:r>
        <w:rPr>
          <w:b/>
        </w:rPr>
        <w:t xml:space="preserve"> moeten door</w:t>
      </w:r>
      <w:r w:rsidRPr="00EC5E65">
        <w:rPr>
          <w:b/>
        </w:rPr>
        <w:t xml:space="preserve"> </w:t>
      </w:r>
      <w:r>
        <w:rPr>
          <w:b/>
        </w:rPr>
        <w:t xml:space="preserve">de </w:t>
      </w:r>
      <w:r w:rsidRPr="00EC5E65">
        <w:rPr>
          <w:b/>
        </w:rPr>
        <w:t>leverancier</w:t>
      </w:r>
      <w:r>
        <w:rPr>
          <w:b/>
        </w:rPr>
        <w:t xml:space="preserve"> onderstaande stukken kunnen worden aangeleverd  </w:t>
      </w:r>
      <w:r w:rsidR="00FE7423" w:rsidRPr="00EC5E65">
        <w:rPr>
          <w:b/>
        </w:rPr>
        <w:t>:</w:t>
      </w:r>
    </w:p>
    <w:p w:rsidR="00D418AD" w:rsidRPr="00DB373E" w:rsidRDefault="00D418AD" w:rsidP="00D418AD">
      <w:pPr>
        <w:spacing w:after="0" w:line="240" w:lineRule="auto"/>
        <w:ind w:left="17" w:right="0" w:firstLine="0"/>
      </w:pPr>
    </w:p>
    <w:p w:rsidR="00EC5E65" w:rsidRPr="00EC5E65" w:rsidRDefault="007E43E9" w:rsidP="00EC5E65">
      <w:pPr>
        <w:spacing w:after="0" w:line="240" w:lineRule="auto"/>
        <w:ind w:left="708" w:right="0" w:hanging="708"/>
      </w:pPr>
      <w:sdt>
        <w:sdtPr>
          <w:id w:val="-563031252"/>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r>
      <w:r w:rsidR="00EC5E65" w:rsidRPr="00EC5E65">
        <w:rPr>
          <w:rStyle w:val="GeenafstandChar"/>
        </w:rPr>
        <w:t xml:space="preserve">Bewijs van de opzet, bestaan en werking van een passend stelsel van beveiligingsmaatregelen zoals certificering, periodieke externe controles zoals audits of </w:t>
      </w:r>
      <w:proofErr w:type="spellStart"/>
      <w:r w:rsidR="00EC5E65" w:rsidRPr="00EC5E65">
        <w:rPr>
          <w:rStyle w:val="GeenafstandChar"/>
        </w:rPr>
        <w:t>TPM’s</w:t>
      </w:r>
      <w:proofErr w:type="spellEnd"/>
      <w:r w:rsidR="00EC5E65" w:rsidRPr="00EC5E65">
        <w:rPr>
          <w:rStyle w:val="GeenafstandChar"/>
        </w:rPr>
        <w:t xml:space="preserve">, </w:t>
      </w:r>
      <w:proofErr w:type="spellStart"/>
      <w:r w:rsidR="00EC5E65" w:rsidRPr="00EC5E65">
        <w:rPr>
          <w:rStyle w:val="GeenafstandChar"/>
        </w:rPr>
        <w:t>assurance</w:t>
      </w:r>
      <w:proofErr w:type="spellEnd"/>
      <w:r w:rsidR="00EC5E65" w:rsidRPr="00EC5E65">
        <w:rPr>
          <w:rStyle w:val="GeenafstandChar"/>
        </w:rPr>
        <w:t xml:space="preserve"> rapport met conclusies over de bevindingen van de auditor.</w:t>
      </w:r>
    </w:p>
    <w:p w:rsidR="00EC5E65" w:rsidRPr="00EC5E65" w:rsidRDefault="007E43E9" w:rsidP="00EC5E65">
      <w:pPr>
        <w:spacing w:after="0" w:line="240" w:lineRule="auto"/>
        <w:ind w:left="0" w:right="0" w:firstLine="0"/>
      </w:pPr>
      <w:sdt>
        <w:sdtPr>
          <w:id w:val="813682489"/>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t>Auditbeleid</w:t>
      </w:r>
    </w:p>
    <w:p w:rsidR="00EC5E65" w:rsidRPr="00EC5E65" w:rsidRDefault="007E43E9" w:rsidP="00EC5E65">
      <w:pPr>
        <w:spacing w:after="0" w:line="240" w:lineRule="auto"/>
        <w:ind w:left="0" w:right="0" w:firstLine="0"/>
      </w:pPr>
      <w:sdt>
        <w:sdtPr>
          <w:id w:val="981738408"/>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r>
      <w:proofErr w:type="spellStart"/>
      <w:r w:rsidR="00EC5E65" w:rsidRPr="00EC5E65">
        <w:t>Exitbeleid</w:t>
      </w:r>
      <w:proofErr w:type="spellEnd"/>
    </w:p>
    <w:p w:rsidR="00EC5E65" w:rsidRPr="00EC5E65" w:rsidRDefault="007E43E9" w:rsidP="00EC5E65">
      <w:pPr>
        <w:spacing w:after="0" w:line="240" w:lineRule="auto"/>
        <w:ind w:left="0" w:right="0" w:firstLine="0"/>
      </w:pPr>
      <w:sdt>
        <w:sdtPr>
          <w:id w:val="504177380"/>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t>Service Level Overeenkomst</w:t>
      </w:r>
    </w:p>
    <w:p w:rsidR="00EC5E65" w:rsidRPr="00EC5E65" w:rsidRDefault="007E43E9" w:rsidP="00EC5E65">
      <w:pPr>
        <w:spacing w:after="0" w:line="240" w:lineRule="auto"/>
        <w:ind w:left="0" w:right="0" w:firstLine="0"/>
      </w:pPr>
      <w:sdt>
        <w:sdtPr>
          <w:id w:val="-799989463"/>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t>Beschrijving van de wijze van user authenticatie (gebruikersnaam/wachtwoord / etc.) en aan welke specifieke eisen dit moet voldoen</w:t>
      </w:r>
    </w:p>
    <w:p w:rsidR="00EC5E65" w:rsidRPr="00EC5E65" w:rsidRDefault="007E43E9" w:rsidP="00EC5E65">
      <w:pPr>
        <w:spacing w:after="0" w:line="240" w:lineRule="auto"/>
        <w:ind w:left="0" w:right="0" w:firstLine="0"/>
      </w:pPr>
      <w:sdt>
        <w:sdtPr>
          <w:id w:val="-1738079236"/>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r>
      <w:proofErr w:type="spellStart"/>
      <w:r w:rsidR="00EC5E65" w:rsidRPr="00EC5E65">
        <w:t>Wijzigings</w:t>
      </w:r>
      <w:proofErr w:type="spellEnd"/>
      <w:r w:rsidR="00EC5E65" w:rsidRPr="00EC5E65">
        <w:t>/Releasebeleid leverancier</w:t>
      </w:r>
    </w:p>
    <w:p w:rsidR="00EC5E65" w:rsidRPr="00EC5E65" w:rsidRDefault="007E43E9" w:rsidP="00EC5E65">
      <w:pPr>
        <w:spacing w:after="0" w:line="240" w:lineRule="auto"/>
        <w:ind w:left="0" w:right="0" w:firstLine="0"/>
        <w:rPr>
          <w:rFonts w:asciiTheme="minorHAnsi" w:hAnsiTheme="minorHAnsi" w:cstheme="minorHAnsi"/>
          <w:szCs w:val="20"/>
        </w:rPr>
      </w:pPr>
      <w:sdt>
        <w:sdtPr>
          <w:id w:val="-355189729"/>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r>
      <w:r w:rsidR="00EC5E65" w:rsidRPr="00EC5E65">
        <w:rPr>
          <w:rFonts w:asciiTheme="minorHAnsi" w:hAnsiTheme="minorHAnsi" w:cstheme="minorHAnsi"/>
          <w:szCs w:val="20"/>
        </w:rPr>
        <w:t>Back-up en recoverybeleid</w:t>
      </w:r>
    </w:p>
    <w:p w:rsidR="00EC5E65" w:rsidRPr="00EC5E65" w:rsidRDefault="007E43E9" w:rsidP="00EC5E65">
      <w:pPr>
        <w:spacing w:after="0" w:line="240" w:lineRule="auto"/>
        <w:ind w:left="0" w:right="0" w:firstLine="0"/>
        <w:rPr>
          <w:rFonts w:asciiTheme="minorHAnsi" w:hAnsiTheme="minorHAnsi" w:cstheme="minorHAnsi"/>
          <w:szCs w:val="20"/>
        </w:rPr>
      </w:pPr>
      <w:sdt>
        <w:sdtPr>
          <w:id w:val="260117752"/>
          <w14:checkbox>
            <w14:checked w14:val="1"/>
            <w14:checkedState w14:val="2612" w14:font="MS Gothic"/>
            <w14:uncheckedState w14:val="2610" w14:font="MS Gothic"/>
          </w14:checkbox>
        </w:sdtPr>
        <w:sdtEndPr/>
        <w:sdtContent>
          <w:r w:rsidR="00EC5E65" w:rsidRPr="00EC5E65">
            <w:rPr>
              <w:rFonts w:ascii="MS Gothic" w:eastAsia="MS Gothic" w:hAnsi="MS Gothic" w:hint="eastAsia"/>
            </w:rPr>
            <w:t>☒</w:t>
          </w:r>
        </w:sdtContent>
      </w:sdt>
      <w:r w:rsidR="00EC5E65" w:rsidRPr="00EC5E65">
        <w:tab/>
      </w:r>
      <w:r w:rsidR="00EC5E65" w:rsidRPr="00EC5E65">
        <w:rPr>
          <w:rFonts w:asciiTheme="minorHAnsi" w:hAnsiTheme="minorHAnsi" w:cstheme="minorHAnsi"/>
          <w:szCs w:val="20"/>
        </w:rPr>
        <w:t>Implementatieplan conform de eisen die de GIBIT daaraan stelt (zie artikel 5.3 van de GIBIT)</w:t>
      </w:r>
    </w:p>
    <w:p w:rsidR="00EC5E65" w:rsidRPr="00A6494B" w:rsidRDefault="00EC5E65" w:rsidP="00F52DE6">
      <w:pPr>
        <w:spacing w:after="0" w:line="240" w:lineRule="auto"/>
        <w:ind w:left="0" w:right="0" w:firstLine="0"/>
        <w:rPr>
          <w:rFonts w:asciiTheme="minorHAnsi" w:hAnsiTheme="minorHAnsi" w:cstheme="minorHAnsi"/>
          <w:szCs w:val="20"/>
          <w:highlight w:val="yellow"/>
        </w:rPr>
      </w:pPr>
    </w:p>
    <w:sectPr w:rsidR="00EC5E65" w:rsidRPr="00A6494B" w:rsidSect="005B63D1">
      <w:pgSz w:w="16838" w:h="11906" w:orient="landscape"/>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AC1"/>
    <w:multiLevelType w:val="hybridMultilevel"/>
    <w:tmpl w:val="8E16719E"/>
    <w:lvl w:ilvl="0" w:tplc="F3B05926">
      <w:start w:val="1"/>
      <w:numFmt w:val="bullet"/>
      <w:lvlText w:val="-"/>
      <w:lvlJc w:val="left"/>
      <w:pPr>
        <w:ind w:left="387" w:hanging="360"/>
      </w:pPr>
      <w:rPr>
        <w:rFonts w:ascii="Calibri" w:eastAsia="Calibri" w:hAnsi="Calibri" w:cs="Calibri" w:hint="default"/>
      </w:rPr>
    </w:lvl>
    <w:lvl w:ilvl="1" w:tplc="04130003" w:tentative="1">
      <w:start w:val="1"/>
      <w:numFmt w:val="bullet"/>
      <w:lvlText w:val="o"/>
      <w:lvlJc w:val="left"/>
      <w:pPr>
        <w:ind w:left="1107" w:hanging="360"/>
      </w:pPr>
      <w:rPr>
        <w:rFonts w:ascii="Courier New" w:hAnsi="Courier New" w:cs="Courier New" w:hint="default"/>
      </w:rPr>
    </w:lvl>
    <w:lvl w:ilvl="2" w:tplc="04130005" w:tentative="1">
      <w:start w:val="1"/>
      <w:numFmt w:val="bullet"/>
      <w:lvlText w:val=""/>
      <w:lvlJc w:val="left"/>
      <w:pPr>
        <w:ind w:left="1827" w:hanging="360"/>
      </w:pPr>
      <w:rPr>
        <w:rFonts w:ascii="Wingdings" w:hAnsi="Wingdings" w:hint="default"/>
      </w:rPr>
    </w:lvl>
    <w:lvl w:ilvl="3" w:tplc="04130001" w:tentative="1">
      <w:start w:val="1"/>
      <w:numFmt w:val="bullet"/>
      <w:lvlText w:val=""/>
      <w:lvlJc w:val="left"/>
      <w:pPr>
        <w:ind w:left="2547" w:hanging="360"/>
      </w:pPr>
      <w:rPr>
        <w:rFonts w:ascii="Symbol" w:hAnsi="Symbol" w:hint="default"/>
      </w:rPr>
    </w:lvl>
    <w:lvl w:ilvl="4" w:tplc="04130003" w:tentative="1">
      <w:start w:val="1"/>
      <w:numFmt w:val="bullet"/>
      <w:lvlText w:val="o"/>
      <w:lvlJc w:val="left"/>
      <w:pPr>
        <w:ind w:left="3267" w:hanging="360"/>
      </w:pPr>
      <w:rPr>
        <w:rFonts w:ascii="Courier New" w:hAnsi="Courier New" w:cs="Courier New" w:hint="default"/>
      </w:rPr>
    </w:lvl>
    <w:lvl w:ilvl="5" w:tplc="04130005" w:tentative="1">
      <w:start w:val="1"/>
      <w:numFmt w:val="bullet"/>
      <w:lvlText w:val=""/>
      <w:lvlJc w:val="left"/>
      <w:pPr>
        <w:ind w:left="3987" w:hanging="360"/>
      </w:pPr>
      <w:rPr>
        <w:rFonts w:ascii="Wingdings" w:hAnsi="Wingdings" w:hint="default"/>
      </w:rPr>
    </w:lvl>
    <w:lvl w:ilvl="6" w:tplc="04130001" w:tentative="1">
      <w:start w:val="1"/>
      <w:numFmt w:val="bullet"/>
      <w:lvlText w:val=""/>
      <w:lvlJc w:val="left"/>
      <w:pPr>
        <w:ind w:left="4707" w:hanging="360"/>
      </w:pPr>
      <w:rPr>
        <w:rFonts w:ascii="Symbol" w:hAnsi="Symbol" w:hint="default"/>
      </w:rPr>
    </w:lvl>
    <w:lvl w:ilvl="7" w:tplc="04130003" w:tentative="1">
      <w:start w:val="1"/>
      <w:numFmt w:val="bullet"/>
      <w:lvlText w:val="o"/>
      <w:lvlJc w:val="left"/>
      <w:pPr>
        <w:ind w:left="5427" w:hanging="360"/>
      </w:pPr>
      <w:rPr>
        <w:rFonts w:ascii="Courier New" w:hAnsi="Courier New" w:cs="Courier New" w:hint="default"/>
      </w:rPr>
    </w:lvl>
    <w:lvl w:ilvl="8" w:tplc="04130005" w:tentative="1">
      <w:start w:val="1"/>
      <w:numFmt w:val="bullet"/>
      <w:lvlText w:val=""/>
      <w:lvlJc w:val="left"/>
      <w:pPr>
        <w:ind w:left="6147" w:hanging="360"/>
      </w:pPr>
      <w:rPr>
        <w:rFonts w:ascii="Wingdings" w:hAnsi="Wingdings" w:hint="default"/>
      </w:rPr>
    </w:lvl>
  </w:abstractNum>
  <w:abstractNum w:abstractNumId="1">
    <w:nsid w:val="0315745A"/>
    <w:multiLevelType w:val="hybridMultilevel"/>
    <w:tmpl w:val="A3F681D2"/>
    <w:lvl w:ilvl="0" w:tplc="04130003">
      <w:start w:val="1"/>
      <w:numFmt w:val="bullet"/>
      <w:lvlText w:val="o"/>
      <w:lvlJc w:val="left"/>
      <w:pPr>
        <w:ind w:left="737" w:hanging="360"/>
      </w:pPr>
      <w:rPr>
        <w:rFonts w:ascii="Courier New" w:hAnsi="Courier New" w:cs="Courier New" w:hint="default"/>
      </w:rPr>
    </w:lvl>
    <w:lvl w:ilvl="1" w:tplc="04130003" w:tentative="1">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2">
    <w:nsid w:val="06867472"/>
    <w:multiLevelType w:val="hybridMultilevel"/>
    <w:tmpl w:val="1D1641B8"/>
    <w:lvl w:ilvl="0" w:tplc="F4EA3BF6">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EB0E34"/>
    <w:multiLevelType w:val="hybridMultilevel"/>
    <w:tmpl w:val="F3D00DA6"/>
    <w:lvl w:ilvl="0" w:tplc="F4EA3BF6">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F33528F"/>
    <w:multiLevelType w:val="hybridMultilevel"/>
    <w:tmpl w:val="01EE4306"/>
    <w:lvl w:ilvl="0" w:tplc="19A41E1A">
      <w:start w:val="1"/>
      <w:numFmt w:val="bullet"/>
      <w:pStyle w:val="Lijstalinea"/>
      <w:lvlText w:val=""/>
      <w:lvlJc w:val="left"/>
      <w:pPr>
        <w:ind w:left="1430" w:hanging="360"/>
      </w:pPr>
      <w:rPr>
        <w:rFonts w:ascii="Symbol" w:hAnsi="Symbol" w:hint="default"/>
        <w:u w:color="38197A"/>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5">
    <w:nsid w:val="123D5BCF"/>
    <w:multiLevelType w:val="multilevel"/>
    <w:tmpl w:val="C62AAE0A"/>
    <w:lvl w:ilvl="0">
      <w:start w:val="1"/>
      <w:numFmt w:val="decimal"/>
      <w:lvlText w:val="%1"/>
      <w:lvlJc w:val="left"/>
      <w:pPr>
        <w:ind w:left="360" w:hanging="360"/>
      </w:pPr>
      <w:rPr>
        <w:rFonts w:hint="default"/>
      </w:rPr>
    </w:lvl>
    <w:lvl w:ilvl="1">
      <w:start w:val="1"/>
      <w:numFmt w:val="decimal"/>
      <w:lvlText w:val="%1.%2"/>
      <w:lvlJc w:val="left"/>
      <w:pPr>
        <w:ind w:left="377" w:hanging="3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788" w:hanging="72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182" w:hanging="108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6">
    <w:nsid w:val="3D051757"/>
    <w:multiLevelType w:val="hybridMultilevel"/>
    <w:tmpl w:val="485C4E7E"/>
    <w:lvl w:ilvl="0" w:tplc="04130001">
      <w:start w:val="1"/>
      <w:numFmt w:val="bullet"/>
      <w:lvlText w:val=""/>
      <w:lvlJc w:val="left"/>
      <w:pPr>
        <w:ind w:left="387" w:hanging="360"/>
      </w:pPr>
      <w:rPr>
        <w:rFonts w:ascii="Symbol" w:hAnsi="Symbol" w:hint="default"/>
      </w:rPr>
    </w:lvl>
    <w:lvl w:ilvl="1" w:tplc="04130003" w:tentative="1">
      <w:start w:val="1"/>
      <w:numFmt w:val="bullet"/>
      <w:lvlText w:val="o"/>
      <w:lvlJc w:val="left"/>
      <w:pPr>
        <w:ind w:left="1107" w:hanging="360"/>
      </w:pPr>
      <w:rPr>
        <w:rFonts w:ascii="Courier New" w:hAnsi="Courier New" w:cs="Courier New" w:hint="default"/>
      </w:rPr>
    </w:lvl>
    <w:lvl w:ilvl="2" w:tplc="04130005" w:tentative="1">
      <w:start w:val="1"/>
      <w:numFmt w:val="bullet"/>
      <w:lvlText w:val=""/>
      <w:lvlJc w:val="left"/>
      <w:pPr>
        <w:ind w:left="1827" w:hanging="360"/>
      </w:pPr>
      <w:rPr>
        <w:rFonts w:ascii="Wingdings" w:hAnsi="Wingdings" w:hint="default"/>
      </w:rPr>
    </w:lvl>
    <w:lvl w:ilvl="3" w:tplc="04130001" w:tentative="1">
      <w:start w:val="1"/>
      <w:numFmt w:val="bullet"/>
      <w:lvlText w:val=""/>
      <w:lvlJc w:val="left"/>
      <w:pPr>
        <w:ind w:left="2547" w:hanging="360"/>
      </w:pPr>
      <w:rPr>
        <w:rFonts w:ascii="Symbol" w:hAnsi="Symbol" w:hint="default"/>
      </w:rPr>
    </w:lvl>
    <w:lvl w:ilvl="4" w:tplc="04130003" w:tentative="1">
      <w:start w:val="1"/>
      <w:numFmt w:val="bullet"/>
      <w:lvlText w:val="o"/>
      <w:lvlJc w:val="left"/>
      <w:pPr>
        <w:ind w:left="3267" w:hanging="360"/>
      </w:pPr>
      <w:rPr>
        <w:rFonts w:ascii="Courier New" w:hAnsi="Courier New" w:cs="Courier New" w:hint="default"/>
      </w:rPr>
    </w:lvl>
    <w:lvl w:ilvl="5" w:tplc="04130005" w:tentative="1">
      <w:start w:val="1"/>
      <w:numFmt w:val="bullet"/>
      <w:lvlText w:val=""/>
      <w:lvlJc w:val="left"/>
      <w:pPr>
        <w:ind w:left="3987" w:hanging="360"/>
      </w:pPr>
      <w:rPr>
        <w:rFonts w:ascii="Wingdings" w:hAnsi="Wingdings" w:hint="default"/>
      </w:rPr>
    </w:lvl>
    <w:lvl w:ilvl="6" w:tplc="04130001" w:tentative="1">
      <w:start w:val="1"/>
      <w:numFmt w:val="bullet"/>
      <w:lvlText w:val=""/>
      <w:lvlJc w:val="left"/>
      <w:pPr>
        <w:ind w:left="4707" w:hanging="360"/>
      </w:pPr>
      <w:rPr>
        <w:rFonts w:ascii="Symbol" w:hAnsi="Symbol" w:hint="default"/>
      </w:rPr>
    </w:lvl>
    <w:lvl w:ilvl="7" w:tplc="04130003" w:tentative="1">
      <w:start w:val="1"/>
      <w:numFmt w:val="bullet"/>
      <w:lvlText w:val="o"/>
      <w:lvlJc w:val="left"/>
      <w:pPr>
        <w:ind w:left="5427" w:hanging="360"/>
      </w:pPr>
      <w:rPr>
        <w:rFonts w:ascii="Courier New" w:hAnsi="Courier New" w:cs="Courier New" w:hint="default"/>
      </w:rPr>
    </w:lvl>
    <w:lvl w:ilvl="8" w:tplc="04130005" w:tentative="1">
      <w:start w:val="1"/>
      <w:numFmt w:val="bullet"/>
      <w:lvlText w:val=""/>
      <w:lvlJc w:val="left"/>
      <w:pPr>
        <w:ind w:left="6147" w:hanging="360"/>
      </w:pPr>
      <w:rPr>
        <w:rFonts w:ascii="Wingdings" w:hAnsi="Wingdings" w:hint="default"/>
      </w:rPr>
    </w:lvl>
  </w:abstractNum>
  <w:abstractNum w:abstractNumId="7">
    <w:nsid w:val="474D1938"/>
    <w:multiLevelType w:val="hybridMultilevel"/>
    <w:tmpl w:val="92E605AE"/>
    <w:lvl w:ilvl="0" w:tplc="F3B05926">
      <w:start w:val="1"/>
      <w:numFmt w:val="bullet"/>
      <w:lvlText w:val="-"/>
      <w:lvlJc w:val="left"/>
      <w:pPr>
        <w:ind w:left="377" w:hanging="360"/>
      </w:pPr>
      <w:rPr>
        <w:rFonts w:ascii="Calibri" w:eastAsia="Calibri" w:hAnsi="Calibri" w:cs="Calibri" w:hint="default"/>
      </w:rPr>
    </w:lvl>
    <w:lvl w:ilvl="1" w:tplc="04130003" w:tentative="1">
      <w:start w:val="1"/>
      <w:numFmt w:val="bullet"/>
      <w:lvlText w:val="o"/>
      <w:lvlJc w:val="left"/>
      <w:pPr>
        <w:ind w:left="1097" w:hanging="360"/>
      </w:pPr>
      <w:rPr>
        <w:rFonts w:ascii="Courier New" w:hAnsi="Courier New" w:cs="Courier New" w:hint="default"/>
      </w:rPr>
    </w:lvl>
    <w:lvl w:ilvl="2" w:tplc="04130005" w:tentative="1">
      <w:start w:val="1"/>
      <w:numFmt w:val="bullet"/>
      <w:lvlText w:val=""/>
      <w:lvlJc w:val="left"/>
      <w:pPr>
        <w:ind w:left="1817" w:hanging="360"/>
      </w:pPr>
      <w:rPr>
        <w:rFonts w:ascii="Wingdings" w:hAnsi="Wingdings" w:hint="default"/>
      </w:rPr>
    </w:lvl>
    <w:lvl w:ilvl="3" w:tplc="04130001" w:tentative="1">
      <w:start w:val="1"/>
      <w:numFmt w:val="bullet"/>
      <w:lvlText w:val=""/>
      <w:lvlJc w:val="left"/>
      <w:pPr>
        <w:ind w:left="2537" w:hanging="360"/>
      </w:pPr>
      <w:rPr>
        <w:rFonts w:ascii="Symbol" w:hAnsi="Symbol" w:hint="default"/>
      </w:rPr>
    </w:lvl>
    <w:lvl w:ilvl="4" w:tplc="04130003" w:tentative="1">
      <w:start w:val="1"/>
      <w:numFmt w:val="bullet"/>
      <w:lvlText w:val="o"/>
      <w:lvlJc w:val="left"/>
      <w:pPr>
        <w:ind w:left="3257" w:hanging="360"/>
      </w:pPr>
      <w:rPr>
        <w:rFonts w:ascii="Courier New" w:hAnsi="Courier New" w:cs="Courier New" w:hint="default"/>
      </w:rPr>
    </w:lvl>
    <w:lvl w:ilvl="5" w:tplc="04130005" w:tentative="1">
      <w:start w:val="1"/>
      <w:numFmt w:val="bullet"/>
      <w:lvlText w:val=""/>
      <w:lvlJc w:val="left"/>
      <w:pPr>
        <w:ind w:left="3977" w:hanging="360"/>
      </w:pPr>
      <w:rPr>
        <w:rFonts w:ascii="Wingdings" w:hAnsi="Wingdings" w:hint="default"/>
      </w:rPr>
    </w:lvl>
    <w:lvl w:ilvl="6" w:tplc="04130001" w:tentative="1">
      <w:start w:val="1"/>
      <w:numFmt w:val="bullet"/>
      <w:lvlText w:val=""/>
      <w:lvlJc w:val="left"/>
      <w:pPr>
        <w:ind w:left="4697" w:hanging="360"/>
      </w:pPr>
      <w:rPr>
        <w:rFonts w:ascii="Symbol" w:hAnsi="Symbol" w:hint="default"/>
      </w:rPr>
    </w:lvl>
    <w:lvl w:ilvl="7" w:tplc="04130003" w:tentative="1">
      <w:start w:val="1"/>
      <w:numFmt w:val="bullet"/>
      <w:lvlText w:val="o"/>
      <w:lvlJc w:val="left"/>
      <w:pPr>
        <w:ind w:left="5417" w:hanging="360"/>
      </w:pPr>
      <w:rPr>
        <w:rFonts w:ascii="Courier New" w:hAnsi="Courier New" w:cs="Courier New" w:hint="default"/>
      </w:rPr>
    </w:lvl>
    <w:lvl w:ilvl="8" w:tplc="04130005" w:tentative="1">
      <w:start w:val="1"/>
      <w:numFmt w:val="bullet"/>
      <w:lvlText w:val=""/>
      <w:lvlJc w:val="left"/>
      <w:pPr>
        <w:ind w:left="6137" w:hanging="360"/>
      </w:pPr>
      <w:rPr>
        <w:rFonts w:ascii="Wingdings" w:hAnsi="Wingdings" w:hint="default"/>
      </w:rPr>
    </w:lvl>
  </w:abstractNum>
  <w:abstractNum w:abstractNumId="8">
    <w:nsid w:val="483D1276"/>
    <w:multiLevelType w:val="hybridMultilevel"/>
    <w:tmpl w:val="FD94C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B7B7724"/>
    <w:multiLevelType w:val="hybridMultilevel"/>
    <w:tmpl w:val="9722656A"/>
    <w:lvl w:ilvl="0" w:tplc="3B88499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0">
    <w:nsid w:val="69924961"/>
    <w:multiLevelType w:val="hybridMultilevel"/>
    <w:tmpl w:val="7CE2735C"/>
    <w:lvl w:ilvl="0" w:tplc="F3B05926">
      <w:start w:val="1"/>
      <w:numFmt w:val="bullet"/>
      <w:lvlText w:val="-"/>
      <w:lvlJc w:val="left"/>
      <w:pPr>
        <w:ind w:left="387" w:hanging="360"/>
      </w:pPr>
      <w:rPr>
        <w:rFonts w:ascii="Calibri" w:eastAsia="Calibri" w:hAnsi="Calibri" w:cs="Calibri" w:hint="default"/>
      </w:rPr>
    </w:lvl>
    <w:lvl w:ilvl="1" w:tplc="04130003" w:tentative="1">
      <w:start w:val="1"/>
      <w:numFmt w:val="bullet"/>
      <w:lvlText w:val="o"/>
      <w:lvlJc w:val="left"/>
      <w:pPr>
        <w:ind w:left="1107" w:hanging="360"/>
      </w:pPr>
      <w:rPr>
        <w:rFonts w:ascii="Courier New" w:hAnsi="Courier New" w:cs="Courier New" w:hint="default"/>
      </w:rPr>
    </w:lvl>
    <w:lvl w:ilvl="2" w:tplc="04130005" w:tentative="1">
      <w:start w:val="1"/>
      <w:numFmt w:val="bullet"/>
      <w:lvlText w:val=""/>
      <w:lvlJc w:val="left"/>
      <w:pPr>
        <w:ind w:left="1827" w:hanging="360"/>
      </w:pPr>
      <w:rPr>
        <w:rFonts w:ascii="Wingdings" w:hAnsi="Wingdings" w:hint="default"/>
      </w:rPr>
    </w:lvl>
    <w:lvl w:ilvl="3" w:tplc="04130001" w:tentative="1">
      <w:start w:val="1"/>
      <w:numFmt w:val="bullet"/>
      <w:lvlText w:val=""/>
      <w:lvlJc w:val="left"/>
      <w:pPr>
        <w:ind w:left="2547" w:hanging="360"/>
      </w:pPr>
      <w:rPr>
        <w:rFonts w:ascii="Symbol" w:hAnsi="Symbol" w:hint="default"/>
      </w:rPr>
    </w:lvl>
    <w:lvl w:ilvl="4" w:tplc="04130003" w:tentative="1">
      <w:start w:val="1"/>
      <w:numFmt w:val="bullet"/>
      <w:lvlText w:val="o"/>
      <w:lvlJc w:val="left"/>
      <w:pPr>
        <w:ind w:left="3267" w:hanging="360"/>
      </w:pPr>
      <w:rPr>
        <w:rFonts w:ascii="Courier New" w:hAnsi="Courier New" w:cs="Courier New" w:hint="default"/>
      </w:rPr>
    </w:lvl>
    <w:lvl w:ilvl="5" w:tplc="04130005" w:tentative="1">
      <w:start w:val="1"/>
      <w:numFmt w:val="bullet"/>
      <w:lvlText w:val=""/>
      <w:lvlJc w:val="left"/>
      <w:pPr>
        <w:ind w:left="3987" w:hanging="360"/>
      </w:pPr>
      <w:rPr>
        <w:rFonts w:ascii="Wingdings" w:hAnsi="Wingdings" w:hint="default"/>
      </w:rPr>
    </w:lvl>
    <w:lvl w:ilvl="6" w:tplc="04130001" w:tentative="1">
      <w:start w:val="1"/>
      <w:numFmt w:val="bullet"/>
      <w:lvlText w:val=""/>
      <w:lvlJc w:val="left"/>
      <w:pPr>
        <w:ind w:left="4707" w:hanging="360"/>
      </w:pPr>
      <w:rPr>
        <w:rFonts w:ascii="Symbol" w:hAnsi="Symbol" w:hint="default"/>
      </w:rPr>
    </w:lvl>
    <w:lvl w:ilvl="7" w:tplc="04130003" w:tentative="1">
      <w:start w:val="1"/>
      <w:numFmt w:val="bullet"/>
      <w:lvlText w:val="o"/>
      <w:lvlJc w:val="left"/>
      <w:pPr>
        <w:ind w:left="5427" w:hanging="360"/>
      </w:pPr>
      <w:rPr>
        <w:rFonts w:ascii="Courier New" w:hAnsi="Courier New" w:cs="Courier New" w:hint="default"/>
      </w:rPr>
    </w:lvl>
    <w:lvl w:ilvl="8" w:tplc="04130005" w:tentative="1">
      <w:start w:val="1"/>
      <w:numFmt w:val="bullet"/>
      <w:lvlText w:val=""/>
      <w:lvlJc w:val="left"/>
      <w:pPr>
        <w:ind w:left="6147" w:hanging="360"/>
      </w:pPr>
      <w:rPr>
        <w:rFonts w:ascii="Wingdings" w:hAnsi="Wingdings" w:hint="default"/>
      </w:rPr>
    </w:lvl>
  </w:abstractNum>
  <w:abstractNum w:abstractNumId="11">
    <w:nsid w:val="6D5B04CD"/>
    <w:multiLevelType w:val="hybridMultilevel"/>
    <w:tmpl w:val="8ACC14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F09709A"/>
    <w:multiLevelType w:val="hybridMultilevel"/>
    <w:tmpl w:val="4196A0C6"/>
    <w:lvl w:ilvl="0" w:tplc="F4EA3BF6">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AF42E51"/>
    <w:multiLevelType w:val="hybridMultilevel"/>
    <w:tmpl w:val="C1BE1932"/>
    <w:lvl w:ilvl="0" w:tplc="4A089CEE">
      <w:start w:val="1"/>
      <w:numFmt w:val="upperLetter"/>
      <w:lvlText w:val="%1)"/>
      <w:lvlJc w:val="left"/>
      <w:pPr>
        <w:ind w:left="377" w:hanging="360"/>
      </w:pPr>
      <w:rPr>
        <w:rFonts w:hint="default"/>
        <w:b/>
      </w:rPr>
    </w:lvl>
    <w:lvl w:ilvl="1" w:tplc="04130019">
      <w:start w:val="1"/>
      <w:numFmt w:val="lowerLetter"/>
      <w:lvlText w:val="%2."/>
      <w:lvlJc w:val="left"/>
      <w:pPr>
        <w:ind w:left="1097" w:hanging="360"/>
      </w:pPr>
    </w:lvl>
    <w:lvl w:ilvl="2" w:tplc="0413001B" w:tentative="1">
      <w:start w:val="1"/>
      <w:numFmt w:val="lowerRoman"/>
      <w:lvlText w:val="%3."/>
      <w:lvlJc w:val="right"/>
      <w:pPr>
        <w:ind w:left="1817" w:hanging="180"/>
      </w:pPr>
    </w:lvl>
    <w:lvl w:ilvl="3" w:tplc="0413000F" w:tentative="1">
      <w:start w:val="1"/>
      <w:numFmt w:val="decimal"/>
      <w:lvlText w:val="%4."/>
      <w:lvlJc w:val="left"/>
      <w:pPr>
        <w:ind w:left="2537" w:hanging="360"/>
      </w:pPr>
    </w:lvl>
    <w:lvl w:ilvl="4" w:tplc="04130019" w:tentative="1">
      <w:start w:val="1"/>
      <w:numFmt w:val="lowerLetter"/>
      <w:lvlText w:val="%5."/>
      <w:lvlJc w:val="left"/>
      <w:pPr>
        <w:ind w:left="3257" w:hanging="360"/>
      </w:pPr>
    </w:lvl>
    <w:lvl w:ilvl="5" w:tplc="0413001B" w:tentative="1">
      <w:start w:val="1"/>
      <w:numFmt w:val="lowerRoman"/>
      <w:lvlText w:val="%6."/>
      <w:lvlJc w:val="right"/>
      <w:pPr>
        <w:ind w:left="3977" w:hanging="180"/>
      </w:pPr>
    </w:lvl>
    <w:lvl w:ilvl="6" w:tplc="0413000F" w:tentative="1">
      <w:start w:val="1"/>
      <w:numFmt w:val="decimal"/>
      <w:lvlText w:val="%7."/>
      <w:lvlJc w:val="left"/>
      <w:pPr>
        <w:ind w:left="4697" w:hanging="360"/>
      </w:pPr>
    </w:lvl>
    <w:lvl w:ilvl="7" w:tplc="04130019" w:tentative="1">
      <w:start w:val="1"/>
      <w:numFmt w:val="lowerLetter"/>
      <w:lvlText w:val="%8."/>
      <w:lvlJc w:val="left"/>
      <w:pPr>
        <w:ind w:left="5417" w:hanging="360"/>
      </w:pPr>
    </w:lvl>
    <w:lvl w:ilvl="8" w:tplc="0413001B" w:tentative="1">
      <w:start w:val="1"/>
      <w:numFmt w:val="lowerRoman"/>
      <w:lvlText w:val="%9."/>
      <w:lvlJc w:val="right"/>
      <w:pPr>
        <w:ind w:left="6137" w:hanging="180"/>
      </w:pPr>
    </w:lvl>
  </w:abstractNum>
  <w:num w:numId="1">
    <w:abstractNumId w:val="4"/>
  </w:num>
  <w:num w:numId="2">
    <w:abstractNumId w:val="1"/>
  </w:num>
  <w:num w:numId="3">
    <w:abstractNumId w:val="7"/>
  </w:num>
  <w:num w:numId="4">
    <w:abstractNumId w:val="5"/>
  </w:num>
  <w:num w:numId="5">
    <w:abstractNumId w:val="11"/>
  </w:num>
  <w:num w:numId="6">
    <w:abstractNumId w:val="8"/>
  </w:num>
  <w:num w:numId="7">
    <w:abstractNumId w:val="6"/>
  </w:num>
  <w:num w:numId="8">
    <w:abstractNumId w:val="10"/>
  </w:num>
  <w:num w:numId="9">
    <w:abstractNumId w:val="0"/>
  </w:num>
  <w:num w:numId="10">
    <w:abstractNumId w:val="4"/>
  </w:num>
  <w:num w:numId="11">
    <w:abstractNumId w:val="9"/>
  </w:num>
  <w:num w:numId="12">
    <w:abstractNumId w:val="3"/>
  </w:num>
  <w:num w:numId="13">
    <w:abstractNumId w:val="2"/>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6"/>
    <w:rsid w:val="00021476"/>
    <w:rsid w:val="000D334E"/>
    <w:rsid w:val="000E3012"/>
    <w:rsid w:val="000F2338"/>
    <w:rsid w:val="00107F2F"/>
    <w:rsid w:val="00115AC0"/>
    <w:rsid w:val="00154180"/>
    <w:rsid w:val="001E44BC"/>
    <w:rsid w:val="00203A88"/>
    <w:rsid w:val="00205B4F"/>
    <w:rsid w:val="0022225E"/>
    <w:rsid w:val="00222CAC"/>
    <w:rsid w:val="002A1039"/>
    <w:rsid w:val="002C7ADC"/>
    <w:rsid w:val="002E5DEB"/>
    <w:rsid w:val="002F7A16"/>
    <w:rsid w:val="00307480"/>
    <w:rsid w:val="00343F2D"/>
    <w:rsid w:val="00351233"/>
    <w:rsid w:val="00354F22"/>
    <w:rsid w:val="00355B7F"/>
    <w:rsid w:val="003F3FAC"/>
    <w:rsid w:val="003F4843"/>
    <w:rsid w:val="00405AAB"/>
    <w:rsid w:val="00416FEC"/>
    <w:rsid w:val="004176D4"/>
    <w:rsid w:val="00450E4E"/>
    <w:rsid w:val="00451116"/>
    <w:rsid w:val="004A3349"/>
    <w:rsid w:val="004B108D"/>
    <w:rsid w:val="004E157B"/>
    <w:rsid w:val="004E1E29"/>
    <w:rsid w:val="004F33EB"/>
    <w:rsid w:val="004F38FE"/>
    <w:rsid w:val="00504A54"/>
    <w:rsid w:val="00520379"/>
    <w:rsid w:val="00554081"/>
    <w:rsid w:val="00563B6A"/>
    <w:rsid w:val="00585000"/>
    <w:rsid w:val="00585811"/>
    <w:rsid w:val="0059569B"/>
    <w:rsid w:val="005A6612"/>
    <w:rsid w:val="005B49FD"/>
    <w:rsid w:val="005B63D1"/>
    <w:rsid w:val="005D79BD"/>
    <w:rsid w:val="00635298"/>
    <w:rsid w:val="006518EC"/>
    <w:rsid w:val="00682E87"/>
    <w:rsid w:val="006C2223"/>
    <w:rsid w:val="006E3EB8"/>
    <w:rsid w:val="00722257"/>
    <w:rsid w:val="00725E17"/>
    <w:rsid w:val="00742D82"/>
    <w:rsid w:val="007664A4"/>
    <w:rsid w:val="007E43E9"/>
    <w:rsid w:val="00882B5F"/>
    <w:rsid w:val="008C41D9"/>
    <w:rsid w:val="0091046F"/>
    <w:rsid w:val="0098291A"/>
    <w:rsid w:val="009B62AC"/>
    <w:rsid w:val="009C6A1C"/>
    <w:rsid w:val="00A534EF"/>
    <w:rsid w:val="00A6494B"/>
    <w:rsid w:val="00AE4299"/>
    <w:rsid w:val="00AF1980"/>
    <w:rsid w:val="00B162CC"/>
    <w:rsid w:val="00B22058"/>
    <w:rsid w:val="00B442B1"/>
    <w:rsid w:val="00B51EB1"/>
    <w:rsid w:val="00B55642"/>
    <w:rsid w:val="00B87B11"/>
    <w:rsid w:val="00BA4E8D"/>
    <w:rsid w:val="00BB1A05"/>
    <w:rsid w:val="00C01E54"/>
    <w:rsid w:val="00C2353D"/>
    <w:rsid w:val="00C30551"/>
    <w:rsid w:val="00C87873"/>
    <w:rsid w:val="00CB5CEA"/>
    <w:rsid w:val="00CC3B7D"/>
    <w:rsid w:val="00D16325"/>
    <w:rsid w:val="00D418AD"/>
    <w:rsid w:val="00D83978"/>
    <w:rsid w:val="00D94747"/>
    <w:rsid w:val="00D95129"/>
    <w:rsid w:val="00DB373E"/>
    <w:rsid w:val="00DE6A07"/>
    <w:rsid w:val="00E32A17"/>
    <w:rsid w:val="00E61047"/>
    <w:rsid w:val="00EC5E65"/>
    <w:rsid w:val="00EE72C5"/>
    <w:rsid w:val="00F52DE6"/>
    <w:rsid w:val="00FB6526"/>
    <w:rsid w:val="00FD5D91"/>
    <w:rsid w:val="00FE44A0"/>
    <w:rsid w:val="00FE7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2DE6"/>
    <w:pPr>
      <w:spacing w:after="5" w:line="248" w:lineRule="auto"/>
      <w:ind w:left="27" w:right="106" w:hanging="10"/>
    </w:pPr>
    <w:rPr>
      <w:rFonts w:ascii="Calibri" w:eastAsia="Calibri" w:hAnsi="Calibri" w:cs="Calibri"/>
      <w:color w:val="000000"/>
      <w:sz w:val="20"/>
      <w:lang w:eastAsia="nl-NL"/>
    </w:rPr>
  </w:style>
  <w:style w:type="paragraph" w:styleId="Kop1">
    <w:name w:val="heading 1"/>
    <w:next w:val="Standaard"/>
    <w:link w:val="Kop1Char"/>
    <w:unhideWhenUsed/>
    <w:qFormat/>
    <w:rsid w:val="00F52DE6"/>
    <w:pPr>
      <w:keepNext/>
      <w:keepLines/>
      <w:spacing w:after="111" w:line="259" w:lineRule="auto"/>
      <w:ind w:left="10" w:hanging="10"/>
      <w:outlineLvl w:val="0"/>
    </w:pPr>
    <w:rPr>
      <w:rFonts w:ascii="Calibri" w:eastAsia="Calibri" w:hAnsi="Calibri" w:cs="Calibri"/>
      <w:b/>
      <w:color w:val="38197A"/>
      <w:sz w:val="2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52DE6"/>
    <w:rPr>
      <w:rFonts w:ascii="Calibri" w:eastAsia="Calibri" w:hAnsi="Calibri" w:cs="Calibri"/>
      <w:b/>
      <w:color w:val="38197A"/>
      <w:sz w:val="28"/>
      <w:szCs w:val="20"/>
      <w:lang w:eastAsia="nl-NL"/>
    </w:rPr>
  </w:style>
  <w:style w:type="character" w:styleId="Hyperlink">
    <w:name w:val="Hyperlink"/>
    <w:basedOn w:val="Standaardalinea-lettertype"/>
    <w:uiPriority w:val="99"/>
    <w:rsid w:val="00F52DE6"/>
    <w:rPr>
      <w:color w:val="0000FF"/>
      <w:u w:val="single"/>
    </w:rPr>
  </w:style>
  <w:style w:type="paragraph" w:styleId="Geenafstand">
    <w:name w:val="No Spacing"/>
    <w:link w:val="GeenafstandChar"/>
    <w:uiPriority w:val="1"/>
    <w:qFormat/>
    <w:rsid w:val="00F52DE6"/>
    <w:pPr>
      <w:spacing w:after="0" w:line="240" w:lineRule="auto"/>
      <w:ind w:left="27" w:right="106" w:hanging="10"/>
    </w:pPr>
    <w:rPr>
      <w:rFonts w:ascii="Calibri" w:eastAsia="Calibri" w:hAnsi="Calibri" w:cs="Calibri"/>
      <w:color w:val="000000"/>
      <w:sz w:val="20"/>
      <w:lang w:eastAsia="nl-NL"/>
    </w:rPr>
  </w:style>
  <w:style w:type="paragraph" w:styleId="Lijstalinea">
    <w:name w:val="List Paragraph"/>
    <w:basedOn w:val="Standaard"/>
    <w:uiPriority w:val="34"/>
    <w:qFormat/>
    <w:rsid w:val="00F52DE6"/>
    <w:pPr>
      <w:numPr>
        <w:numId w:val="1"/>
      </w:numPr>
      <w:contextualSpacing/>
    </w:pPr>
  </w:style>
  <w:style w:type="character" w:customStyle="1" w:styleId="GeenafstandChar">
    <w:name w:val="Geen afstand Char"/>
    <w:basedOn w:val="Standaardalinea-lettertype"/>
    <w:link w:val="Geenafstand"/>
    <w:uiPriority w:val="1"/>
    <w:rsid w:val="00F52DE6"/>
    <w:rPr>
      <w:rFonts w:ascii="Calibri" w:eastAsia="Calibri" w:hAnsi="Calibri" w:cs="Calibri"/>
      <w:color w:val="000000"/>
      <w:sz w:val="20"/>
      <w:lang w:eastAsia="nl-NL"/>
    </w:rPr>
  </w:style>
  <w:style w:type="paragraph" w:customStyle="1" w:styleId="Default">
    <w:name w:val="Default"/>
    <w:rsid w:val="00F52DE6"/>
    <w:pPr>
      <w:autoSpaceDE w:val="0"/>
      <w:autoSpaceDN w:val="0"/>
      <w:adjustRightInd w:val="0"/>
      <w:spacing w:after="0" w:line="240" w:lineRule="auto"/>
    </w:pPr>
    <w:rPr>
      <w:rFonts w:ascii="Verdana" w:eastAsia="Times New Roman" w:hAnsi="Verdana" w:cs="Verdana"/>
      <w:color w:val="000000"/>
      <w:sz w:val="24"/>
      <w:szCs w:val="24"/>
      <w:lang w:eastAsia="nl-NL"/>
    </w:rPr>
  </w:style>
  <w:style w:type="table" w:styleId="Eenvoudigetabel3">
    <w:name w:val="Table Simple 3"/>
    <w:basedOn w:val="Standaardtabel"/>
    <w:rsid w:val="00F52DE6"/>
    <w:pPr>
      <w:spacing w:after="5" w:line="248" w:lineRule="auto"/>
      <w:ind w:left="27" w:right="106" w:hanging="10"/>
    </w:pPr>
    <w:rPr>
      <w:rFonts w:ascii="Calibri" w:eastAsia="Times New Roman" w:hAnsi="Calibri"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Tekstvantijdelijkeaanduiding">
    <w:name w:val="Placeholder Text"/>
    <w:basedOn w:val="Standaardalinea-lettertype"/>
    <w:uiPriority w:val="99"/>
    <w:semiHidden/>
    <w:rsid w:val="00F52DE6"/>
    <w:rPr>
      <w:color w:val="808080"/>
    </w:rPr>
  </w:style>
  <w:style w:type="paragraph" w:styleId="Ballontekst">
    <w:name w:val="Balloon Text"/>
    <w:basedOn w:val="Standaard"/>
    <w:link w:val="BallontekstChar"/>
    <w:uiPriority w:val="99"/>
    <w:semiHidden/>
    <w:unhideWhenUsed/>
    <w:rsid w:val="00F52D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2DE6"/>
    <w:rPr>
      <w:rFonts w:ascii="Tahoma" w:eastAsia="Calibri" w:hAnsi="Tahoma" w:cs="Tahoma"/>
      <w:color w:val="000000"/>
      <w:sz w:val="16"/>
      <w:szCs w:val="16"/>
      <w:lang w:eastAsia="nl-NL"/>
    </w:rPr>
  </w:style>
  <w:style w:type="character" w:styleId="Nadruk">
    <w:name w:val="Emphasis"/>
    <w:basedOn w:val="Standaardalinea-lettertype"/>
    <w:uiPriority w:val="20"/>
    <w:qFormat/>
    <w:rsid w:val="00CC3B7D"/>
    <w:rPr>
      <w:b/>
      <w:bCs/>
      <w:i w:val="0"/>
      <w:iCs w:val="0"/>
    </w:rPr>
  </w:style>
  <w:style w:type="character" w:customStyle="1" w:styleId="st1">
    <w:name w:val="st1"/>
    <w:basedOn w:val="Standaardalinea-lettertype"/>
    <w:rsid w:val="00CC3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2DE6"/>
    <w:pPr>
      <w:spacing w:after="5" w:line="248" w:lineRule="auto"/>
      <w:ind w:left="27" w:right="106" w:hanging="10"/>
    </w:pPr>
    <w:rPr>
      <w:rFonts w:ascii="Calibri" w:eastAsia="Calibri" w:hAnsi="Calibri" w:cs="Calibri"/>
      <w:color w:val="000000"/>
      <w:sz w:val="20"/>
      <w:lang w:eastAsia="nl-NL"/>
    </w:rPr>
  </w:style>
  <w:style w:type="paragraph" w:styleId="Kop1">
    <w:name w:val="heading 1"/>
    <w:next w:val="Standaard"/>
    <w:link w:val="Kop1Char"/>
    <w:unhideWhenUsed/>
    <w:qFormat/>
    <w:rsid w:val="00F52DE6"/>
    <w:pPr>
      <w:keepNext/>
      <w:keepLines/>
      <w:spacing w:after="111" w:line="259" w:lineRule="auto"/>
      <w:ind w:left="10" w:hanging="10"/>
      <w:outlineLvl w:val="0"/>
    </w:pPr>
    <w:rPr>
      <w:rFonts w:ascii="Calibri" w:eastAsia="Calibri" w:hAnsi="Calibri" w:cs="Calibri"/>
      <w:b/>
      <w:color w:val="38197A"/>
      <w:sz w:val="2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52DE6"/>
    <w:rPr>
      <w:rFonts w:ascii="Calibri" w:eastAsia="Calibri" w:hAnsi="Calibri" w:cs="Calibri"/>
      <w:b/>
      <w:color w:val="38197A"/>
      <w:sz w:val="28"/>
      <w:szCs w:val="20"/>
      <w:lang w:eastAsia="nl-NL"/>
    </w:rPr>
  </w:style>
  <w:style w:type="character" w:styleId="Hyperlink">
    <w:name w:val="Hyperlink"/>
    <w:basedOn w:val="Standaardalinea-lettertype"/>
    <w:uiPriority w:val="99"/>
    <w:rsid w:val="00F52DE6"/>
    <w:rPr>
      <w:color w:val="0000FF"/>
      <w:u w:val="single"/>
    </w:rPr>
  </w:style>
  <w:style w:type="paragraph" w:styleId="Geenafstand">
    <w:name w:val="No Spacing"/>
    <w:link w:val="GeenafstandChar"/>
    <w:uiPriority w:val="1"/>
    <w:qFormat/>
    <w:rsid w:val="00F52DE6"/>
    <w:pPr>
      <w:spacing w:after="0" w:line="240" w:lineRule="auto"/>
      <w:ind w:left="27" w:right="106" w:hanging="10"/>
    </w:pPr>
    <w:rPr>
      <w:rFonts w:ascii="Calibri" w:eastAsia="Calibri" w:hAnsi="Calibri" w:cs="Calibri"/>
      <w:color w:val="000000"/>
      <w:sz w:val="20"/>
      <w:lang w:eastAsia="nl-NL"/>
    </w:rPr>
  </w:style>
  <w:style w:type="paragraph" w:styleId="Lijstalinea">
    <w:name w:val="List Paragraph"/>
    <w:basedOn w:val="Standaard"/>
    <w:uiPriority w:val="34"/>
    <w:qFormat/>
    <w:rsid w:val="00F52DE6"/>
    <w:pPr>
      <w:numPr>
        <w:numId w:val="1"/>
      </w:numPr>
      <w:contextualSpacing/>
    </w:pPr>
  </w:style>
  <w:style w:type="character" w:customStyle="1" w:styleId="GeenafstandChar">
    <w:name w:val="Geen afstand Char"/>
    <w:basedOn w:val="Standaardalinea-lettertype"/>
    <w:link w:val="Geenafstand"/>
    <w:uiPriority w:val="1"/>
    <w:rsid w:val="00F52DE6"/>
    <w:rPr>
      <w:rFonts w:ascii="Calibri" w:eastAsia="Calibri" w:hAnsi="Calibri" w:cs="Calibri"/>
      <w:color w:val="000000"/>
      <w:sz w:val="20"/>
      <w:lang w:eastAsia="nl-NL"/>
    </w:rPr>
  </w:style>
  <w:style w:type="paragraph" w:customStyle="1" w:styleId="Default">
    <w:name w:val="Default"/>
    <w:rsid w:val="00F52DE6"/>
    <w:pPr>
      <w:autoSpaceDE w:val="0"/>
      <w:autoSpaceDN w:val="0"/>
      <w:adjustRightInd w:val="0"/>
      <w:spacing w:after="0" w:line="240" w:lineRule="auto"/>
    </w:pPr>
    <w:rPr>
      <w:rFonts w:ascii="Verdana" w:eastAsia="Times New Roman" w:hAnsi="Verdana" w:cs="Verdana"/>
      <w:color w:val="000000"/>
      <w:sz w:val="24"/>
      <w:szCs w:val="24"/>
      <w:lang w:eastAsia="nl-NL"/>
    </w:rPr>
  </w:style>
  <w:style w:type="table" w:styleId="Eenvoudigetabel3">
    <w:name w:val="Table Simple 3"/>
    <w:basedOn w:val="Standaardtabel"/>
    <w:rsid w:val="00F52DE6"/>
    <w:pPr>
      <w:spacing w:after="5" w:line="248" w:lineRule="auto"/>
      <w:ind w:left="27" w:right="106" w:hanging="10"/>
    </w:pPr>
    <w:rPr>
      <w:rFonts w:ascii="Calibri" w:eastAsia="Times New Roman" w:hAnsi="Calibri"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Tekstvantijdelijkeaanduiding">
    <w:name w:val="Placeholder Text"/>
    <w:basedOn w:val="Standaardalinea-lettertype"/>
    <w:uiPriority w:val="99"/>
    <w:semiHidden/>
    <w:rsid w:val="00F52DE6"/>
    <w:rPr>
      <w:color w:val="808080"/>
    </w:rPr>
  </w:style>
  <w:style w:type="paragraph" w:styleId="Ballontekst">
    <w:name w:val="Balloon Text"/>
    <w:basedOn w:val="Standaard"/>
    <w:link w:val="BallontekstChar"/>
    <w:uiPriority w:val="99"/>
    <w:semiHidden/>
    <w:unhideWhenUsed/>
    <w:rsid w:val="00F52D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2DE6"/>
    <w:rPr>
      <w:rFonts w:ascii="Tahoma" w:eastAsia="Calibri" w:hAnsi="Tahoma" w:cs="Tahoma"/>
      <w:color w:val="000000"/>
      <w:sz w:val="16"/>
      <w:szCs w:val="16"/>
      <w:lang w:eastAsia="nl-NL"/>
    </w:rPr>
  </w:style>
  <w:style w:type="character" w:styleId="Nadruk">
    <w:name w:val="Emphasis"/>
    <w:basedOn w:val="Standaardalinea-lettertype"/>
    <w:uiPriority w:val="20"/>
    <w:qFormat/>
    <w:rsid w:val="00CC3B7D"/>
    <w:rPr>
      <w:b/>
      <w:bCs/>
      <w:i w:val="0"/>
      <w:iCs w:val="0"/>
    </w:rPr>
  </w:style>
  <w:style w:type="character" w:customStyle="1" w:styleId="st1">
    <w:name w:val="st1"/>
    <w:basedOn w:val="Standaardalinea-lettertype"/>
    <w:rsid w:val="00CC3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09273">
      <w:bodyDiv w:val="1"/>
      <w:marLeft w:val="0"/>
      <w:marRight w:val="0"/>
      <w:marTop w:val="0"/>
      <w:marBottom w:val="0"/>
      <w:divBdr>
        <w:top w:val="none" w:sz="0" w:space="0" w:color="auto"/>
        <w:left w:val="none" w:sz="0" w:space="0" w:color="auto"/>
        <w:bottom w:val="none" w:sz="0" w:space="0" w:color="auto"/>
        <w:right w:val="none" w:sz="0" w:space="0" w:color="auto"/>
      </w:divBdr>
    </w:div>
    <w:div w:id="812217303">
      <w:bodyDiv w:val="1"/>
      <w:marLeft w:val="0"/>
      <w:marRight w:val="0"/>
      <w:marTop w:val="0"/>
      <w:marBottom w:val="0"/>
      <w:divBdr>
        <w:top w:val="none" w:sz="0" w:space="0" w:color="auto"/>
        <w:left w:val="none" w:sz="0" w:space="0" w:color="auto"/>
        <w:bottom w:val="none" w:sz="0" w:space="0" w:color="auto"/>
        <w:right w:val="none" w:sz="0" w:space="0" w:color="auto"/>
      </w:divBdr>
    </w:div>
    <w:div w:id="938415581">
      <w:bodyDiv w:val="1"/>
      <w:marLeft w:val="0"/>
      <w:marRight w:val="0"/>
      <w:marTop w:val="0"/>
      <w:marBottom w:val="0"/>
      <w:divBdr>
        <w:top w:val="none" w:sz="0" w:space="0" w:color="auto"/>
        <w:left w:val="none" w:sz="0" w:space="0" w:color="auto"/>
        <w:bottom w:val="none" w:sz="0" w:space="0" w:color="auto"/>
        <w:right w:val="none" w:sz="0" w:space="0" w:color="auto"/>
      </w:divBdr>
    </w:div>
    <w:div w:id="1092238775">
      <w:bodyDiv w:val="1"/>
      <w:marLeft w:val="0"/>
      <w:marRight w:val="0"/>
      <w:marTop w:val="0"/>
      <w:marBottom w:val="0"/>
      <w:divBdr>
        <w:top w:val="none" w:sz="0" w:space="0" w:color="auto"/>
        <w:left w:val="none" w:sz="0" w:space="0" w:color="auto"/>
        <w:bottom w:val="none" w:sz="0" w:space="0" w:color="auto"/>
        <w:right w:val="none" w:sz="0" w:space="0" w:color="auto"/>
      </w:divBdr>
    </w:div>
    <w:div w:id="20470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l.wikipedia.org/wiki/Int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8E9F-C358-417D-8235-BB538387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9028</Characters>
  <Application>Microsoft Office Word</Application>
  <DocSecurity>0</DocSecurity>
  <Lines>167</Lines>
  <Paragraphs>138</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jubbels</dc:creator>
  <cp:lastModifiedBy>Ed van Velzen</cp:lastModifiedBy>
  <cp:revision>2</cp:revision>
  <dcterms:created xsi:type="dcterms:W3CDTF">2018-04-12T11:46:00Z</dcterms:created>
  <dcterms:modified xsi:type="dcterms:W3CDTF">2018-04-12T11:46:00Z</dcterms:modified>
</cp:coreProperties>
</file>