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28" w:rsidRPr="009853C0" w:rsidRDefault="008052A7" w:rsidP="001A2228">
      <w:pPr>
        <w:rPr>
          <w:b/>
          <w:szCs w:val="18"/>
          <w:lang w:val="en-GB" w:bidi="ar-MA"/>
        </w:rPr>
      </w:pPr>
      <w:r w:rsidRPr="009853C0">
        <w:rPr>
          <w:b/>
          <w:szCs w:val="18"/>
          <w:lang w:val="en-GB" w:bidi="ar-MA"/>
        </w:rPr>
        <w:t>Notification</w:t>
      </w:r>
      <w:r w:rsidR="001A2228" w:rsidRPr="009853C0">
        <w:rPr>
          <w:b/>
          <w:szCs w:val="18"/>
          <w:lang w:val="en-GB" w:bidi="ar-MA"/>
        </w:rPr>
        <w:t xml:space="preserve">:  </w:t>
      </w:r>
      <w:r w:rsidR="000176A5" w:rsidRPr="009853C0">
        <w:rPr>
          <w:b/>
          <w:szCs w:val="18"/>
          <w:lang w:val="en-US"/>
        </w:rPr>
        <w:t>Risk assessment for Ultra Deep Geothermal Energy (UDG) and inventory of preventive and mitigation measures</w:t>
      </w:r>
    </w:p>
    <w:p w:rsidR="001A2228" w:rsidRPr="009853C0" w:rsidRDefault="000176A5" w:rsidP="001A2228">
      <w:pPr>
        <w:rPr>
          <w:b/>
          <w:szCs w:val="18"/>
          <w:lang w:val="en-GB" w:bidi="ar-MA"/>
        </w:rPr>
      </w:pPr>
      <w:r w:rsidRPr="009853C0">
        <w:rPr>
          <w:b/>
          <w:szCs w:val="18"/>
          <w:lang w:val="en-GB" w:bidi="ar-MA"/>
        </w:rPr>
        <w:t xml:space="preserve">Organisation: </w:t>
      </w:r>
      <w:r w:rsidR="002C50A7" w:rsidRPr="00D54550">
        <w:rPr>
          <w:rFonts w:eastAsiaTheme="minorHAnsi" w:cs="Arial"/>
          <w:b/>
          <w:szCs w:val="18"/>
          <w:lang w:val="en-GB" w:eastAsia="en-US"/>
        </w:rPr>
        <w:t>State Supervision of Mines</w:t>
      </w:r>
    </w:p>
    <w:p w:rsidR="008052A7" w:rsidRPr="009853C0" w:rsidRDefault="008052A7" w:rsidP="001A2228">
      <w:pPr>
        <w:rPr>
          <w:b/>
          <w:szCs w:val="18"/>
          <w:lang w:val="en-GB" w:bidi="ar-MA"/>
        </w:rPr>
      </w:pPr>
    </w:p>
    <w:p w:rsidR="00BB389F" w:rsidRPr="009853C0" w:rsidRDefault="00BB389F" w:rsidP="001A2228">
      <w:pPr>
        <w:rPr>
          <w:b/>
          <w:szCs w:val="18"/>
          <w:lang w:val="en-GB" w:bidi="ar-MA"/>
        </w:rPr>
      </w:pPr>
    </w:p>
    <w:p w:rsidR="008052A7" w:rsidRPr="009853C0" w:rsidRDefault="008052A7" w:rsidP="001A2228">
      <w:pPr>
        <w:rPr>
          <w:b/>
          <w:szCs w:val="18"/>
          <w:lang w:val="en-GB" w:bidi="ar-MA"/>
        </w:rPr>
      </w:pPr>
      <w:r w:rsidRPr="009853C0">
        <w:rPr>
          <w:b/>
          <w:szCs w:val="18"/>
          <w:lang w:val="en-GB" w:bidi="ar-MA"/>
        </w:rPr>
        <w:t>Purpose of the notification</w:t>
      </w:r>
    </w:p>
    <w:p w:rsidR="008052A7" w:rsidRPr="009853C0" w:rsidRDefault="0071140C" w:rsidP="001A2228">
      <w:pPr>
        <w:rPr>
          <w:szCs w:val="18"/>
          <w:lang w:val="en-GB" w:bidi="ar-MA"/>
        </w:rPr>
      </w:pPr>
      <w:r w:rsidRPr="009853C0">
        <w:rPr>
          <w:szCs w:val="18"/>
          <w:lang w:val="en-GB" w:bidi="ar-MA"/>
        </w:rPr>
        <w:t xml:space="preserve">The </w:t>
      </w:r>
      <w:r w:rsidR="00D54550">
        <w:rPr>
          <w:szCs w:val="18"/>
          <w:lang w:val="en-GB" w:bidi="ar-MA"/>
        </w:rPr>
        <w:t>Procurement Office of the Ministry of Economic Affairs and Climate Policy (MEA)</w:t>
      </w:r>
      <w:r w:rsidRPr="009853C0">
        <w:rPr>
          <w:szCs w:val="18"/>
          <w:lang w:val="en-GB" w:bidi="ar-MA"/>
        </w:rPr>
        <w:t xml:space="preserve"> is publishing this notification on behalf of the </w:t>
      </w:r>
      <w:r w:rsidR="00C8088F" w:rsidRPr="009853C0">
        <w:rPr>
          <w:szCs w:val="18"/>
          <w:lang w:val="en-GB" w:bidi="ar-MA"/>
        </w:rPr>
        <w:t xml:space="preserve">State Supervision of Mines </w:t>
      </w:r>
      <w:r w:rsidR="00DD197D" w:rsidRPr="009853C0">
        <w:rPr>
          <w:szCs w:val="18"/>
          <w:lang w:val="en-GB" w:bidi="ar-MA"/>
        </w:rPr>
        <w:t>(</w:t>
      </w:r>
      <w:r w:rsidR="00C8088F" w:rsidRPr="009853C0">
        <w:rPr>
          <w:szCs w:val="18"/>
          <w:lang w:val="en-GB" w:bidi="ar-MA"/>
        </w:rPr>
        <w:t>SSM</w:t>
      </w:r>
      <w:r w:rsidR="00DD197D" w:rsidRPr="009853C0">
        <w:rPr>
          <w:szCs w:val="18"/>
          <w:lang w:val="en-GB" w:bidi="ar-MA"/>
        </w:rPr>
        <w:t>)</w:t>
      </w:r>
      <w:r w:rsidRPr="009853C0">
        <w:rPr>
          <w:szCs w:val="18"/>
          <w:lang w:val="en-GB" w:bidi="ar-MA"/>
        </w:rPr>
        <w:t>.</w:t>
      </w:r>
      <w:r w:rsidR="00E05151" w:rsidRPr="009853C0">
        <w:rPr>
          <w:szCs w:val="18"/>
          <w:lang w:val="en-GB" w:bidi="ar-MA"/>
        </w:rPr>
        <w:t xml:space="preserve"> </w:t>
      </w:r>
      <w:r w:rsidR="00664F95" w:rsidRPr="009853C0">
        <w:rPr>
          <w:szCs w:val="18"/>
          <w:lang w:val="en-GB" w:bidi="ar-MA"/>
        </w:rPr>
        <w:t>The purpose of th</w:t>
      </w:r>
      <w:r w:rsidR="00A609AA" w:rsidRPr="009853C0">
        <w:rPr>
          <w:szCs w:val="18"/>
          <w:lang w:val="en-GB" w:bidi="ar-MA"/>
        </w:rPr>
        <w:t>is notification</w:t>
      </w:r>
      <w:r w:rsidR="00664F95" w:rsidRPr="009853C0">
        <w:rPr>
          <w:szCs w:val="18"/>
          <w:lang w:val="en-GB" w:bidi="ar-MA"/>
        </w:rPr>
        <w:t xml:space="preserve"> is to determine whether there are parties interested to perform </w:t>
      </w:r>
      <w:r w:rsidR="009F1C23" w:rsidRPr="009853C0">
        <w:rPr>
          <w:szCs w:val="18"/>
          <w:lang w:val="en-GB" w:bidi="ar-MA"/>
        </w:rPr>
        <w:t>the abovementioned</w:t>
      </w:r>
      <w:r w:rsidR="00664F95" w:rsidRPr="009853C0">
        <w:rPr>
          <w:szCs w:val="18"/>
          <w:lang w:val="en-GB" w:bidi="ar-MA"/>
        </w:rPr>
        <w:t xml:space="preserve"> </w:t>
      </w:r>
      <w:r w:rsidR="009853C0" w:rsidRPr="009853C0">
        <w:rPr>
          <w:szCs w:val="18"/>
          <w:lang w:val="en-GB" w:bidi="ar-MA"/>
        </w:rPr>
        <w:t>assessment</w:t>
      </w:r>
      <w:r w:rsidR="00664F95" w:rsidRPr="009853C0">
        <w:rPr>
          <w:szCs w:val="18"/>
          <w:lang w:val="en-GB" w:bidi="ar-MA"/>
        </w:rPr>
        <w:t>.</w:t>
      </w:r>
    </w:p>
    <w:p w:rsidR="008052A7" w:rsidRPr="009853C0" w:rsidRDefault="008052A7" w:rsidP="001A2228">
      <w:pPr>
        <w:rPr>
          <w:b/>
          <w:szCs w:val="18"/>
          <w:lang w:val="en-GB" w:bidi="ar-MA"/>
        </w:rPr>
      </w:pPr>
    </w:p>
    <w:p w:rsidR="001E6B7A" w:rsidRPr="009853C0" w:rsidRDefault="008052A7" w:rsidP="001E6B7A">
      <w:pPr>
        <w:rPr>
          <w:szCs w:val="18"/>
          <w:lang w:val="en-GB" w:bidi="ar-MA"/>
        </w:rPr>
      </w:pPr>
      <w:r w:rsidRPr="009853C0">
        <w:rPr>
          <w:b/>
          <w:szCs w:val="18"/>
          <w:lang w:val="en-GB" w:bidi="ar-MA"/>
        </w:rPr>
        <w:t xml:space="preserve">Background </w:t>
      </w:r>
      <w:r w:rsidR="001E6B7A" w:rsidRPr="009853C0">
        <w:rPr>
          <w:b/>
          <w:szCs w:val="18"/>
          <w:lang w:val="en-GB" w:bidi="ar-MA"/>
        </w:rPr>
        <w:t>information.</w:t>
      </w:r>
      <w:r w:rsidR="001E6B7A" w:rsidRPr="009853C0">
        <w:rPr>
          <w:szCs w:val="18"/>
          <w:lang w:val="en-GB" w:bidi="ar-MA"/>
        </w:rPr>
        <w:t xml:space="preserve"> </w:t>
      </w:r>
    </w:p>
    <w:p w:rsidR="00C8088F" w:rsidRPr="001172AF" w:rsidRDefault="00C8088F" w:rsidP="00C8088F">
      <w:pPr>
        <w:rPr>
          <w:iCs/>
          <w:color w:val="000000"/>
          <w:szCs w:val="18"/>
          <w:lang w:val="en-GB"/>
        </w:rPr>
      </w:pPr>
      <w:r w:rsidRPr="001172AF">
        <w:rPr>
          <w:iCs/>
          <w:color w:val="000000"/>
          <w:szCs w:val="18"/>
          <w:lang w:val="en-GB"/>
        </w:rPr>
        <w:t xml:space="preserve">Ultra-deep Geothermal Energy (UDG) as a source of heat and electricity are renewable energy resources promoted by the Ministry of Economic Affairs </w:t>
      </w:r>
      <w:r w:rsidR="00BC1C9B">
        <w:rPr>
          <w:iCs/>
          <w:color w:val="000000"/>
          <w:szCs w:val="18"/>
          <w:lang w:val="en-GB"/>
        </w:rPr>
        <w:t xml:space="preserve">and Climate Policy </w:t>
      </w:r>
      <w:r w:rsidRPr="001172AF">
        <w:rPr>
          <w:iCs/>
          <w:color w:val="000000"/>
          <w:szCs w:val="18"/>
          <w:lang w:val="en-GB"/>
        </w:rPr>
        <w:t xml:space="preserve">(MEA) and Energie Beheer Nederland (EBN). However, the various hazards and risks associated with UDG </w:t>
      </w:r>
      <w:r w:rsidRPr="001172AF">
        <w:rPr>
          <w:iCs/>
          <w:color w:val="000000" w:themeColor="text1"/>
          <w:szCs w:val="18"/>
          <w:lang w:val="en-GB"/>
        </w:rPr>
        <w:t>ha</w:t>
      </w:r>
      <w:r w:rsidR="009853C0" w:rsidRPr="001172AF">
        <w:rPr>
          <w:iCs/>
          <w:color w:val="000000" w:themeColor="text1"/>
          <w:szCs w:val="18"/>
          <w:lang w:val="en-GB"/>
        </w:rPr>
        <w:t>ve</w:t>
      </w:r>
      <w:r w:rsidRPr="001172AF">
        <w:rPr>
          <w:iCs/>
          <w:color w:val="000000" w:themeColor="text1"/>
          <w:szCs w:val="18"/>
          <w:lang w:val="en-GB"/>
        </w:rPr>
        <w:t xml:space="preserve"> not been thoroughly inventoried </w:t>
      </w:r>
      <w:r w:rsidRPr="001172AF">
        <w:rPr>
          <w:iCs/>
          <w:color w:val="000000"/>
          <w:szCs w:val="18"/>
          <w:lang w:val="en-GB"/>
        </w:rPr>
        <w:t>and no comprehensive guidelines exist in the Netherlands for quantifying them during</w:t>
      </w:r>
      <w:r w:rsidR="009853C0" w:rsidRPr="001172AF">
        <w:rPr>
          <w:iCs/>
          <w:color w:val="000000"/>
          <w:szCs w:val="18"/>
          <w:lang w:val="en-GB"/>
        </w:rPr>
        <w:t xml:space="preserve"> </w:t>
      </w:r>
      <w:r w:rsidRPr="001172AF">
        <w:rPr>
          <w:iCs/>
          <w:color w:val="000000"/>
          <w:szCs w:val="18"/>
          <w:lang w:val="en-GB"/>
        </w:rPr>
        <w:t xml:space="preserve">all project phases. The State </w:t>
      </w:r>
      <w:r w:rsidR="001172AF">
        <w:rPr>
          <w:iCs/>
          <w:color w:val="000000"/>
          <w:szCs w:val="18"/>
          <w:lang w:val="en-GB"/>
        </w:rPr>
        <w:t>Supervision</w:t>
      </w:r>
      <w:r w:rsidR="001172AF" w:rsidRPr="001172AF">
        <w:rPr>
          <w:iCs/>
          <w:color w:val="000000"/>
          <w:szCs w:val="18"/>
          <w:lang w:val="en-GB"/>
        </w:rPr>
        <w:t xml:space="preserve"> </w:t>
      </w:r>
      <w:r w:rsidRPr="001172AF">
        <w:rPr>
          <w:iCs/>
          <w:color w:val="000000"/>
          <w:szCs w:val="18"/>
          <w:lang w:val="en-GB"/>
        </w:rPr>
        <w:t>of Mines (SSM) foresees that these risks could become major concerns for UDG-projects in the Netherlands. Hence, the responsible supervisory agency (SSM) considers it critical to obtain a good overview of the risks of UDG projects</w:t>
      </w:r>
      <w:r w:rsidR="009853C0" w:rsidRPr="001172AF">
        <w:rPr>
          <w:iCs/>
          <w:color w:val="000000"/>
          <w:szCs w:val="18"/>
          <w:lang w:val="en-GB"/>
        </w:rPr>
        <w:t xml:space="preserve">. Furthermore SSM wants </w:t>
      </w:r>
      <w:r w:rsidR="00942938" w:rsidRPr="001172AF">
        <w:rPr>
          <w:iCs/>
          <w:color w:val="000000"/>
          <w:szCs w:val="18"/>
          <w:lang w:val="en-GB"/>
        </w:rPr>
        <w:t>to obtain</w:t>
      </w:r>
      <w:r w:rsidRPr="001172AF">
        <w:rPr>
          <w:iCs/>
          <w:color w:val="000000"/>
          <w:szCs w:val="18"/>
          <w:lang w:val="en-GB"/>
        </w:rPr>
        <w:t xml:space="preserve"> strategies for risk management and mitigation.</w:t>
      </w:r>
    </w:p>
    <w:p w:rsidR="001E6B7A" w:rsidRPr="009853C0" w:rsidRDefault="001E6B7A" w:rsidP="001A2228">
      <w:pPr>
        <w:rPr>
          <w:b/>
          <w:szCs w:val="18"/>
          <w:lang w:val="en-GB" w:bidi="ar-MA"/>
        </w:rPr>
      </w:pPr>
    </w:p>
    <w:p w:rsidR="00C8088F" w:rsidRPr="009853C0" w:rsidRDefault="00C8088F" w:rsidP="001A2228">
      <w:pPr>
        <w:rPr>
          <w:szCs w:val="18"/>
          <w:lang w:val="en-US" w:bidi="ar-MA"/>
        </w:rPr>
      </w:pPr>
      <w:r w:rsidRPr="001172AF">
        <w:rPr>
          <w:iCs/>
          <w:color w:val="000000"/>
          <w:szCs w:val="18"/>
          <w:lang w:val="en-GB"/>
        </w:rPr>
        <w:t>Like essentially all technologies, deep (&gt; 400m) and ultra-</w:t>
      </w:r>
      <w:r w:rsidRPr="001172AF">
        <w:rPr>
          <w:iCs/>
          <w:color w:val="000000" w:themeColor="text1"/>
          <w:szCs w:val="18"/>
          <w:lang w:val="en-GB"/>
        </w:rPr>
        <w:t xml:space="preserve">deep (4km) geothermal </w:t>
      </w:r>
      <w:r w:rsidRPr="001172AF">
        <w:rPr>
          <w:iCs/>
          <w:color w:val="000000"/>
          <w:szCs w:val="18"/>
          <w:lang w:val="en-GB"/>
        </w:rPr>
        <w:t>energy exploitation is not risk free. This applies to a variable degree to deep hydrothermal projects and Enhanced Geothermal Systems (EGS). Known risks are for example</w:t>
      </w:r>
      <w:r w:rsidR="00942938">
        <w:rPr>
          <w:iCs/>
          <w:color w:val="000000"/>
          <w:szCs w:val="18"/>
          <w:lang w:val="en-GB"/>
        </w:rPr>
        <w:t>:</w:t>
      </w:r>
      <w:r w:rsidRPr="001172AF">
        <w:rPr>
          <w:iCs/>
          <w:color w:val="000000"/>
          <w:szCs w:val="18"/>
          <w:lang w:val="en-GB"/>
        </w:rPr>
        <w:t xml:space="preserve"> induced seismicity, blowouts, leakage, chemical spills, deformation or accidents. While for some of these risks extensive experience and empirical data exists from oil and gas production or power plants, others are more specific to geothermal energy exploitation and little experience exists. This is especially so for underground risks in the seismic-tectonic context of the Netherlands. While there are no existing guidelines in the Netherlands for classifying and quantifying the risks of UDG-projects in the Netherland, such guidelines do in parts exist in other countries, and there is also a growing experience and modelling capability on geothermal processes worldwide that should be considered.</w:t>
      </w:r>
    </w:p>
    <w:p w:rsidR="00C8088F" w:rsidRPr="009853C0" w:rsidRDefault="00C8088F" w:rsidP="00597379">
      <w:pPr>
        <w:rPr>
          <w:b/>
          <w:szCs w:val="18"/>
          <w:lang w:val="en-GB" w:bidi="ar-MA"/>
        </w:rPr>
      </w:pPr>
    </w:p>
    <w:p w:rsidR="00597379" w:rsidRPr="009853C0" w:rsidRDefault="001A2228" w:rsidP="00597379">
      <w:pPr>
        <w:rPr>
          <w:szCs w:val="18"/>
          <w:lang w:val="en-GB" w:bidi="ar-MA"/>
        </w:rPr>
      </w:pPr>
      <w:r w:rsidRPr="009853C0">
        <w:rPr>
          <w:b/>
          <w:szCs w:val="18"/>
          <w:lang w:val="en-GB" w:bidi="ar-MA"/>
        </w:rPr>
        <w:t>Central research question</w:t>
      </w:r>
      <w:r w:rsidR="009F4864" w:rsidRPr="009853C0">
        <w:rPr>
          <w:b/>
          <w:szCs w:val="18"/>
          <w:lang w:val="en-GB" w:bidi="ar-MA"/>
        </w:rPr>
        <w:t>s</w:t>
      </w:r>
    </w:p>
    <w:p w:rsidR="00C8088F" w:rsidRPr="001172AF" w:rsidRDefault="00C8088F" w:rsidP="00C8088F">
      <w:pPr>
        <w:spacing w:line="240" w:lineRule="auto"/>
        <w:rPr>
          <w:iCs/>
          <w:color w:val="000000"/>
          <w:szCs w:val="18"/>
          <w:lang w:val="en-GB"/>
        </w:rPr>
      </w:pPr>
      <w:r w:rsidRPr="001172AF">
        <w:rPr>
          <w:b/>
          <w:iCs/>
          <w:color w:val="000000"/>
          <w:szCs w:val="18"/>
          <w:lang w:val="en-GB"/>
        </w:rPr>
        <w:t>Task 1:</w:t>
      </w:r>
      <w:r w:rsidRPr="001172AF">
        <w:rPr>
          <w:iCs/>
          <w:color w:val="000000"/>
          <w:szCs w:val="18"/>
          <w:lang w:val="en-GB"/>
        </w:rPr>
        <w:t xml:space="preserve"> </w:t>
      </w:r>
    </w:p>
    <w:p w:rsidR="00C8088F" w:rsidRPr="001172AF" w:rsidRDefault="00C8088F" w:rsidP="00C8088F">
      <w:pPr>
        <w:rPr>
          <w:szCs w:val="18"/>
          <w:lang w:val="en-GB"/>
        </w:rPr>
      </w:pPr>
      <w:r w:rsidRPr="001172AF">
        <w:rPr>
          <w:szCs w:val="18"/>
          <w:lang w:val="en-GB"/>
        </w:rPr>
        <w:t>Conduct a comprehensive review and ranking of surface and subsurface risks (in terms of Health, Safety and Environment, not economical or public acceptance) related to UDG projects (both hydrothermal and EGS). This should contain a literature and accident database review of all risks, the identification of top events and the identification of causes and consequences. Expert elicitation could also be used to identify and rank the relevant risks. This review should include all risk</w:t>
      </w:r>
      <w:r w:rsidR="009853C0" w:rsidRPr="001172AF">
        <w:rPr>
          <w:szCs w:val="18"/>
          <w:lang w:val="en-GB"/>
        </w:rPr>
        <w:t>s</w:t>
      </w:r>
      <w:r w:rsidRPr="001172AF">
        <w:rPr>
          <w:szCs w:val="18"/>
          <w:lang w:val="en-GB"/>
        </w:rPr>
        <w:t xml:space="preserve"> but</w:t>
      </w:r>
      <w:r w:rsidR="009853C0" w:rsidRPr="001172AF">
        <w:rPr>
          <w:szCs w:val="18"/>
          <w:lang w:val="en-GB"/>
        </w:rPr>
        <w:t xml:space="preserve"> should</w:t>
      </w:r>
      <w:r w:rsidRPr="001172AF">
        <w:rPr>
          <w:szCs w:val="18"/>
          <w:lang w:val="en-GB"/>
        </w:rPr>
        <w:t xml:space="preserve"> focus on underground risks specifically on the Dutch geological, technological and </w:t>
      </w:r>
      <w:proofErr w:type="spellStart"/>
      <w:r w:rsidRPr="001172AF">
        <w:rPr>
          <w:szCs w:val="18"/>
          <w:lang w:val="en-GB"/>
        </w:rPr>
        <w:t>seismotectonic</w:t>
      </w:r>
      <w:proofErr w:type="spellEnd"/>
      <w:r w:rsidRPr="001172AF">
        <w:rPr>
          <w:szCs w:val="18"/>
          <w:lang w:val="en-GB"/>
        </w:rPr>
        <w:t xml:space="preserve"> context. It should also discuss relevant analogues from around the world as well as </w:t>
      </w:r>
      <w:r w:rsidRPr="001172AF">
        <w:rPr>
          <w:bCs/>
          <w:szCs w:val="18"/>
          <w:lang w:val="en-GB"/>
        </w:rPr>
        <w:t>possible/feasible preventive, management and mitigation measures</w:t>
      </w:r>
      <w:r w:rsidRPr="001172AF">
        <w:rPr>
          <w:b/>
          <w:bCs/>
          <w:i/>
          <w:szCs w:val="18"/>
          <w:lang w:val="en-GB"/>
        </w:rPr>
        <w:t>.</w:t>
      </w:r>
      <w:r w:rsidRPr="001172AF">
        <w:rPr>
          <w:szCs w:val="18"/>
          <w:lang w:val="en-GB"/>
        </w:rPr>
        <w:t xml:space="preserve"> Uncertainties, limitations and data needs should be explicitly discussed. The overview should ideally be embedded in a bow-tie risk analysis of all risks involved, discussing as well the causes and consequences of these risks. </w:t>
      </w:r>
    </w:p>
    <w:p w:rsidR="00C8088F" w:rsidRPr="001172AF" w:rsidRDefault="00C8088F" w:rsidP="00C8088F">
      <w:pPr>
        <w:spacing w:line="240" w:lineRule="auto"/>
        <w:rPr>
          <w:b/>
          <w:bCs/>
          <w:i/>
          <w:iCs/>
          <w:color w:val="000000"/>
          <w:szCs w:val="18"/>
          <w:lang w:val="en-GB"/>
        </w:rPr>
      </w:pPr>
    </w:p>
    <w:p w:rsidR="00DD197D" w:rsidRPr="009853C0" w:rsidRDefault="00C8088F" w:rsidP="00C8088F">
      <w:pPr>
        <w:rPr>
          <w:b/>
          <w:szCs w:val="18"/>
          <w:lang w:val="en-GB" w:bidi="ar-MA"/>
        </w:rPr>
      </w:pPr>
      <w:r w:rsidRPr="001172AF">
        <w:rPr>
          <w:b/>
          <w:bCs/>
          <w:i/>
          <w:iCs/>
          <w:color w:val="000000"/>
          <w:szCs w:val="18"/>
          <w:lang w:val="en-GB"/>
        </w:rPr>
        <w:t xml:space="preserve">Task 2: </w:t>
      </w:r>
      <w:r w:rsidRPr="001172AF">
        <w:rPr>
          <w:bCs/>
          <w:iCs/>
          <w:color w:val="000000"/>
          <w:szCs w:val="18"/>
          <w:lang w:val="en-GB"/>
        </w:rPr>
        <w:t>Based on Task 1, suggest a suitable framework for risk governance of UDG project</w:t>
      </w:r>
      <w:r w:rsidR="009853C0" w:rsidRPr="001172AF">
        <w:rPr>
          <w:bCs/>
          <w:iCs/>
          <w:color w:val="000000"/>
          <w:szCs w:val="18"/>
          <w:lang w:val="en-GB"/>
        </w:rPr>
        <w:t>s</w:t>
      </w:r>
      <w:r w:rsidRPr="001172AF">
        <w:rPr>
          <w:bCs/>
          <w:iCs/>
          <w:color w:val="000000"/>
          <w:szCs w:val="18"/>
          <w:lang w:val="en-GB"/>
        </w:rPr>
        <w:t xml:space="preserve"> in the Netherlands, again with a focus on underground related risks. This framework would contain </w:t>
      </w:r>
      <w:r w:rsidR="009853C0" w:rsidRPr="001172AF">
        <w:rPr>
          <w:bCs/>
          <w:iCs/>
          <w:color w:val="000000"/>
          <w:szCs w:val="18"/>
          <w:lang w:val="en-GB"/>
        </w:rPr>
        <w:t xml:space="preserve">a </w:t>
      </w:r>
      <w:r w:rsidRPr="001172AF">
        <w:rPr>
          <w:bCs/>
          <w:iCs/>
          <w:color w:val="000000"/>
          <w:szCs w:val="18"/>
          <w:lang w:val="en-GB"/>
        </w:rPr>
        <w:t>project classification scheme, monitoring requirements, risk assessment and risk mitigation strategies for those risk</w:t>
      </w:r>
      <w:r w:rsidR="00942938">
        <w:rPr>
          <w:bCs/>
          <w:iCs/>
          <w:color w:val="000000"/>
          <w:szCs w:val="18"/>
          <w:lang w:val="en-GB"/>
        </w:rPr>
        <w:t>s</w:t>
      </w:r>
      <w:r w:rsidRPr="001172AF">
        <w:rPr>
          <w:bCs/>
          <w:iCs/>
          <w:color w:val="000000"/>
          <w:szCs w:val="18"/>
          <w:lang w:val="en-GB"/>
        </w:rPr>
        <w:t xml:space="preserve"> considered relevant and discuss relevant methodologies and software available for facilitating hazard and risk assessment.  </w:t>
      </w:r>
    </w:p>
    <w:p w:rsidR="00C8088F" w:rsidRPr="009853C0" w:rsidRDefault="00C8088F" w:rsidP="001A2228">
      <w:pPr>
        <w:rPr>
          <w:b/>
          <w:szCs w:val="18"/>
          <w:lang w:val="en-GB" w:bidi="ar-MA"/>
        </w:rPr>
      </w:pPr>
    </w:p>
    <w:p w:rsidR="001A2228" w:rsidRPr="009853C0" w:rsidRDefault="001A2228" w:rsidP="001A2228">
      <w:pPr>
        <w:rPr>
          <w:b/>
          <w:szCs w:val="18"/>
          <w:lang w:val="en-US" w:bidi="ar-MA"/>
        </w:rPr>
      </w:pPr>
      <w:r w:rsidRPr="009853C0">
        <w:rPr>
          <w:b/>
          <w:szCs w:val="18"/>
          <w:lang w:val="en-GB" w:bidi="ar-MA"/>
        </w:rPr>
        <w:t>Final product</w:t>
      </w:r>
    </w:p>
    <w:p w:rsidR="001A2228" w:rsidRPr="009853C0" w:rsidRDefault="001A2228" w:rsidP="001A2228">
      <w:pPr>
        <w:rPr>
          <w:szCs w:val="18"/>
          <w:lang w:val="en-GB" w:bidi="ar-MA"/>
        </w:rPr>
      </w:pPr>
      <w:r w:rsidRPr="009853C0">
        <w:rPr>
          <w:szCs w:val="18"/>
          <w:lang w:val="en-GB" w:bidi="ar-MA"/>
        </w:rPr>
        <w:t>The s</w:t>
      </w:r>
      <w:r w:rsidR="00B67DAA" w:rsidRPr="009853C0">
        <w:rPr>
          <w:szCs w:val="18"/>
          <w:lang w:val="en-GB" w:bidi="ar-MA"/>
        </w:rPr>
        <w:t xml:space="preserve">tudy must lead to a clear final </w:t>
      </w:r>
      <w:r w:rsidRPr="009853C0">
        <w:rPr>
          <w:szCs w:val="18"/>
          <w:lang w:val="en-GB" w:bidi="ar-MA"/>
        </w:rPr>
        <w:t>report</w:t>
      </w:r>
      <w:r w:rsidR="00C8088F" w:rsidRPr="009853C0">
        <w:rPr>
          <w:szCs w:val="18"/>
          <w:lang w:val="en-GB" w:bidi="ar-MA"/>
        </w:rPr>
        <w:t xml:space="preserve"> for Task 1 and Task 2</w:t>
      </w:r>
      <w:r w:rsidR="00A609AA" w:rsidRPr="009853C0">
        <w:rPr>
          <w:szCs w:val="18"/>
          <w:lang w:val="en-GB" w:bidi="ar-MA"/>
        </w:rPr>
        <w:t>,</w:t>
      </w:r>
      <w:r w:rsidR="00863C7E" w:rsidRPr="009853C0">
        <w:rPr>
          <w:szCs w:val="18"/>
          <w:lang w:val="en-GB" w:bidi="ar-MA"/>
        </w:rPr>
        <w:t xml:space="preserve"> written</w:t>
      </w:r>
      <w:r w:rsidR="00A609AA" w:rsidRPr="009853C0">
        <w:rPr>
          <w:szCs w:val="18"/>
          <w:lang w:val="en-GB" w:bidi="ar-MA"/>
        </w:rPr>
        <w:t xml:space="preserve"> </w:t>
      </w:r>
      <w:r w:rsidR="00B67DAA" w:rsidRPr="009853C0">
        <w:rPr>
          <w:szCs w:val="18"/>
          <w:lang w:val="en-GB" w:bidi="ar-MA"/>
        </w:rPr>
        <w:t>in English</w:t>
      </w:r>
      <w:r w:rsidR="00C8088F" w:rsidRPr="009853C0">
        <w:rPr>
          <w:szCs w:val="18"/>
          <w:lang w:val="en-GB" w:bidi="ar-MA"/>
        </w:rPr>
        <w:t>.</w:t>
      </w:r>
    </w:p>
    <w:p w:rsidR="00C8088F" w:rsidRDefault="00C8088F" w:rsidP="00C8088F">
      <w:pPr>
        <w:rPr>
          <w:b/>
          <w:szCs w:val="18"/>
          <w:lang w:val="en-GB" w:bidi="ar-MA"/>
        </w:rPr>
      </w:pPr>
    </w:p>
    <w:p w:rsidR="009853C0" w:rsidRPr="009853C0" w:rsidRDefault="009853C0" w:rsidP="00C8088F">
      <w:pPr>
        <w:rPr>
          <w:b/>
          <w:szCs w:val="18"/>
          <w:lang w:val="en-GB" w:bidi="ar-MA"/>
        </w:rPr>
      </w:pPr>
    </w:p>
    <w:p w:rsidR="00C8088F" w:rsidRPr="009853C0" w:rsidRDefault="00C8088F" w:rsidP="00C8088F">
      <w:pPr>
        <w:rPr>
          <w:b/>
          <w:szCs w:val="18"/>
          <w:lang w:val="en-GB" w:bidi="ar-MA"/>
        </w:rPr>
      </w:pPr>
      <w:r w:rsidRPr="009853C0">
        <w:rPr>
          <w:b/>
          <w:szCs w:val="18"/>
          <w:lang w:val="en-GB" w:bidi="ar-MA"/>
        </w:rPr>
        <w:lastRenderedPageBreak/>
        <w:t>Extent and duration</w:t>
      </w:r>
    </w:p>
    <w:p w:rsidR="00C8088F" w:rsidRPr="009853C0" w:rsidRDefault="007718B4" w:rsidP="00C8088F">
      <w:pPr>
        <w:rPr>
          <w:szCs w:val="18"/>
          <w:lang w:val="en-GB" w:bidi="ar-MA"/>
        </w:rPr>
      </w:pPr>
      <w:r w:rsidRPr="009853C0">
        <w:rPr>
          <w:szCs w:val="18"/>
          <w:lang w:val="en-GB" w:bidi="ar-MA"/>
        </w:rPr>
        <w:t xml:space="preserve">The delivery time for Task 1 is 3 – 6 months. </w:t>
      </w:r>
      <w:r w:rsidR="00C8088F" w:rsidRPr="009853C0">
        <w:rPr>
          <w:szCs w:val="18"/>
          <w:lang w:val="en-GB" w:bidi="ar-MA"/>
        </w:rPr>
        <w:t xml:space="preserve">The report </w:t>
      </w:r>
      <w:r w:rsidRPr="009853C0">
        <w:rPr>
          <w:szCs w:val="18"/>
          <w:lang w:val="en-GB" w:bidi="ar-MA"/>
        </w:rPr>
        <w:t xml:space="preserve">on Task 2 </w:t>
      </w:r>
      <w:r w:rsidR="00C8088F" w:rsidRPr="009853C0">
        <w:rPr>
          <w:szCs w:val="18"/>
          <w:lang w:val="en-GB" w:bidi="ar-MA"/>
        </w:rPr>
        <w:t xml:space="preserve">is due to be delivered </w:t>
      </w:r>
      <w:r w:rsidRPr="009853C0">
        <w:rPr>
          <w:szCs w:val="18"/>
          <w:lang w:val="en-GB" w:bidi="ar-MA"/>
        </w:rPr>
        <w:t xml:space="preserve">in 6 – 12 months. Final delivery time for both tasks is </w:t>
      </w:r>
      <w:r w:rsidR="00C8088F" w:rsidRPr="009853C0">
        <w:rPr>
          <w:szCs w:val="18"/>
          <w:lang w:val="en-GB" w:bidi="ar-MA"/>
        </w:rPr>
        <w:t>towards the end of 2018.</w:t>
      </w:r>
    </w:p>
    <w:p w:rsidR="001A2228" w:rsidRPr="009853C0" w:rsidRDefault="001A2228" w:rsidP="001A2228">
      <w:pPr>
        <w:rPr>
          <w:szCs w:val="18"/>
          <w:lang w:val="en-GB" w:bidi="ar-MA"/>
        </w:rPr>
      </w:pPr>
    </w:p>
    <w:p w:rsidR="00664F95" w:rsidRPr="009853C0" w:rsidRDefault="00664F95" w:rsidP="001A2228">
      <w:pPr>
        <w:rPr>
          <w:b/>
          <w:szCs w:val="18"/>
          <w:lang w:val="en-GB" w:bidi="ar-MA"/>
        </w:rPr>
      </w:pPr>
      <w:r w:rsidRPr="009853C0">
        <w:rPr>
          <w:b/>
          <w:szCs w:val="18"/>
          <w:lang w:val="en-GB" w:bidi="ar-MA"/>
        </w:rPr>
        <w:t>Required skills / experience</w:t>
      </w:r>
    </w:p>
    <w:p w:rsidR="00664F95" w:rsidRPr="009853C0" w:rsidRDefault="00664F95" w:rsidP="00370AB2">
      <w:pPr>
        <w:jc w:val="both"/>
        <w:rPr>
          <w:szCs w:val="18"/>
          <w:lang w:val="en-US"/>
        </w:rPr>
      </w:pPr>
      <w:r w:rsidRPr="009853C0">
        <w:rPr>
          <w:szCs w:val="18"/>
          <w:lang w:val="en-US"/>
        </w:rPr>
        <w:t>The company or companies (in case of a consortium) should:</w:t>
      </w:r>
    </w:p>
    <w:p w:rsidR="00FA1674" w:rsidRPr="009853C0" w:rsidRDefault="00A609AA" w:rsidP="005C3C43">
      <w:pPr>
        <w:pStyle w:val="Lijstalinea"/>
        <w:numPr>
          <w:ilvl w:val="0"/>
          <w:numId w:val="3"/>
        </w:numPr>
        <w:spacing w:line="240" w:lineRule="auto"/>
        <w:contextualSpacing w:val="0"/>
        <w:rPr>
          <w:szCs w:val="18"/>
          <w:lang w:val="en-US"/>
        </w:rPr>
      </w:pPr>
      <w:r w:rsidRPr="009853C0">
        <w:rPr>
          <w:szCs w:val="18"/>
          <w:lang w:val="en-US"/>
        </w:rPr>
        <w:t xml:space="preserve">Have a </w:t>
      </w:r>
      <w:r w:rsidR="0071140C" w:rsidRPr="009853C0">
        <w:rPr>
          <w:szCs w:val="18"/>
          <w:lang w:val="en-US"/>
        </w:rPr>
        <w:t>firm</w:t>
      </w:r>
      <w:r w:rsidRPr="009853C0">
        <w:rPr>
          <w:szCs w:val="18"/>
          <w:lang w:val="en-US"/>
        </w:rPr>
        <w:t xml:space="preserve"> </w:t>
      </w:r>
      <w:r w:rsidR="0071140C" w:rsidRPr="009853C0">
        <w:rPr>
          <w:szCs w:val="18"/>
          <w:lang w:val="en-US"/>
        </w:rPr>
        <w:t xml:space="preserve">knowledge </w:t>
      </w:r>
      <w:r w:rsidR="005C3C43" w:rsidRPr="009853C0">
        <w:rPr>
          <w:szCs w:val="18"/>
          <w:lang w:val="en-US"/>
        </w:rPr>
        <w:t xml:space="preserve">of </w:t>
      </w:r>
      <w:r w:rsidR="001172AF">
        <w:rPr>
          <w:szCs w:val="18"/>
          <w:lang w:val="en-US"/>
        </w:rPr>
        <w:t>assessing risks associated with geothermal operations</w:t>
      </w:r>
      <w:r w:rsidR="001172AF" w:rsidRPr="009853C0">
        <w:rPr>
          <w:szCs w:val="18"/>
          <w:lang w:val="en-US"/>
        </w:rPr>
        <w:t xml:space="preserve">; </w:t>
      </w:r>
    </w:p>
    <w:p w:rsidR="005E0A51" w:rsidRPr="009853C0" w:rsidRDefault="00FA1674" w:rsidP="005C3C43">
      <w:pPr>
        <w:pStyle w:val="Lijstalinea"/>
        <w:numPr>
          <w:ilvl w:val="0"/>
          <w:numId w:val="3"/>
        </w:numPr>
        <w:spacing w:line="240" w:lineRule="auto"/>
        <w:contextualSpacing w:val="0"/>
        <w:rPr>
          <w:szCs w:val="18"/>
          <w:lang w:val="en-US"/>
        </w:rPr>
      </w:pPr>
      <w:r w:rsidRPr="009853C0">
        <w:rPr>
          <w:szCs w:val="18"/>
          <w:lang w:val="en-US"/>
        </w:rPr>
        <w:t xml:space="preserve">Have knowledge regarding </w:t>
      </w:r>
      <w:r w:rsidR="00C915AD" w:rsidRPr="009853C0">
        <w:rPr>
          <w:szCs w:val="18"/>
          <w:lang w:val="en-US"/>
        </w:rPr>
        <w:t xml:space="preserve">the </w:t>
      </w:r>
      <w:r w:rsidR="00605374" w:rsidRPr="009853C0">
        <w:rPr>
          <w:szCs w:val="18"/>
          <w:lang w:val="en-US"/>
        </w:rPr>
        <w:t xml:space="preserve">relevant </w:t>
      </w:r>
      <w:r w:rsidR="00335C80" w:rsidRPr="009853C0">
        <w:rPr>
          <w:szCs w:val="18"/>
          <w:lang w:val="en-US"/>
        </w:rPr>
        <w:t>European legislation</w:t>
      </w:r>
      <w:r w:rsidR="005C3C43" w:rsidRPr="009853C0">
        <w:rPr>
          <w:szCs w:val="18"/>
          <w:lang w:val="en-US"/>
        </w:rPr>
        <w:t>;</w:t>
      </w:r>
      <w:r w:rsidR="00605374" w:rsidRPr="009853C0">
        <w:rPr>
          <w:szCs w:val="18"/>
          <w:lang w:val="en-US"/>
        </w:rPr>
        <w:t xml:space="preserve"> </w:t>
      </w:r>
    </w:p>
    <w:p w:rsidR="00A609AA" w:rsidRPr="009853C0" w:rsidRDefault="00A609AA" w:rsidP="005C3C43">
      <w:pPr>
        <w:pStyle w:val="Lijstalinea"/>
        <w:numPr>
          <w:ilvl w:val="0"/>
          <w:numId w:val="3"/>
        </w:numPr>
        <w:spacing w:line="240" w:lineRule="auto"/>
        <w:contextualSpacing w:val="0"/>
        <w:rPr>
          <w:szCs w:val="18"/>
          <w:lang w:val="en-US"/>
        </w:rPr>
      </w:pPr>
      <w:r w:rsidRPr="009853C0">
        <w:rPr>
          <w:szCs w:val="18"/>
          <w:lang w:val="en-US"/>
        </w:rPr>
        <w:t xml:space="preserve">Have experience in </w:t>
      </w:r>
      <w:r w:rsidR="005C3C43" w:rsidRPr="009853C0">
        <w:rPr>
          <w:szCs w:val="18"/>
          <w:lang w:val="en-US"/>
        </w:rPr>
        <w:t xml:space="preserve">research into </w:t>
      </w:r>
      <w:r w:rsidR="001172AF">
        <w:rPr>
          <w:szCs w:val="18"/>
          <w:lang w:val="en-US"/>
        </w:rPr>
        <w:t>risk assessment, UDG and EGS operations</w:t>
      </w:r>
      <w:r w:rsidR="001172AF" w:rsidRPr="009853C0">
        <w:rPr>
          <w:szCs w:val="18"/>
          <w:lang w:val="en-US"/>
        </w:rPr>
        <w:t>.</w:t>
      </w:r>
      <w:r w:rsidR="00827854" w:rsidRPr="009853C0">
        <w:rPr>
          <w:szCs w:val="18"/>
          <w:lang w:val="en-US"/>
        </w:rPr>
        <w:t>;</w:t>
      </w:r>
      <w:r w:rsidRPr="009853C0">
        <w:rPr>
          <w:szCs w:val="18"/>
          <w:lang w:val="en-US"/>
        </w:rPr>
        <w:t xml:space="preserve"> </w:t>
      </w:r>
    </w:p>
    <w:p w:rsidR="00335C80" w:rsidRPr="009853C0" w:rsidRDefault="00335C80" w:rsidP="00335C80">
      <w:pPr>
        <w:pStyle w:val="Lijstalinea"/>
        <w:numPr>
          <w:ilvl w:val="0"/>
          <w:numId w:val="3"/>
        </w:numPr>
        <w:rPr>
          <w:szCs w:val="18"/>
          <w:lang w:val="en-US"/>
        </w:rPr>
      </w:pPr>
      <w:r w:rsidRPr="009853C0">
        <w:rPr>
          <w:szCs w:val="18"/>
          <w:lang w:val="en-US"/>
        </w:rPr>
        <w:t xml:space="preserve">Have experience </w:t>
      </w:r>
      <w:r w:rsidR="00942938" w:rsidRPr="009853C0">
        <w:rPr>
          <w:szCs w:val="18"/>
          <w:lang w:val="en-US"/>
        </w:rPr>
        <w:t>with</w:t>
      </w:r>
      <w:r w:rsidR="00942938">
        <w:rPr>
          <w:szCs w:val="18"/>
          <w:lang w:val="en-US"/>
        </w:rPr>
        <w:t xml:space="preserve"> induced</w:t>
      </w:r>
      <w:r w:rsidR="001172AF">
        <w:rPr>
          <w:szCs w:val="18"/>
          <w:lang w:val="en-US"/>
        </w:rPr>
        <w:t xml:space="preserve"> seismicity regarding UDG and EGS operations</w:t>
      </w:r>
      <w:r w:rsidR="00BC1C9B">
        <w:rPr>
          <w:szCs w:val="18"/>
          <w:lang w:val="en-US"/>
        </w:rPr>
        <w:t>, and</w:t>
      </w:r>
    </w:p>
    <w:p w:rsidR="00A609AA" w:rsidRPr="009853C0" w:rsidRDefault="00A609AA" w:rsidP="00A609AA">
      <w:pPr>
        <w:pStyle w:val="Lijstalinea"/>
        <w:numPr>
          <w:ilvl w:val="0"/>
          <w:numId w:val="3"/>
        </w:numPr>
        <w:spacing w:line="240" w:lineRule="auto"/>
        <w:contextualSpacing w:val="0"/>
        <w:rPr>
          <w:szCs w:val="18"/>
          <w:lang w:val="en-US"/>
        </w:rPr>
      </w:pPr>
      <w:r w:rsidRPr="009853C0">
        <w:rPr>
          <w:szCs w:val="18"/>
          <w:lang w:val="en-US"/>
        </w:rPr>
        <w:t>Have</w:t>
      </w:r>
      <w:r w:rsidR="009672F5" w:rsidRPr="009853C0">
        <w:rPr>
          <w:szCs w:val="18"/>
          <w:lang w:val="en-US"/>
        </w:rPr>
        <w:t xml:space="preserve"> all</w:t>
      </w:r>
      <w:r w:rsidR="00AB1F9D" w:rsidRPr="009853C0">
        <w:rPr>
          <w:szCs w:val="18"/>
          <w:lang w:val="en-US"/>
        </w:rPr>
        <w:t xml:space="preserve"> further</w:t>
      </w:r>
      <w:r w:rsidR="00FA1674" w:rsidRPr="009853C0">
        <w:rPr>
          <w:szCs w:val="18"/>
          <w:lang w:val="en-US"/>
        </w:rPr>
        <w:t xml:space="preserve"> </w:t>
      </w:r>
      <w:r w:rsidR="005C3C43" w:rsidRPr="009853C0">
        <w:rPr>
          <w:szCs w:val="18"/>
          <w:lang w:val="en-US"/>
        </w:rPr>
        <w:t xml:space="preserve">technical and economic </w:t>
      </w:r>
      <w:r w:rsidRPr="009853C0">
        <w:rPr>
          <w:szCs w:val="18"/>
          <w:lang w:val="en-US"/>
        </w:rPr>
        <w:t>knowledge</w:t>
      </w:r>
      <w:r w:rsidR="00FA1674" w:rsidRPr="009853C0">
        <w:rPr>
          <w:szCs w:val="18"/>
          <w:lang w:val="en-US"/>
        </w:rPr>
        <w:t xml:space="preserve"> required to </w:t>
      </w:r>
      <w:r w:rsidR="00AB1F9D" w:rsidRPr="009853C0">
        <w:rPr>
          <w:szCs w:val="18"/>
          <w:lang w:val="en-US"/>
        </w:rPr>
        <w:t>perform this study</w:t>
      </w:r>
      <w:r w:rsidR="00D026FB" w:rsidRPr="009853C0">
        <w:rPr>
          <w:szCs w:val="18"/>
          <w:lang w:val="en-US"/>
        </w:rPr>
        <w:t>.</w:t>
      </w:r>
    </w:p>
    <w:p w:rsidR="00664F95" w:rsidRPr="009853C0" w:rsidRDefault="00664F95" w:rsidP="00370AB2">
      <w:pPr>
        <w:jc w:val="both"/>
        <w:rPr>
          <w:b/>
          <w:szCs w:val="18"/>
          <w:lang w:val="en-US"/>
        </w:rPr>
      </w:pPr>
    </w:p>
    <w:p w:rsidR="002C50A7" w:rsidRPr="009853C0" w:rsidRDefault="002C50A7" w:rsidP="002C50A7">
      <w:pPr>
        <w:jc w:val="both"/>
        <w:rPr>
          <w:b/>
          <w:szCs w:val="18"/>
          <w:lang w:val="en-US"/>
        </w:rPr>
      </w:pPr>
      <w:r w:rsidRPr="009853C0">
        <w:rPr>
          <w:b/>
          <w:szCs w:val="18"/>
          <w:lang w:val="en-US"/>
        </w:rPr>
        <w:t>Application</w:t>
      </w:r>
    </w:p>
    <w:p w:rsidR="002C50A7" w:rsidRPr="009853C0" w:rsidRDefault="002C50A7" w:rsidP="002C50A7">
      <w:pPr>
        <w:jc w:val="both"/>
        <w:rPr>
          <w:szCs w:val="18"/>
          <w:lang w:val="en-US"/>
        </w:rPr>
      </w:pPr>
      <w:r w:rsidRPr="009853C0">
        <w:rPr>
          <w:szCs w:val="18"/>
          <w:lang w:val="en-US"/>
        </w:rPr>
        <w:t>Interested companies / consultants, fitting the above</w:t>
      </w:r>
      <w:r w:rsidR="001172AF">
        <w:rPr>
          <w:szCs w:val="18"/>
          <w:lang w:val="en-US"/>
        </w:rPr>
        <w:t xml:space="preserve"> </w:t>
      </w:r>
      <w:r w:rsidRPr="009853C0">
        <w:rPr>
          <w:szCs w:val="18"/>
          <w:lang w:val="en-US"/>
        </w:rPr>
        <w:t xml:space="preserve">mentioned requirements, are invited to respond to </w:t>
      </w:r>
      <w:r w:rsidR="00D54550">
        <w:rPr>
          <w:szCs w:val="18"/>
          <w:lang w:val="en-US"/>
        </w:rPr>
        <w:t xml:space="preserve">Procurement Office of the </w:t>
      </w:r>
      <w:r w:rsidR="002702C6">
        <w:rPr>
          <w:szCs w:val="18"/>
          <w:lang w:val="en-US"/>
        </w:rPr>
        <w:t>Ministry</w:t>
      </w:r>
      <w:r w:rsidR="00D54550">
        <w:rPr>
          <w:szCs w:val="18"/>
          <w:lang w:val="en-US"/>
        </w:rPr>
        <w:t xml:space="preserve"> of Economic Affaires and Clima</w:t>
      </w:r>
      <w:r w:rsidR="002702C6">
        <w:rPr>
          <w:szCs w:val="18"/>
          <w:lang w:val="en-US"/>
        </w:rPr>
        <w:t>t</w:t>
      </w:r>
      <w:r w:rsidR="00D54550">
        <w:rPr>
          <w:szCs w:val="18"/>
          <w:lang w:val="en-US"/>
        </w:rPr>
        <w:t xml:space="preserve">e Policy </w:t>
      </w:r>
      <w:r w:rsidRPr="009853C0">
        <w:rPr>
          <w:szCs w:val="18"/>
          <w:lang w:val="en-US"/>
        </w:rPr>
        <w:t>, to the attention of Ms. Marjolein Switzar by e</w:t>
      </w:r>
      <w:r w:rsidR="00BC1C9B">
        <w:rPr>
          <w:szCs w:val="18"/>
          <w:lang w:val="en-US"/>
        </w:rPr>
        <w:t>-</w:t>
      </w:r>
      <w:r w:rsidRPr="009853C0">
        <w:rPr>
          <w:szCs w:val="18"/>
          <w:lang w:val="en-US"/>
        </w:rPr>
        <w:t xml:space="preserve">mail </w:t>
      </w:r>
      <w:r w:rsidRPr="001172AF">
        <w:rPr>
          <w:szCs w:val="18"/>
          <w:lang w:val="en-GB"/>
        </w:rPr>
        <w:t>IUCEZteam5@rvo.nl.</w:t>
      </w:r>
    </w:p>
    <w:p w:rsidR="002C50A7" w:rsidRPr="009853C0" w:rsidRDefault="002C50A7" w:rsidP="002C50A7">
      <w:pPr>
        <w:jc w:val="both"/>
        <w:rPr>
          <w:szCs w:val="18"/>
          <w:lang w:val="en-US"/>
        </w:rPr>
      </w:pPr>
      <w:r w:rsidRPr="009853C0">
        <w:rPr>
          <w:szCs w:val="18"/>
          <w:lang w:val="en-US"/>
        </w:rPr>
        <w:t>You do not</w:t>
      </w:r>
      <w:r w:rsidR="00C8088F" w:rsidRPr="009853C0">
        <w:rPr>
          <w:szCs w:val="18"/>
          <w:lang w:val="en-US"/>
        </w:rPr>
        <w:t xml:space="preserve"> have to send documents, only an e</w:t>
      </w:r>
      <w:r w:rsidR="00BC1C9B">
        <w:rPr>
          <w:szCs w:val="18"/>
          <w:lang w:val="en-US"/>
        </w:rPr>
        <w:t>-</w:t>
      </w:r>
      <w:r w:rsidR="00C8088F" w:rsidRPr="009853C0">
        <w:rPr>
          <w:szCs w:val="18"/>
          <w:lang w:val="en-US"/>
        </w:rPr>
        <w:t xml:space="preserve">mail </w:t>
      </w:r>
      <w:r w:rsidRPr="009853C0">
        <w:rPr>
          <w:szCs w:val="18"/>
          <w:lang w:val="en-US"/>
        </w:rPr>
        <w:t>if you are interested.</w:t>
      </w:r>
    </w:p>
    <w:p w:rsidR="002C50A7" w:rsidRPr="009853C0" w:rsidRDefault="002C50A7" w:rsidP="002C50A7">
      <w:pPr>
        <w:jc w:val="both"/>
        <w:rPr>
          <w:szCs w:val="18"/>
          <w:lang w:val="en-US"/>
        </w:rPr>
      </w:pPr>
    </w:p>
    <w:p w:rsidR="002C50A7" w:rsidRPr="009853C0" w:rsidRDefault="002C50A7" w:rsidP="002C50A7">
      <w:pPr>
        <w:jc w:val="both"/>
        <w:rPr>
          <w:szCs w:val="18"/>
          <w:lang w:val="en-US"/>
        </w:rPr>
      </w:pPr>
      <w:r w:rsidRPr="009853C0">
        <w:rPr>
          <w:szCs w:val="18"/>
          <w:lang w:val="en-US"/>
        </w:rPr>
        <w:t>Interested parties will receive the request for the tender by e</w:t>
      </w:r>
      <w:r w:rsidR="00073DAB">
        <w:rPr>
          <w:szCs w:val="18"/>
          <w:lang w:val="en-US"/>
        </w:rPr>
        <w:t>-</w:t>
      </w:r>
      <w:r w:rsidRPr="009853C0">
        <w:rPr>
          <w:szCs w:val="18"/>
          <w:lang w:val="en-US"/>
        </w:rPr>
        <w:t xml:space="preserve">mail, as soon as possible after the deadline for responding to this Notification. </w:t>
      </w:r>
    </w:p>
    <w:p w:rsidR="002C50A7" w:rsidRPr="009853C0" w:rsidRDefault="002C50A7" w:rsidP="002C50A7">
      <w:pPr>
        <w:jc w:val="both"/>
        <w:rPr>
          <w:szCs w:val="18"/>
          <w:lang w:val="en-US"/>
        </w:rPr>
      </w:pPr>
    </w:p>
    <w:p w:rsidR="002C50A7" w:rsidRPr="009853C0" w:rsidRDefault="002C50A7" w:rsidP="002C50A7">
      <w:pPr>
        <w:jc w:val="both"/>
        <w:rPr>
          <w:szCs w:val="18"/>
          <w:lang w:val="en-US"/>
        </w:rPr>
      </w:pPr>
      <w:bookmarkStart w:id="0" w:name="_GoBack"/>
      <w:r w:rsidRPr="009853C0">
        <w:rPr>
          <w:szCs w:val="18"/>
          <w:lang w:val="en-US"/>
        </w:rPr>
        <w:t xml:space="preserve">The deadline for responding to this Notification is set at </w:t>
      </w:r>
      <w:r w:rsidR="003E1E49">
        <w:rPr>
          <w:szCs w:val="18"/>
          <w:lang w:val="en-US"/>
        </w:rPr>
        <w:t>21</w:t>
      </w:r>
      <w:r w:rsidR="003E1E49" w:rsidRPr="009853C0">
        <w:rPr>
          <w:szCs w:val="18"/>
          <w:lang w:val="en-US"/>
        </w:rPr>
        <w:t xml:space="preserve"> </w:t>
      </w:r>
      <w:r w:rsidRPr="009853C0">
        <w:rPr>
          <w:szCs w:val="18"/>
          <w:lang w:val="en-US"/>
        </w:rPr>
        <w:t>December 2017, 12.00 CET.</w:t>
      </w:r>
    </w:p>
    <w:bookmarkEnd w:id="0"/>
    <w:p w:rsidR="00514649" w:rsidRPr="009853C0" w:rsidRDefault="00514649" w:rsidP="00370AB2">
      <w:pPr>
        <w:jc w:val="both"/>
        <w:rPr>
          <w:szCs w:val="18"/>
          <w:lang w:val="en-US"/>
        </w:rPr>
      </w:pPr>
    </w:p>
    <w:p w:rsidR="009C05D8" w:rsidRPr="009853C0" w:rsidRDefault="009C05D8" w:rsidP="00370AB2">
      <w:pPr>
        <w:jc w:val="both"/>
        <w:rPr>
          <w:szCs w:val="18"/>
          <w:lang w:val="en-US"/>
        </w:rPr>
      </w:pPr>
    </w:p>
    <w:p w:rsidR="002C50A7" w:rsidRPr="009853C0" w:rsidRDefault="002C50A7" w:rsidP="002C50A7">
      <w:pPr>
        <w:jc w:val="both"/>
        <w:rPr>
          <w:b/>
          <w:szCs w:val="18"/>
          <w:lang w:val="en-US"/>
        </w:rPr>
      </w:pPr>
    </w:p>
    <w:p w:rsidR="009F1C23" w:rsidRPr="009853C0" w:rsidRDefault="009F1C23" w:rsidP="009C05D8">
      <w:pPr>
        <w:rPr>
          <w:szCs w:val="18"/>
          <w:lang w:val="en-US"/>
        </w:rPr>
      </w:pPr>
    </w:p>
    <w:p w:rsidR="009F1C23" w:rsidRPr="009853C0" w:rsidRDefault="009F1C23" w:rsidP="009C05D8">
      <w:pPr>
        <w:rPr>
          <w:szCs w:val="18"/>
          <w:lang w:val="en-US"/>
        </w:rPr>
      </w:pPr>
    </w:p>
    <w:p w:rsidR="009F1C23" w:rsidRPr="009853C0" w:rsidRDefault="009F1C23" w:rsidP="00E75BF6">
      <w:pPr>
        <w:pStyle w:val="Lijstalinea"/>
        <w:spacing w:line="240" w:lineRule="auto"/>
        <w:contextualSpacing w:val="0"/>
        <w:rPr>
          <w:szCs w:val="18"/>
          <w:lang w:val="en-US"/>
        </w:rPr>
      </w:pPr>
    </w:p>
    <w:sectPr w:rsidR="009F1C23" w:rsidRPr="009853C0" w:rsidSect="003E5B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30" w:rsidRDefault="00CF0630" w:rsidP="00506DA2">
      <w:pPr>
        <w:spacing w:line="240" w:lineRule="auto"/>
      </w:pPr>
      <w:r>
        <w:separator/>
      </w:r>
    </w:p>
  </w:endnote>
  <w:endnote w:type="continuationSeparator" w:id="0">
    <w:p w:rsidR="00CF0630" w:rsidRDefault="00CF0630" w:rsidP="00506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30" w:rsidRDefault="00CF0630" w:rsidP="00506DA2">
      <w:pPr>
        <w:spacing w:line="240" w:lineRule="auto"/>
      </w:pPr>
      <w:r>
        <w:separator/>
      </w:r>
    </w:p>
  </w:footnote>
  <w:footnote w:type="continuationSeparator" w:id="0">
    <w:p w:rsidR="00CF0630" w:rsidRDefault="00CF0630" w:rsidP="00506D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A51"/>
    <w:multiLevelType w:val="hybridMultilevel"/>
    <w:tmpl w:val="7F6A9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0F271B"/>
    <w:multiLevelType w:val="hybridMultilevel"/>
    <w:tmpl w:val="DAB2732A"/>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5371443"/>
    <w:multiLevelType w:val="hybridMultilevel"/>
    <w:tmpl w:val="F572CCAC"/>
    <w:lvl w:ilvl="0" w:tplc="5F04A33A">
      <w:start w:val="1"/>
      <w:numFmt w:val="bullet"/>
      <w:lvlText w:val=""/>
      <w:lvlJc w:val="left"/>
      <w:pPr>
        <w:tabs>
          <w:tab w:val="num" w:pos="360"/>
        </w:tabs>
        <w:ind w:left="360" w:hanging="360"/>
      </w:pPr>
      <w:rPr>
        <w:rFonts w:ascii="Symbol" w:hAnsi="Symbol" w:hint="default"/>
        <w:color w:val="auto"/>
      </w:rPr>
    </w:lvl>
    <w:lvl w:ilvl="1" w:tplc="0413000F">
      <w:start w:val="1"/>
      <w:numFmt w:val="decimal"/>
      <w:lvlText w:val="%2."/>
      <w:lvlJc w:val="left"/>
      <w:pPr>
        <w:tabs>
          <w:tab w:val="num" w:pos="1080"/>
        </w:tabs>
        <w:ind w:left="1080" w:hanging="360"/>
      </w:pPr>
      <w:rPr>
        <w:rFont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1DA204CA"/>
    <w:multiLevelType w:val="hybridMultilevel"/>
    <w:tmpl w:val="DDA23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5FB6E19"/>
    <w:multiLevelType w:val="hybridMultilevel"/>
    <w:tmpl w:val="FF120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1CD6C7A"/>
    <w:multiLevelType w:val="hybridMultilevel"/>
    <w:tmpl w:val="71741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389696A"/>
    <w:multiLevelType w:val="hybridMultilevel"/>
    <w:tmpl w:val="7054AD7C"/>
    <w:lvl w:ilvl="0" w:tplc="F1CA8F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8994F06"/>
    <w:multiLevelType w:val="hybridMultilevel"/>
    <w:tmpl w:val="AE7EB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3"/>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trackRevision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28"/>
    <w:rsid w:val="00004510"/>
    <w:rsid w:val="00005392"/>
    <w:rsid w:val="000176A5"/>
    <w:rsid w:val="00020D2E"/>
    <w:rsid w:val="000242D3"/>
    <w:rsid w:val="00073DAB"/>
    <w:rsid w:val="0008281F"/>
    <w:rsid w:val="000B119D"/>
    <w:rsid w:val="000B4824"/>
    <w:rsid w:val="000C2190"/>
    <w:rsid w:val="000D1CC4"/>
    <w:rsid w:val="000E72C9"/>
    <w:rsid w:val="00105C16"/>
    <w:rsid w:val="001115FB"/>
    <w:rsid w:val="001172AF"/>
    <w:rsid w:val="001A2228"/>
    <w:rsid w:val="001A2374"/>
    <w:rsid w:val="001E6B7A"/>
    <w:rsid w:val="001F5CAD"/>
    <w:rsid w:val="00210EE6"/>
    <w:rsid w:val="002702C6"/>
    <w:rsid w:val="00273733"/>
    <w:rsid w:val="00274C13"/>
    <w:rsid w:val="00295D8B"/>
    <w:rsid w:val="002A0455"/>
    <w:rsid w:val="002C50A7"/>
    <w:rsid w:val="002E1572"/>
    <w:rsid w:val="002E3AF1"/>
    <w:rsid w:val="00300B7B"/>
    <w:rsid w:val="00301B39"/>
    <w:rsid w:val="00322D52"/>
    <w:rsid w:val="003326BA"/>
    <w:rsid w:val="00335C80"/>
    <w:rsid w:val="003577CF"/>
    <w:rsid w:val="00370AB2"/>
    <w:rsid w:val="003757AB"/>
    <w:rsid w:val="003816C7"/>
    <w:rsid w:val="003971FC"/>
    <w:rsid w:val="003B26CD"/>
    <w:rsid w:val="003C6B23"/>
    <w:rsid w:val="003E1E49"/>
    <w:rsid w:val="003E5B29"/>
    <w:rsid w:val="003E7CBE"/>
    <w:rsid w:val="003F450B"/>
    <w:rsid w:val="00406499"/>
    <w:rsid w:val="0040678B"/>
    <w:rsid w:val="00417EAD"/>
    <w:rsid w:val="004722B3"/>
    <w:rsid w:val="00497881"/>
    <w:rsid w:val="004A6601"/>
    <w:rsid w:val="004B002B"/>
    <w:rsid w:val="004C0724"/>
    <w:rsid w:val="004D13DA"/>
    <w:rsid w:val="004E7FA6"/>
    <w:rsid w:val="004F0049"/>
    <w:rsid w:val="004F6AFD"/>
    <w:rsid w:val="00501F8E"/>
    <w:rsid w:val="00506BF1"/>
    <w:rsid w:val="00506DA2"/>
    <w:rsid w:val="00514649"/>
    <w:rsid w:val="00527058"/>
    <w:rsid w:val="00581CA3"/>
    <w:rsid w:val="00597379"/>
    <w:rsid w:val="005A2DE6"/>
    <w:rsid w:val="005C3C43"/>
    <w:rsid w:val="005E0A51"/>
    <w:rsid w:val="005F4E28"/>
    <w:rsid w:val="00605374"/>
    <w:rsid w:val="00661EB8"/>
    <w:rsid w:val="00664E3C"/>
    <w:rsid w:val="00664F95"/>
    <w:rsid w:val="00687549"/>
    <w:rsid w:val="00690D70"/>
    <w:rsid w:val="0069194B"/>
    <w:rsid w:val="006B0783"/>
    <w:rsid w:val="006D440B"/>
    <w:rsid w:val="006D77CE"/>
    <w:rsid w:val="006E0C98"/>
    <w:rsid w:val="00711275"/>
    <w:rsid w:val="0071140C"/>
    <w:rsid w:val="00711AC5"/>
    <w:rsid w:val="00767575"/>
    <w:rsid w:val="007718B4"/>
    <w:rsid w:val="00797D6F"/>
    <w:rsid w:val="007B0C2B"/>
    <w:rsid w:val="007B6807"/>
    <w:rsid w:val="007C1172"/>
    <w:rsid w:val="007C40FE"/>
    <w:rsid w:val="007D3756"/>
    <w:rsid w:val="007F6D37"/>
    <w:rsid w:val="008052A7"/>
    <w:rsid w:val="008130B8"/>
    <w:rsid w:val="008262F3"/>
    <w:rsid w:val="00827854"/>
    <w:rsid w:val="00846C9A"/>
    <w:rsid w:val="00847AD9"/>
    <w:rsid w:val="00860728"/>
    <w:rsid w:val="00862F64"/>
    <w:rsid w:val="00863C7E"/>
    <w:rsid w:val="0088405E"/>
    <w:rsid w:val="0088586B"/>
    <w:rsid w:val="00891B77"/>
    <w:rsid w:val="008A3D71"/>
    <w:rsid w:val="008D599F"/>
    <w:rsid w:val="008E2BCF"/>
    <w:rsid w:val="008E4D69"/>
    <w:rsid w:val="008F1A4A"/>
    <w:rsid w:val="0091370B"/>
    <w:rsid w:val="00942938"/>
    <w:rsid w:val="009434A4"/>
    <w:rsid w:val="00950FCE"/>
    <w:rsid w:val="009672F5"/>
    <w:rsid w:val="00970549"/>
    <w:rsid w:val="009853C0"/>
    <w:rsid w:val="009B3724"/>
    <w:rsid w:val="009B381A"/>
    <w:rsid w:val="009C05D8"/>
    <w:rsid w:val="009D13A0"/>
    <w:rsid w:val="009F1C23"/>
    <w:rsid w:val="009F398E"/>
    <w:rsid w:val="009F4864"/>
    <w:rsid w:val="00A00399"/>
    <w:rsid w:val="00A11C4F"/>
    <w:rsid w:val="00A334AB"/>
    <w:rsid w:val="00A54F32"/>
    <w:rsid w:val="00A609AA"/>
    <w:rsid w:val="00A74B7C"/>
    <w:rsid w:val="00A9080C"/>
    <w:rsid w:val="00AB1F9D"/>
    <w:rsid w:val="00AD32BD"/>
    <w:rsid w:val="00AE6898"/>
    <w:rsid w:val="00AF57DD"/>
    <w:rsid w:val="00B046BF"/>
    <w:rsid w:val="00B15D0D"/>
    <w:rsid w:val="00B169DB"/>
    <w:rsid w:val="00B23356"/>
    <w:rsid w:val="00B45755"/>
    <w:rsid w:val="00B5494B"/>
    <w:rsid w:val="00B6612B"/>
    <w:rsid w:val="00B66C08"/>
    <w:rsid w:val="00B67DAA"/>
    <w:rsid w:val="00BA2C30"/>
    <w:rsid w:val="00BB389F"/>
    <w:rsid w:val="00BC1C9B"/>
    <w:rsid w:val="00C118F7"/>
    <w:rsid w:val="00C53DB4"/>
    <w:rsid w:val="00C7328B"/>
    <w:rsid w:val="00C8088F"/>
    <w:rsid w:val="00C82DC7"/>
    <w:rsid w:val="00C853E7"/>
    <w:rsid w:val="00C915AD"/>
    <w:rsid w:val="00CE1115"/>
    <w:rsid w:val="00CF0630"/>
    <w:rsid w:val="00D026FB"/>
    <w:rsid w:val="00D32B11"/>
    <w:rsid w:val="00D35A87"/>
    <w:rsid w:val="00D54550"/>
    <w:rsid w:val="00D86331"/>
    <w:rsid w:val="00D86A14"/>
    <w:rsid w:val="00DD197D"/>
    <w:rsid w:val="00DE2E65"/>
    <w:rsid w:val="00DE58A5"/>
    <w:rsid w:val="00DF3D9B"/>
    <w:rsid w:val="00E05151"/>
    <w:rsid w:val="00E233CE"/>
    <w:rsid w:val="00E31E18"/>
    <w:rsid w:val="00E36A94"/>
    <w:rsid w:val="00E43B69"/>
    <w:rsid w:val="00E55383"/>
    <w:rsid w:val="00E74982"/>
    <w:rsid w:val="00E75BF6"/>
    <w:rsid w:val="00E80789"/>
    <w:rsid w:val="00E9392B"/>
    <w:rsid w:val="00ED01B3"/>
    <w:rsid w:val="00F27305"/>
    <w:rsid w:val="00F31946"/>
    <w:rsid w:val="00F527B9"/>
    <w:rsid w:val="00F71D78"/>
    <w:rsid w:val="00F90B3B"/>
    <w:rsid w:val="00FA1674"/>
    <w:rsid w:val="00FB1A37"/>
    <w:rsid w:val="00FD0A78"/>
    <w:rsid w:val="00FD0ADE"/>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2228"/>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A2228"/>
    <w:rPr>
      <w:color w:val="0000FF"/>
      <w:u w:val="single"/>
    </w:rPr>
  </w:style>
  <w:style w:type="paragraph" w:styleId="Lijstalinea">
    <w:name w:val="List Paragraph"/>
    <w:basedOn w:val="Standaard"/>
    <w:uiPriority w:val="34"/>
    <w:qFormat/>
    <w:rsid w:val="00597379"/>
    <w:pPr>
      <w:ind w:left="720"/>
      <w:contextualSpacing/>
    </w:pPr>
  </w:style>
  <w:style w:type="paragraph" w:styleId="Tekstzonderopmaak">
    <w:name w:val="Plain Text"/>
    <w:basedOn w:val="Standaard"/>
    <w:link w:val="TekstzonderopmaakChar"/>
    <w:unhideWhenUsed/>
    <w:rsid w:val="00FF7F54"/>
    <w:pPr>
      <w:spacing w:line="240" w:lineRule="auto"/>
    </w:pPr>
    <w:rPr>
      <w:rFonts w:cstheme="minorBidi"/>
      <w:szCs w:val="21"/>
      <w:lang w:eastAsia="en-US"/>
    </w:rPr>
  </w:style>
  <w:style w:type="character" w:customStyle="1" w:styleId="TekstzonderopmaakChar">
    <w:name w:val="Tekst zonder opmaak Char"/>
    <w:basedOn w:val="Standaardalinea-lettertype"/>
    <w:link w:val="Tekstzonderopmaak"/>
    <w:rsid w:val="00FF7F54"/>
    <w:rPr>
      <w:rFonts w:ascii="Verdana" w:eastAsia="Times New Roman" w:hAnsi="Verdana"/>
      <w:sz w:val="18"/>
      <w:szCs w:val="21"/>
      <w:lang w:val="nl-NL"/>
    </w:rPr>
  </w:style>
  <w:style w:type="character" w:styleId="Verwijzingopmerking">
    <w:name w:val="annotation reference"/>
    <w:basedOn w:val="Standaardalinea-lettertype"/>
    <w:uiPriority w:val="99"/>
    <w:semiHidden/>
    <w:unhideWhenUsed/>
    <w:rsid w:val="00B15D0D"/>
    <w:rPr>
      <w:sz w:val="16"/>
      <w:szCs w:val="16"/>
    </w:rPr>
  </w:style>
  <w:style w:type="paragraph" w:styleId="Tekstopmerking">
    <w:name w:val="annotation text"/>
    <w:basedOn w:val="Standaard"/>
    <w:link w:val="TekstopmerkingChar"/>
    <w:uiPriority w:val="99"/>
    <w:unhideWhenUsed/>
    <w:rsid w:val="00B15D0D"/>
    <w:pPr>
      <w:spacing w:line="240" w:lineRule="auto"/>
    </w:pPr>
    <w:rPr>
      <w:sz w:val="20"/>
      <w:szCs w:val="20"/>
    </w:rPr>
  </w:style>
  <w:style w:type="character" w:customStyle="1" w:styleId="TekstopmerkingChar">
    <w:name w:val="Tekst opmerking Char"/>
    <w:basedOn w:val="Standaardalinea-lettertype"/>
    <w:link w:val="Tekstopmerking"/>
    <w:uiPriority w:val="99"/>
    <w:rsid w:val="00B15D0D"/>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15D0D"/>
    <w:rPr>
      <w:b/>
      <w:bCs/>
    </w:rPr>
  </w:style>
  <w:style w:type="character" w:customStyle="1" w:styleId="OnderwerpvanopmerkingChar">
    <w:name w:val="Onderwerp van opmerking Char"/>
    <w:basedOn w:val="TekstopmerkingChar"/>
    <w:link w:val="Onderwerpvanopmerking"/>
    <w:uiPriority w:val="99"/>
    <w:semiHidden/>
    <w:rsid w:val="00B15D0D"/>
    <w:rPr>
      <w:rFonts w:ascii="Verdana" w:eastAsia="Times New Roman" w:hAnsi="Verdana" w:cs="Times New Roman"/>
      <w:b/>
      <w:bCs/>
      <w:sz w:val="20"/>
      <w:szCs w:val="20"/>
      <w:lang w:val="nl-NL" w:eastAsia="nl-NL"/>
    </w:rPr>
  </w:style>
  <w:style w:type="paragraph" w:styleId="Ballontekst">
    <w:name w:val="Balloon Text"/>
    <w:basedOn w:val="Standaard"/>
    <w:link w:val="BallontekstChar"/>
    <w:uiPriority w:val="99"/>
    <w:semiHidden/>
    <w:unhideWhenUsed/>
    <w:rsid w:val="00B15D0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5D0D"/>
    <w:rPr>
      <w:rFonts w:ascii="Tahoma" w:eastAsia="Times New Roman" w:hAnsi="Tahoma" w:cs="Tahoma"/>
      <w:sz w:val="16"/>
      <w:szCs w:val="16"/>
      <w:lang w:val="nl-NL" w:eastAsia="nl-NL"/>
    </w:rPr>
  </w:style>
  <w:style w:type="paragraph" w:styleId="Koptekst">
    <w:name w:val="header"/>
    <w:basedOn w:val="Standaard"/>
    <w:link w:val="KoptekstChar"/>
    <w:uiPriority w:val="99"/>
    <w:unhideWhenUsed/>
    <w:rsid w:val="00506D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6DA2"/>
    <w:rPr>
      <w:rFonts w:ascii="Verdana" w:eastAsia="Times New Roman" w:hAnsi="Verdana" w:cs="Times New Roman"/>
      <w:sz w:val="18"/>
      <w:szCs w:val="24"/>
      <w:lang w:val="nl-NL" w:eastAsia="nl-NL"/>
    </w:rPr>
  </w:style>
  <w:style w:type="paragraph" w:styleId="Voettekst">
    <w:name w:val="footer"/>
    <w:basedOn w:val="Standaard"/>
    <w:link w:val="VoettekstChar"/>
    <w:uiPriority w:val="99"/>
    <w:unhideWhenUsed/>
    <w:rsid w:val="00506D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6DA2"/>
    <w:rPr>
      <w:rFonts w:ascii="Verdana" w:eastAsia="Times New Roman" w:hAnsi="Verdana" w:cs="Times New Roman"/>
      <w:sz w:val="18"/>
      <w:szCs w:val="24"/>
      <w:lang w:val="nl-NL" w:eastAsia="nl-NL"/>
    </w:rPr>
  </w:style>
  <w:style w:type="paragraph" w:customStyle="1" w:styleId="Default">
    <w:name w:val="Default"/>
    <w:rsid w:val="004F0049"/>
    <w:pPr>
      <w:autoSpaceDE w:val="0"/>
      <w:autoSpaceDN w:val="0"/>
      <w:adjustRightInd w:val="0"/>
      <w:spacing w:line="240" w:lineRule="auto"/>
    </w:pPr>
    <w:rPr>
      <w:rFonts w:ascii="Times New Roman" w:hAnsi="Times New Roman" w:cs="Times New Roman"/>
      <w:color w:val="000000"/>
      <w:sz w:val="24"/>
      <w:szCs w:val="24"/>
      <w:lang w:val="nl-NL"/>
    </w:rPr>
  </w:style>
  <w:style w:type="table" w:styleId="Tabelraster">
    <w:name w:val="Table Grid"/>
    <w:basedOn w:val="Standaardtabel"/>
    <w:uiPriority w:val="59"/>
    <w:rsid w:val="009F1C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8088F"/>
    <w:pPr>
      <w:spacing w:line="240" w:lineRule="auto"/>
    </w:pPr>
    <w:rPr>
      <w:rFonts w:ascii="Verdana" w:eastAsia="Times New Roman" w:hAnsi="Verdana" w:cs="Times New Roman"/>
      <w:sz w:val="18"/>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2228"/>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A2228"/>
    <w:rPr>
      <w:color w:val="0000FF"/>
      <w:u w:val="single"/>
    </w:rPr>
  </w:style>
  <w:style w:type="paragraph" w:styleId="Lijstalinea">
    <w:name w:val="List Paragraph"/>
    <w:basedOn w:val="Standaard"/>
    <w:uiPriority w:val="34"/>
    <w:qFormat/>
    <w:rsid w:val="00597379"/>
    <w:pPr>
      <w:ind w:left="720"/>
      <w:contextualSpacing/>
    </w:pPr>
  </w:style>
  <w:style w:type="paragraph" w:styleId="Tekstzonderopmaak">
    <w:name w:val="Plain Text"/>
    <w:basedOn w:val="Standaard"/>
    <w:link w:val="TekstzonderopmaakChar"/>
    <w:unhideWhenUsed/>
    <w:rsid w:val="00FF7F54"/>
    <w:pPr>
      <w:spacing w:line="240" w:lineRule="auto"/>
    </w:pPr>
    <w:rPr>
      <w:rFonts w:cstheme="minorBidi"/>
      <w:szCs w:val="21"/>
      <w:lang w:eastAsia="en-US"/>
    </w:rPr>
  </w:style>
  <w:style w:type="character" w:customStyle="1" w:styleId="TekstzonderopmaakChar">
    <w:name w:val="Tekst zonder opmaak Char"/>
    <w:basedOn w:val="Standaardalinea-lettertype"/>
    <w:link w:val="Tekstzonderopmaak"/>
    <w:rsid w:val="00FF7F54"/>
    <w:rPr>
      <w:rFonts w:ascii="Verdana" w:eastAsia="Times New Roman" w:hAnsi="Verdana"/>
      <w:sz w:val="18"/>
      <w:szCs w:val="21"/>
      <w:lang w:val="nl-NL"/>
    </w:rPr>
  </w:style>
  <w:style w:type="character" w:styleId="Verwijzingopmerking">
    <w:name w:val="annotation reference"/>
    <w:basedOn w:val="Standaardalinea-lettertype"/>
    <w:uiPriority w:val="99"/>
    <w:semiHidden/>
    <w:unhideWhenUsed/>
    <w:rsid w:val="00B15D0D"/>
    <w:rPr>
      <w:sz w:val="16"/>
      <w:szCs w:val="16"/>
    </w:rPr>
  </w:style>
  <w:style w:type="paragraph" w:styleId="Tekstopmerking">
    <w:name w:val="annotation text"/>
    <w:basedOn w:val="Standaard"/>
    <w:link w:val="TekstopmerkingChar"/>
    <w:uiPriority w:val="99"/>
    <w:unhideWhenUsed/>
    <w:rsid w:val="00B15D0D"/>
    <w:pPr>
      <w:spacing w:line="240" w:lineRule="auto"/>
    </w:pPr>
    <w:rPr>
      <w:sz w:val="20"/>
      <w:szCs w:val="20"/>
    </w:rPr>
  </w:style>
  <w:style w:type="character" w:customStyle="1" w:styleId="TekstopmerkingChar">
    <w:name w:val="Tekst opmerking Char"/>
    <w:basedOn w:val="Standaardalinea-lettertype"/>
    <w:link w:val="Tekstopmerking"/>
    <w:uiPriority w:val="99"/>
    <w:rsid w:val="00B15D0D"/>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15D0D"/>
    <w:rPr>
      <w:b/>
      <w:bCs/>
    </w:rPr>
  </w:style>
  <w:style w:type="character" w:customStyle="1" w:styleId="OnderwerpvanopmerkingChar">
    <w:name w:val="Onderwerp van opmerking Char"/>
    <w:basedOn w:val="TekstopmerkingChar"/>
    <w:link w:val="Onderwerpvanopmerking"/>
    <w:uiPriority w:val="99"/>
    <w:semiHidden/>
    <w:rsid w:val="00B15D0D"/>
    <w:rPr>
      <w:rFonts w:ascii="Verdana" w:eastAsia="Times New Roman" w:hAnsi="Verdana" w:cs="Times New Roman"/>
      <w:b/>
      <w:bCs/>
      <w:sz w:val="20"/>
      <w:szCs w:val="20"/>
      <w:lang w:val="nl-NL" w:eastAsia="nl-NL"/>
    </w:rPr>
  </w:style>
  <w:style w:type="paragraph" w:styleId="Ballontekst">
    <w:name w:val="Balloon Text"/>
    <w:basedOn w:val="Standaard"/>
    <w:link w:val="BallontekstChar"/>
    <w:uiPriority w:val="99"/>
    <w:semiHidden/>
    <w:unhideWhenUsed/>
    <w:rsid w:val="00B15D0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5D0D"/>
    <w:rPr>
      <w:rFonts w:ascii="Tahoma" w:eastAsia="Times New Roman" w:hAnsi="Tahoma" w:cs="Tahoma"/>
      <w:sz w:val="16"/>
      <w:szCs w:val="16"/>
      <w:lang w:val="nl-NL" w:eastAsia="nl-NL"/>
    </w:rPr>
  </w:style>
  <w:style w:type="paragraph" w:styleId="Koptekst">
    <w:name w:val="header"/>
    <w:basedOn w:val="Standaard"/>
    <w:link w:val="KoptekstChar"/>
    <w:uiPriority w:val="99"/>
    <w:unhideWhenUsed/>
    <w:rsid w:val="00506D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6DA2"/>
    <w:rPr>
      <w:rFonts w:ascii="Verdana" w:eastAsia="Times New Roman" w:hAnsi="Verdana" w:cs="Times New Roman"/>
      <w:sz w:val="18"/>
      <w:szCs w:val="24"/>
      <w:lang w:val="nl-NL" w:eastAsia="nl-NL"/>
    </w:rPr>
  </w:style>
  <w:style w:type="paragraph" w:styleId="Voettekst">
    <w:name w:val="footer"/>
    <w:basedOn w:val="Standaard"/>
    <w:link w:val="VoettekstChar"/>
    <w:uiPriority w:val="99"/>
    <w:unhideWhenUsed/>
    <w:rsid w:val="00506D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6DA2"/>
    <w:rPr>
      <w:rFonts w:ascii="Verdana" w:eastAsia="Times New Roman" w:hAnsi="Verdana" w:cs="Times New Roman"/>
      <w:sz w:val="18"/>
      <w:szCs w:val="24"/>
      <w:lang w:val="nl-NL" w:eastAsia="nl-NL"/>
    </w:rPr>
  </w:style>
  <w:style w:type="paragraph" w:customStyle="1" w:styleId="Default">
    <w:name w:val="Default"/>
    <w:rsid w:val="004F0049"/>
    <w:pPr>
      <w:autoSpaceDE w:val="0"/>
      <w:autoSpaceDN w:val="0"/>
      <w:adjustRightInd w:val="0"/>
      <w:spacing w:line="240" w:lineRule="auto"/>
    </w:pPr>
    <w:rPr>
      <w:rFonts w:ascii="Times New Roman" w:hAnsi="Times New Roman" w:cs="Times New Roman"/>
      <w:color w:val="000000"/>
      <w:sz w:val="24"/>
      <w:szCs w:val="24"/>
      <w:lang w:val="nl-NL"/>
    </w:rPr>
  </w:style>
  <w:style w:type="table" w:styleId="Tabelraster">
    <w:name w:val="Table Grid"/>
    <w:basedOn w:val="Standaardtabel"/>
    <w:uiPriority w:val="59"/>
    <w:rsid w:val="009F1C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8088F"/>
    <w:pPr>
      <w:spacing w:line="240" w:lineRule="auto"/>
    </w:pPr>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523">
      <w:bodyDiv w:val="1"/>
      <w:marLeft w:val="0"/>
      <w:marRight w:val="0"/>
      <w:marTop w:val="0"/>
      <w:marBottom w:val="0"/>
      <w:divBdr>
        <w:top w:val="none" w:sz="0" w:space="0" w:color="auto"/>
        <w:left w:val="none" w:sz="0" w:space="0" w:color="auto"/>
        <w:bottom w:val="none" w:sz="0" w:space="0" w:color="auto"/>
        <w:right w:val="none" w:sz="0" w:space="0" w:color="auto"/>
      </w:divBdr>
    </w:div>
    <w:div w:id="1034035950">
      <w:bodyDiv w:val="1"/>
      <w:marLeft w:val="0"/>
      <w:marRight w:val="0"/>
      <w:marTop w:val="0"/>
      <w:marBottom w:val="0"/>
      <w:divBdr>
        <w:top w:val="none" w:sz="0" w:space="0" w:color="auto"/>
        <w:left w:val="none" w:sz="0" w:space="0" w:color="auto"/>
        <w:bottom w:val="none" w:sz="0" w:space="0" w:color="auto"/>
        <w:right w:val="none" w:sz="0" w:space="0" w:color="auto"/>
      </w:divBdr>
    </w:div>
    <w:div w:id="1842772014">
      <w:bodyDiv w:val="1"/>
      <w:marLeft w:val="0"/>
      <w:marRight w:val="0"/>
      <w:marTop w:val="0"/>
      <w:marBottom w:val="0"/>
      <w:divBdr>
        <w:top w:val="none" w:sz="0" w:space="0" w:color="auto"/>
        <w:left w:val="none" w:sz="0" w:space="0" w:color="auto"/>
        <w:bottom w:val="none" w:sz="0" w:space="0" w:color="auto"/>
        <w:right w:val="none" w:sz="0" w:space="0" w:color="auto"/>
      </w:divBdr>
    </w:div>
    <w:div w:id="20003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99AF-E490-46D0-A328-04E0756E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Ministry of Economic Affairs</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T.M.L. (Mai-Ly)</dc:creator>
  <cp:lastModifiedBy>Switzar, M.J.N.M. (Marjolein)</cp:lastModifiedBy>
  <cp:revision>2</cp:revision>
  <cp:lastPrinted>2016-05-18T07:35:00Z</cp:lastPrinted>
  <dcterms:created xsi:type="dcterms:W3CDTF">2017-12-06T12:43:00Z</dcterms:created>
  <dcterms:modified xsi:type="dcterms:W3CDTF">2017-12-06T12:43:00Z</dcterms:modified>
</cp:coreProperties>
</file>