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56F" w:rsidRDefault="0042156F" w:rsidP="0042438E">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7371"/>
      </w:tblGrid>
      <w:tr w:rsidR="005C7363" w:rsidRPr="00A17BF7" w:rsidTr="005D778F">
        <w:tc>
          <w:tcPr>
            <w:tcW w:w="3120" w:type="dxa"/>
            <w:shd w:val="clear" w:color="auto" w:fill="auto"/>
            <w:tcMar>
              <w:left w:w="0" w:type="dxa"/>
            </w:tcMar>
          </w:tcPr>
          <w:p w:rsidR="005C7363" w:rsidRPr="00A17BF7" w:rsidRDefault="005C7363" w:rsidP="00A4082E">
            <w:pPr>
              <w:rPr>
                <w:bCs/>
                <w:sz w:val="18"/>
                <w:szCs w:val="18"/>
              </w:rPr>
            </w:pPr>
            <w:r>
              <w:rPr>
                <w:bCs/>
                <w:sz w:val="18"/>
                <w:szCs w:val="18"/>
              </w:rPr>
              <w:t>Bijlage</w:t>
            </w:r>
          </w:p>
        </w:tc>
        <w:tc>
          <w:tcPr>
            <w:tcW w:w="7371" w:type="dxa"/>
            <w:shd w:val="clear" w:color="auto" w:fill="auto"/>
          </w:tcPr>
          <w:p w:rsidR="005C7363" w:rsidRPr="00A17BF7" w:rsidRDefault="007B3D6C" w:rsidP="00A4082E">
            <w:pPr>
              <w:rPr>
                <w:bCs/>
                <w:sz w:val="18"/>
                <w:szCs w:val="18"/>
              </w:rPr>
            </w:pPr>
            <w:r>
              <w:rPr>
                <w:bCs/>
                <w:sz w:val="18"/>
                <w:szCs w:val="18"/>
              </w:rPr>
              <w:t>5</w:t>
            </w:r>
            <w:r w:rsidR="005C7363" w:rsidRPr="00A17BF7">
              <w:rPr>
                <w:bCs/>
                <w:sz w:val="18"/>
                <w:szCs w:val="18"/>
              </w:rPr>
              <w:tab/>
            </w:r>
          </w:p>
        </w:tc>
      </w:tr>
      <w:tr w:rsidR="005C7363" w:rsidRPr="00A17BF7" w:rsidTr="005D778F">
        <w:tc>
          <w:tcPr>
            <w:tcW w:w="3120" w:type="dxa"/>
            <w:shd w:val="clear" w:color="auto" w:fill="auto"/>
            <w:tcMar>
              <w:left w:w="0" w:type="dxa"/>
            </w:tcMar>
          </w:tcPr>
          <w:p w:rsidR="005C7363" w:rsidRPr="00A17BF7" w:rsidRDefault="005C7363" w:rsidP="00A4082E">
            <w:pPr>
              <w:rPr>
                <w:bCs/>
                <w:sz w:val="18"/>
                <w:szCs w:val="18"/>
              </w:rPr>
            </w:pPr>
            <w:r w:rsidRPr="00A17BF7">
              <w:rPr>
                <w:bCs/>
                <w:sz w:val="18"/>
                <w:szCs w:val="18"/>
              </w:rPr>
              <w:t>Kenmerk</w:t>
            </w:r>
          </w:p>
        </w:tc>
        <w:tc>
          <w:tcPr>
            <w:tcW w:w="7371" w:type="dxa"/>
            <w:shd w:val="clear" w:color="auto" w:fill="auto"/>
          </w:tcPr>
          <w:p w:rsidR="005C7363" w:rsidRPr="00A87743" w:rsidRDefault="00A87743" w:rsidP="00A4082E">
            <w:pPr>
              <w:rPr>
                <w:bCs/>
                <w:sz w:val="18"/>
                <w:szCs w:val="18"/>
              </w:rPr>
            </w:pPr>
            <w:r w:rsidRPr="00A87743">
              <w:rPr>
                <w:rStyle w:val="savehistory3"/>
                <w:color w:val="333333"/>
                <w:sz w:val="18"/>
                <w:szCs w:val="18"/>
              </w:rPr>
              <w:t>201700407</w:t>
            </w:r>
            <w:r w:rsidR="00416A2D" w:rsidRPr="00A87743">
              <w:rPr>
                <w:bCs/>
                <w:sz w:val="18"/>
                <w:szCs w:val="18"/>
              </w:rPr>
              <w:fldChar w:fldCharType="begin">
                <w:ffData>
                  <w:name w:val="Text14"/>
                  <w:enabled/>
                  <w:calcOnExit w:val="0"/>
                  <w:textInput/>
                </w:ffData>
              </w:fldChar>
            </w:r>
            <w:bookmarkStart w:id="0" w:name="Text14"/>
            <w:r w:rsidR="005C7363" w:rsidRPr="00A87743">
              <w:rPr>
                <w:bCs/>
                <w:sz w:val="18"/>
                <w:szCs w:val="18"/>
              </w:rPr>
              <w:instrText xml:space="preserve"> FORMTEXT </w:instrText>
            </w:r>
            <w:r w:rsidR="00416A2D" w:rsidRPr="00A87743">
              <w:rPr>
                <w:bCs/>
                <w:sz w:val="18"/>
                <w:szCs w:val="18"/>
              </w:rPr>
            </w:r>
            <w:r w:rsidR="00416A2D" w:rsidRPr="00A87743">
              <w:rPr>
                <w:bCs/>
                <w:sz w:val="18"/>
                <w:szCs w:val="18"/>
              </w:rPr>
              <w:fldChar w:fldCharType="separate"/>
            </w:r>
            <w:r w:rsidR="00416A2D" w:rsidRPr="00A87743">
              <w:rPr>
                <w:bCs/>
                <w:sz w:val="18"/>
                <w:szCs w:val="18"/>
              </w:rPr>
              <w:fldChar w:fldCharType="end"/>
            </w:r>
            <w:bookmarkEnd w:id="0"/>
          </w:p>
        </w:tc>
      </w:tr>
      <w:tr w:rsidR="005D778F" w:rsidRPr="00A17BF7" w:rsidTr="005D778F">
        <w:tc>
          <w:tcPr>
            <w:tcW w:w="3120" w:type="dxa"/>
            <w:shd w:val="clear" w:color="auto" w:fill="auto"/>
            <w:tcMar>
              <w:left w:w="0" w:type="dxa"/>
            </w:tcMar>
          </w:tcPr>
          <w:p w:rsidR="005D778F" w:rsidRPr="00A17BF7" w:rsidRDefault="005D778F" w:rsidP="00A4082E">
            <w:pPr>
              <w:rPr>
                <w:bCs/>
                <w:sz w:val="18"/>
                <w:szCs w:val="18"/>
              </w:rPr>
            </w:pPr>
            <w:r>
              <w:rPr>
                <w:bCs/>
                <w:sz w:val="18"/>
                <w:szCs w:val="18"/>
              </w:rPr>
              <w:t>Betreft Europese aanbesteding</w:t>
            </w:r>
          </w:p>
        </w:tc>
        <w:tc>
          <w:tcPr>
            <w:tcW w:w="7371" w:type="dxa"/>
            <w:shd w:val="clear" w:color="auto" w:fill="auto"/>
          </w:tcPr>
          <w:p w:rsidR="005D778F" w:rsidRPr="005A16D9" w:rsidRDefault="00A87743" w:rsidP="00A4082E">
            <w:pPr>
              <w:rPr>
                <w:bCs/>
                <w:sz w:val="18"/>
                <w:szCs w:val="18"/>
                <w:highlight w:val="lightGray"/>
              </w:rPr>
            </w:pPr>
            <w:r w:rsidRPr="00A87743">
              <w:rPr>
                <w:bCs/>
                <w:sz w:val="18"/>
                <w:szCs w:val="18"/>
              </w:rPr>
              <w:t>Uitbesteden beheer digitaal portaal</w:t>
            </w:r>
          </w:p>
        </w:tc>
      </w:tr>
    </w:tbl>
    <w:p w:rsidR="005C7363" w:rsidRDefault="005C7363" w:rsidP="0042438E">
      <w:pPr>
        <w:rPr>
          <w:sz w:val="18"/>
          <w:szCs w:val="18"/>
        </w:rPr>
      </w:pPr>
    </w:p>
    <w:p w:rsidR="005A2A55" w:rsidRDefault="004453BE" w:rsidP="00CD0C37">
      <w:pPr>
        <w:pStyle w:val="Lijstalinea"/>
        <w:numPr>
          <w:ilvl w:val="0"/>
          <w:numId w:val="4"/>
        </w:numPr>
        <w:ind w:left="426" w:hanging="426"/>
        <w:rPr>
          <w:b/>
          <w:sz w:val="18"/>
          <w:szCs w:val="18"/>
        </w:rPr>
      </w:pPr>
      <w:r w:rsidRPr="00CD0C37">
        <w:rPr>
          <w:b/>
          <w:sz w:val="18"/>
          <w:szCs w:val="18"/>
        </w:rPr>
        <w:t>Ondergetekende</w:t>
      </w:r>
      <w:r w:rsidR="00583818" w:rsidRPr="00CD0C37">
        <w:rPr>
          <w:b/>
          <w:sz w:val="18"/>
          <w:szCs w:val="18"/>
        </w:rPr>
        <w:t xml:space="preserve">, </w:t>
      </w:r>
    </w:p>
    <w:p w:rsidR="005A2A55" w:rsidRDefault="005A2A55" w:rsidP="005A2A55">
      <w:pPr>
        <w:pStyle w:val="Lijstalinea"/>
        <w:ind w:left="426"/>
        <w:rPr>
          <w:b/>
          <w:sz w:val="18"/>
          <w:szCs w:val="18"/>
        </w:rPr>
      </w:pPr>
    </w:p>
    <w:p w:rsidR="004453BE" w:rsidRPr="005A2A55" w:rsidRDefault="00583818" w:rsidP="005A2A55">
      <w:pPr>
        <w:pStyle w:val="Lijstalinea"/>
        <w:ind w:left="426"/>
        <w:rPr>
          <w:sz w:val="18"/>
          <w:szCs w:val="18"/>
        </w:rPr>
      </w:pPr>
      <w:r w:rsidRPr="005A2A55">
        <w:rPr>
          <w:sz w:val="18"/>
          <w:szCs w:val="18"/>
        </w:rPr>
        <w:t>in zijn hoedanigheid van</w:t>
      </w:r>
      <w:r w:rsidR="004453BE" w:rsidRPr="005A2A55">
        <w:rPr>
          <w:sz w:val="18"/>
          <w:szCs w:val="18"/>
        </w:rPr>
        <w:t>:</w:t>
      </w:r>
    </w:p>
    <w:p w:rsidR="004453BE" w:rsidRDefault="004453BE" w:rsidP="0042438E">
      <w:pPr>
        <w:rPr>
          <w:sz w:val="18"/>
          <w:szCs w:val="18"/>
        </w:rPr>
      </w:pPr>
    </w:p>
    <w:p w:rsidR="004453BE" w:rsidRPr="00CD0C37" w:rsidRDefault="004453BE" w:rsidP="004E745D">
      <w:pPr>
        <w:ind w:left="426"/>
        <w:rPr>
          <w:i/>
          <w:sz w:val="18"/>
          <w:szCs w:val="18"/>
        </w:rPr>
      </w:pPr>
      <w:r w:rsidRPr="00CD0C37">
        <w:rPr>
          <w:i/>
          <w:sz w:val="18"/>
          <w:szCs w:val="18"/>
        </w:rPr>
        <w:t xml:space="preserve">Aanvinken </w:t>
      </w:r>
      <w:r w:rsidR="00CD0C37" w:rsidRPr="00CD0C37">
        <w:rPr>
          <w:i/>
          <w:sz w:val="18"/>
          <w:szCs w:val="18"/>
        </w:rPr>
        <w:t>wat van toepassing is</w:t>
      </w:r>
    </w:p>
    <w:p w:rsidR="004453BE" w:rsidRDefault="00416A2D"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583818">
        <w:rPr>
          <w:sz w:val="18"/>
          <w:szCs w:val="18"/>
        </w:rPr>
        <w:t xml:space="preserve"> Zelfstandig </w:t>
      </w:r>
      <w:r w:rsidR="004453BE">
        <w:rPr>
          <w:sz w:val="18"/>
          <w:szCs w:val="18"/>
        </w:rPr>
        <w:t>Inschrijver</w:t>
      </w:r>
    </w:p>
    <w:p w:rsidR="004453BE" w:rsidRDefault="00416A2D" w:rsidP="004E745D">
      <w:pPr>
        <w:ind w:left="426"/>
        <w:rPr>
          <w:sz w:val="18"/>
          <w:szCs w:val="18"/>
        </w:rPr>
      </w:pPr>
      <w:r w:rsidRPr="00151D7A">
        <w:rPr>
          <w:sz w:val="18"/>
          <w:szCs w:val="18"/>
        </w:rPr>
        <w:fldChar w:fldCharType="begin">
          <w:ffData>
            <w:name w:val="Selectievakje2"/>
            <w:enabled/>
            <w:calcOnExit w:val="0"/>
            <w:checkBox>
              <w:sizeAuto/>
              <w:default w:val="0"/>
              <w:checked w:val="0"/>
            </w:checkBox>
          </w:ffData>
        </w:fldChar>
      </w:r>
      <w:r w:rsidR="00583818" w:rsidRPr="00151D7A">
        <w:rPr>
          <w:sz w:val="18"/>
          <w:szCs w:val="18"/>
        </w:rPr>
        <w:instrText xml:space="preserve"> FORMCHECKBOX </w:instrText>
      </w:r>
      <w:r>
        <w:rPr>
          <w:sz w:val="18"/>
          <w:szCs w:val="18"/>
        </w:rPr>
      </w:r>
      <w:r>
        <w:rPr>
          <w:sz w:val="18"/>
          <w:szCs w:val="18"/>
        </w:rPr>
        <w:fldChar w:fldCharType="separate"/>
      </w:r>
      <w:r w:rsidRPr="00151D7A">
        <w:rPr>
          <w:sz w:val="18"/>
          <w:szCs w:val="18"/>
        </w:rPr>
        <w:fldChar w:fldCharType="end"/>
      </w:r>
      <w:r w:rsidR="00583818">
        <w:rPr>
          <w:sz w:val="18"/>
          <w:szCs w:val="18"/>
        </w:rPr>
        <w:t xml:space="preserve"> </w:t>
      </w:r>
      <w:r w:rsidR="004453BE">
        <w:rPr>
          <w:sz w:val="18"/>
          <w:szCs w:val="18"/>
        </w:rPr>
        <w:t>Penvoerder namens zijn Combinatie</w:t>
      </w:r>
    </w:p>
    <w:p w:rsidR="00583818" w:rsidRDefault="00583818" w:rsidP="0042438E">
      <w:pPr>
        <w:rPr>
          <w:sz w:val="18"/>
          <w:szCs w:val="18"/>
        </w:rPr>
      </w:pPr>
    </w:p>
    <w:p w:rsidR="00583818" w:rsidRPr="00583818" w:rsidRDefault="00583818" w:rsidP="00583818">
      <w:pPr>
        <w:pStyle w:val="Lijstalinea"/>
        <w:numPr>
          <w:ilvl w:val="0"/>
          <w:numId w:val="2"/>
        </w:numPr>
        <w:rPr>
          <w:sz w:val="18"/>
          <w:szCs w:val="18"/>
        </w:rPr>
      </w:pPr>
      <w:r>
        <w:rPr>
          <w:sz w:val="18"/>
          <w:szCs w:val="18"/>
        </w:rPr>
        <w:t xml:space="preserve">biedt hierbij zijn Inschrijving aan met kenmerk </w:t>
      </w:r>
      <w:r w:rsidRPr="005A16D9">
        <w:rPr>
          <w:bCs/>
          <w:sz w:val="18"/>
          <w:szCs w:val="18"/>
          <w:highlight w:val="lightGray"/>
        </w:rPr>
        <w:t>&lt;kenmerk&gt;</w:t>
      </w:r>
    </w:p>
    <w:p w:rsidR="00583818" w:rsidRDefault="00583818" w:rsidP="0042438E">
      <w:pPr>
        <w:rPr>
          <w:sz w:val="18"/>
          <w:szCs w:val="18"/>
        </w:rPr>
      </w:pPr>
    </w:p>
    <w:p w:rsidR="004453BE" w:rsidRDefault="00583818" w:rsidP="004453BE">
      <w:pPr>
        <w:pStyle w:val="Lijstalinea"/>
        <w:numPr>
          <w:ilvl w:val="0"/>
          <w:numId w:val="2"/>
        </w:numPr>
        <w:rPr>
          <w:sz w:val="18"/>
          <w:szCs w:val="18"/>
        </w:rPr>
      </w:pPr>
      <w:r w:rsidRPr="00583818">
        <w:rPr>
          <w:sz w:val="18"/>
          <w:szCs w:val="18"/>
        </w:rPr>
        <w:t xml:space="preserve">verklaart </w:t>
      </w:r>
      <w:r w:rsidR="004453BE" w:rsidRPr="00583818">
        <w:rPr>
          <w:sz w:val="18"/>
          <w:szCs w:val="18"/>
        </w:rPr>
        <w:t xml:space="preserve">volledig en onvoorwaardelijk te voldoen aan </w:t>
      </w:r>
      <w:r>
        <w:rPr>
          <w:sz w:val="18"/>
          <w:szCs w:val="18"/>
        </w:rPr>
        <w:t xml:space="preserve">de onderstaande </w:t>
      </w:r>
      <w:r w:rsidR="004453BE" w:rsidRPr="00583818">
        <w:rPr>
          <w:sz w:val="18"/>
          <w:szCs w:val="18"/>
        </w:rPr>
        <w:t>voorwaarden en eisen</w:t>
      </w:r>
      <w:r>
        <w:rPr>
          <w:sz w:val="18"/>
          <w:szCs w:val="18"/>
        </w:rPr>
        <w:t>:</w:t>
      </w:r>
    </w:p>
    <w:p w:rsidR="00583818" w:rsidRPr="00583818" w:rsidRDefault="00583818" w:rsidP="00583818">
      <w:pPr>
        <w:pStyle w:val="Lijstalinea"/>
        <w:rPr>
          <w:sz w:val="18"/>
          <w:szCs w:val="18"/>
        </w:rPr>
      </w:pPr>
    </w:p>
    <w:p w:rsidR="00F30D87" w:rsidRDefault="00F30D87" w:rsidP="00F30D87">
      <w:pPr>
        <w:ind w:firstLine="360"/>
        <w:rPr>
          <w:b/>
          <w:sz w:val="18"/>
          <w:szCs w:val="18"/>
        </w:rPr>
      </w:pPr>
      <w:r>
        <w:rPr>
          <w:b/>
          <w:sz w:val="18"/>
          <w:szCs w:val="18"/>
        </w:rPr>
        <w:t>Eisen met betrekking tot de aanbestedingsprocedure</w:t>
      </w:r>
    </w:p>
    <w:tbl>
      <w:tblPr>
        <w:tblStyle w:val="Tabelraster"/>
        <w:tblW w:w="10489" w:type="dxa"/>
        <w:tblInd w:w="534" w:type="dxa"/>
        <w:tblLook w:val="04A0"/>
      </w:tblPr>
      <w:tblGrid>
        <w:gridCol w:w="850"/>
        <w:gridCol w:w="9639"/>
      </w:tblGrid>
      <w:tr w:rsidR="00F30D87" w:rsidRPr="00A87743" w:rsidTr="004E745D">
        <w:tc>
          <w:tcPr>
            <w:tcW w:w="850" w:type="dxa"/>
          </w:tcPr>
          <w:p w:rsidR="00F30D87" w:rsidRPr="00A87743" w:rsidRDefault="00F30D87" w:rsidP="00F30D87">
            <w:r w:rsidRPr="00A87743">
              <w:rPr>
                <w:sz w:val="18"/>
                <w:szCs w:val="18"/>
              </w:rPr>
              <w:t>E. 1</w:t>
            </w:r>
          </w:p>
        </w:tc>
        <w:tc>
          <w:tcPr>
            <w:tcW w:w="9639" w:type="dxa"/>
          </w:tcPr>
          <w:p w:rsidR="00F30D87" w:rsidRPr="00A87743" w:rsidRDefault="00F30D87" w:rsidP="00A87743">
            <w:pPr>
              <w:rPr>
                <w:sz w:val="18"/>
                <w:szCs w:val="18"/>
              </w:rPr>
            </w:pPr>
            <w:r w:rsidRPr="00A87743">
              <w:rPr>
                <w:sz w:val="18"/>
                <w:szCs w:val="18"/>
              </w:rPr>
              <w:t>De Inschrijving is ingericht volgens de procedure zoals beschreven in dit Beschrijvend document</w:t>
            </w:r>
            <w:r w:rsidR="00A87743" w:rsidRPr="00A87743">
              <w:rPr>
                <w:sz w:val="18"/>
                <w:szCs w:val="18"/>
              </w:rPr>
              <w:t>.</w:t>
            </w:r>
            <w:r w:rsidRPr="00A87743">
              <w:rPr>
                <w:sz w:val="18"/>
                <w:szCs w:val="18"/>
              </w:rPr>
              <w:t xml:space="preserve"> </w:t>
            </w:r>
          </w:p>
        </w:tc>
      </w:tr>
      <w:tr w:rsidR="00F30D87" w:rsidRPr="00A87743" w:rsidTr="004E745D">
        <w:tc>
          <w:tcPr>
            <w:tcW w:w="850" w:type="dxa"/>
          </w:tcPr>
          <w:p w:rsidR="00F30D87" w:rsidRPr="00A87743" w:rsidRDefault="00F30D87" w:rsidP="00F30D87">
            <w:r w:rsidRPr="00A87743">
              <w:rPr>
                <w:sz w:val="18"/>
                <w:szCs w:val="18"/>
              </w:rPr>
              <w:t>E. 2</w:t>
            </w:r>
          </w:p>
        </w:tc>
        <w:tc>
          <w:tcPr>
            <w:tcW w:w="9639" w:type="dxa"/>
          </w:tcPr>
          <w:p w:rsidR="00F30D87" w:rsidRPr="00A87743" w:rsidRDefault="00F30D87" w:rsidP="00F30D87">
            <w:pPr>
              <w:rPr>
                <w:sz w:val="18"/>
                <w:szCs w:val="18"/>
              </w:rPr>
            </w:pPr>
            <w:r w:rsidRPr="00A87743">
              <w:rPr>
                <w:sz w:val="18"/>
                <w:szCs w:val="18"/>
              </w:rPr>
              <w:t xml:space="preserve">Inschrijver is bekend en gaat akkoord met de door Opdrachtgever gehanteerde waardering- en beoordelingsmethodiek zoals opgenomen in hoofdstuk </w:t>
            </w:r>
            <w:r w:rsidR="00A87743" w:rsidRPr="00A87743">
              <w:rPr>
                <w:sz w:val="18"/>
                <w:szCs w:val="18"/>
              </w:rPr>
              <w:t>7</w:t>
            </w:r>
            <w:r w:rsidR="00A87743">
              <w:rPr>
                <w:sz w:val="18"/>
                <w:szCs w:val="18"/>
              </w:rPr>
              <w:t>.</w:t>
            </w:r>
          </w:p>
          <w:p w:rsidR="00F30D87" w:rsidRPr="00A87743" w:rsidRDefault="00F30D87" w:rsidP="00F30D87">
            <w:pPr>
              <w:rPr>
                <w:sz w:val="18"/>
                <w:szCs w:val="18"/>
              </w:rPr>
            </w:pPr>
          </w:p>
        </w:tc>
      </w:tr>
      <w:tr w:rsidR="00F30D87" w:rsidTr="004E745D">
        <w:tc>
          <w:tcPr>
            <w:tcW w:w="850" w:type="dxa"/>
          </w:tcPr>
          <w:p w:rsidR="00F30D87" w:rsidRPr="00A87743" w:rsidRDefault="00F30D87" w:rsidP="00F30D87">
            <w:r w:rsidRPr="00A87743">
              <w:rPr>
                <w:sz w:val="18"/>
                <w:szCs w:val="18"/>
              </w:rPr>
              <w:t>E. 3</w:t>
            </w:r>
          </w:p>
        </w:tc>
        <w:tc>
          <w:tcPr>
            <w:tcW w:w="9639" w:type="dxa"/>
          </w:tcPr>
          <w:p w:rsidR="00F30D87" w:rsidRPr="00A87743" w:rsidRDefault="00F30D87" w:rsidP="00F30D87">
            <w:pPr>
              <w:rPr>
                <w:sz w:val="18"/>
                <w:szCs w:val="18"/>
              </w:rPr>
            </w:pPr>
            <w:r w:rsidRPr="00A87743">
              <w:rPr>
                <w:sz w:val="18"/>
                <w:szCs w:val="18"/>
              </w:rPr>
              <w:t>Bij de beantwoording van de wensen geldt het aangegeven maximum aantal pagina’s. Indien de beantwoording van een wens uit meer dan het voorgeschreven aantal pagina’s bestaat, worden de extra pagina’s niet in de beoordeling meegenomen.</w:t>
            </w:r>
          </w:p>
          <w:p w:rsidR="00F30D87" w:rsidRPr="00A87743" w:rsidRDefault="00F30D87" w:rsidP="00F30D87">
            <w:pPr>
              <w:rPr>
                <w:sz w:val="18"/>
                <w:szCs w:val="18"/>
              </w:rPr>
            </w:pPr>
          </w:p>
        </w:tc>
      </w:tr>
    </w:tbl>
    <w:p w:rsidR="00F30D87" w:rsidRDefault="00F30D87" w:rsidP="004E745D">
      <w:pPr>
        <w:rPr>
          <w:b/>
          <w:sz w:val="18"/>
          <w:szCs w:val="18"/>
        </w:rPr>
      </w:pPr>
    </w:p>
    <w:p w:rsidR="00A87743" w:rsidRDefault="00A87743" w:rsidP="004163F7">
      <w:pPr>
        <w:ind w:firstLine="360"/>
        <w:rPr>
          <w:b/>
          <w:sz w:val="18"/>
          <w:szCs w:val="18"/>
        </w:rPr>
      </w:pPr>
    </w:p>
    <w:p w:rsidR="004163F7" w:rsidRDefault="004163F7" w:rsidP="004163F7">
      <w:pPr>
        <w:ind w:firstLine="360"/>
        <w:rPr>
          <w:sz w:val="18"/>
          <w:szCs w:val="18"/>
        </w:rPr>
      </w:pPr>
      <w:r>
        <w:rPr>
          <w:b/>
          <w:sz w:val="18"/>
          <w:szCs w:val="18"/>
        </w:rPr>
        <w:lastRenderedPageBreak/>
        <w:t xml:space="preserve">Juridische </w:t>
      </w:r>
      <w:r w:rsidR="00152CE4">
        <w:rPr>
          <w:b/>
          <w:sz w:val="18"/>
          <w:szCs w:val="18"/>
        </w:rPr>
        <w:t xml:space="preserve">en Commerciële </w:t>
      </w:r>
      <w:r w:rsidR="0023295B">
        <w:rPr>
          <w:b/>
          <w:sz w:val="18"/>
          <w:szCs w:val="18"/>
        </w:rPr>
        <w:t>E</w:t>
      </w:r>
      <w:r w:rsidR="00152CE4">
        <w:rPr>
          <w:b/>
          <w:sz w:val="18"/>
          <w:szCs w:val="18"/>
        </w:rPr>
        <w:t>isen</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p>
    <w:tbl>
      <w:tblPr>
        <w:tblStyle w:val="Tabelraster"/>
        <w:tblW w:w="10489" w:type="dxa"/>
        <w:tblInd w:w="534" w:type="dxa"/>
        <w:tblLook w:val="04A0"/>
      </w:tblPr>
      <w:tblGrid>
        <w:gridCol w:w="850"/>
        <w:gridCol w:w="9639"/>
      </w:tblGrid>
      <w:tr w:rsidR="000F072F" w:rsidRPr="00A87743" w:rsidTr="004E745D">
        <w:tc>
          <w:tcPr>
            <w:tcW w:w="850" w:type="dxa"/>
          </w:tcPr>
          <w:p w:rsidR="000F072F" w:rsidRPr="00A87743" w:rsidRDefault="0023295B" w:rsidP="00F30D87">
            <w:pPr>
              <w:rPr>
                <w:sz w:val="18"/>
                <w:szCs w:val="18"/>
              </w:rPr>
            </w:pPr>
            <w:r w:rsidRPr="00A87743">
              <w:rPr>
                <w:sz w:val="18"/>
                <w:szCs w:val="18"/>
              </w:rPr>
              <w:t>E.</w:t>
            </w:r>
            <w:r w:rsidR="000F072F" w:rsidRPr="00A87743">
              <w:rPr>
                <w:sz w:val="18"/>
                <w:szCs w:val="18"/>
              </w:rPr>
              <w:t xml:space="preserve"> </w:t>
            </w:r>
            <w:r w:rsidR="004E745D" w:rsidRPr="00A87743">
              <w:rPr>
                <w:sz w:val="18"/>
                <w:szCs w:val="18"/>
              </w:rPr>
              <w:t>4</w:t>
            </w:r>
          </w:p>
        </w:tc>
        <w:tc>
          <w:tcPr>
            <w:tcW w:w="9639" w:type="dxa"/>
          </w:tcPr>
          <w:p w:rsidR="000F072F" w:rsidRPr="00A87743" w:rsidRDefault="000F072F" w:rsidP="0023295B">
            <w:pPr>
              <w:rPr>
                <w:sz w:val="18"/>
                <w:szCs w:val="18"/>
              </w:rPr>
            </w:pPr>
            <w:r w:rsidRPr="00A87743">
              <w:rPr>
                <w:sz w:val="18"/>
                <w:szCs w:val="18"/>
              </w:rPr>
              <w:t>Een Ins</w:t>
            </w:r>
            <w:r w:rsidR="00A87743">
              <w:rPr>
                <w:sz w:val="18"/>
                <w:szCs w:val="18"/>
              </w:rPr>
              <w:t>chrijver accepteert de concept Overeenkomst en de ARBIT 2016</w:t>
            </w:r>
            <w:r w:rsidRPr="00A87743">
              <w:rPr>
                <w:sz w:val="18"/>
                <w:szCs w:val="18"/>
              </w:rPr>
              <w:t xml:space="preserve">  inclusief de bij de Nota van Inlichtingen geaccepteerde tekstwijzigingen onvoorwaardelijk door ondertekening van deze Bijlage. Instemming met de tek</w:t>
            </w:r>
            <w:r w:rsidR="00A87743">
              <w:rPr>
                <w:sz w:val="18"/>
                <w:szCs w:val="18"/>
              </w:rPr>
              <w:t>st uit de concept Overeenkomst en de ARBIT 2016</w:t>
            </w:r>
            <w:r w:rsidRPr="00A87743">
              <w:rPr>
                <w:sz w:val="18"/>
                <w:szCs w:val="18"/>
              </w:rPr>
              <w:t xml:space="preserve"> geldt als </w:t>
            </w:r>
            <w:r w:rsidR="0023295B" w:rsidRPr="00A87743">
              <w:rPr>
                <w:sz w:val="18"/>
                <w:szCs w:val="18"/>
              </w:rPr>
              <w:t>Eis</w:t>
            </w:r>
            <w:r w:rsidRPr="00A87743">
              <w:rPr>
                <w:sz w:val="18"/>
                <w:szCs w:val="18"/>
              </w:rPr>
              <w:t>. Een Inschrijving die enige vorm van voorbehoud betreffende de contractvoorwaarden bevat kan worden beschouwd als een Inschrijving onder voorwaarden. In dat geval wordt de Inschrijving terzijde gelegd.</w:t>
            </w:r>
          </w:p>
        </w:tc>
      </w:tr>
      <w:tr w:rsidR="00F30D87" w:rsidRPr="00A87743" w:rsidTr="004E745D">
        <w:tc>
          <w:tcPr>
            <w:tcW w:w="850" w:type="dxa"/>
          </w:tcPr>
          <w:p w:rsidR="00F30D87" w:rsidRPr="00A87743" w:rsidRDefault="00F30D87" w:rsidP="004E745D">
            <w:pPr>
              <w:rPr>
                <w:sz w:val="18"/>
                <w:szCs w:val="18"/>
              </w:rPr>
            </w:pPr>
            <w:r w:rsidRPr="00A87743">
              <w:rPr>
                <w:sz w:val="18"/>
                <w:szCs w:val="18"/>
              </w:rPr>
              <w:t xml:space="preserve">E. </w:t>
            </w:r>
            <w:r w:rsidR="004E745D" w:rsidRPr="00A87743">
              <w:rPr>
                <w:sz w:val="18"/>
                <w:szCs w:val="18"/>
              </w:rPr>
              <w:t>5</w:t>
            </w:r>
          </w:p>
        </w:tc>
        <w:tc>
          <w:tcPr>
            <w:tcW w:w="9639" w:type="dxa"/>
          </w:tcPr>
          <w:p w:rsidR="00F30D87" w:rsidRPr="00A87743" w:rsidRDefault="00F30D87" w:rsidP="00F30D87">
            <w:pPr>
              <w:rPr>
                <w:sz w:val="18"/>
                <w:szCs w:val="18"/>
              </w:rPr>
            </w:pPr>
            <w:r w:rsidRPr="00A87743">
              <w:rPr>
                <w:sz w:val="18"/>
                <w:szCs w:val="18"/>
              </w:rPr>
              <w:t>Inschrijver vrijwaart Opdrachtgever voor eventuele aanspraken van de Belastingdienst.</w:t>
            </w:r>
          </w:p>
          <w:p w:rsidR="00F30D87" w:rsidRPr="00A87743" w:rsidRDefault="00F30D87" w:rsidP="00F30D87">
            <w:pPr>
              <w:rPr>
                <w:sz w:val="18"/>
                <w:szCs w:val="18"/>
              </w:rPr>
            </w:pPr>
          </w:p>
        </w:tc>
      </w:tr>
      <w:tr w:rsidR="00F30D87" w:rsidRPr="00A87743" w:rsidTr="004E745D">
        <w:tc>
          <w:tcPr>
            <w:tcW w:w="850" w:type="dxa"/>
          </w:tcPr>
          <w:p w:rsidR="00F30D87" w:rsidRPr="00A87743" w:rsidRDefault="00F30D87" w:rsidP="004E745D">
            <w:pPr>
              <w:rPr>
                <w:sz w:val="18"/>
                <w:szCs w:val="18"/>
              </w:rPr>
            </w:pPr>
            <w:r w:rsidRPr="00A87743">
              <w:rPr>
                <w:sz w:val="18"/>
                <w:szCs w:val="18"/>
              </w:rPr>
              <w:t xml:space="preserve">E. </w:t>
            </w:r>
            <w:r w:rsidR="004E745D" w:rsidRPr="00A87743">
              <w:rPr>
                <w:sz w:val="18"/>
                <w:szCs w:val="18"/>
              </w:rPr>
              <w:t>6</w:t>
            </w:r>
          </w:p>
        </w:tc>
        <w:tc>
          <w:tcPr>
            <w:tcW w:w="9639" w:type="dxa"/>
          </w:tcPr>
          <w:p w:rsidR="00F30D87" w:rsidRPr="00A87743" w:rsidRDefault="00F30D87" w:rsidP="00F30D87">
            <w:pPr>
              <w:rPr>
                <w:sz w:val="18"/>
                <w:szCs w:val="18"/>
              </w:rPr>
            </w:pPr>
            <w:r w:rsidRPr="00A87743">
              <w:rPr>
                <w:sz w:val="18"/>
                <w:szCs w:val="18"/>
              </w:rPr>
              <w:t>Inschrijver neemt afdoende maatregelen in het kader van de inleners aansprakelijkheid en de Wet Ketenaansprakelijkheid. Inschrijver overlegt hiervoor op verzoek van Opdrachtgever de benodigde documenten en rapporteert hierover.</w:t>
            </w:r>
          </w:p>
          <w:p w:rsidR="00F30D87" w:rsidRPr="00A87743" w:rsidRDefault="00F30D87" w:rsidP="00F30D87">
            <w:pPr>
              <w:rPr>
                <w:sz w:val="18"/>
                <w:szCs w:val="18"/>
              </w:rPr>
            </w:pPr>
          </w:p>
        </w:tc>
      </w:tr>
      <w:tr w:rsidR="00F30D87" w:rsidRPr="00A87743" w:rsidTr="004E745D">
        <w:tc>
          <w:tcPr>
            <w:tcW w:w="850" w:type="dxa"/>
          </w:tcPr>
          <w:p w:rsidR="00F30D87" w:rsidRPr="00A87743" w:rsidRDefault="00F30D87" w:rsidP="00F30D87">
            <w:r w:rsidRPr="00A87743">
              <w:rPr>
                <w:sz w:val="18"/>
                <w:szCs w:val="18"/>
              </w:rPr>
              <w:t xml:space="preserve">E. </w:t>
            </w:r>
            <w:r w:rsidR="004E745D" w:rsidRPr="00A87743">
              <w:rPr>
                <w:sz w:val="18"/>
                <w:szCs w:val="18"/>
              </w:rPr>
              <w:t>7</w:t>
            </w:r>
          </w:p>
        </w:tc>
        <w:tc>
          <w:tcPr>
            <w:tcW w:w="9639" w:type="dxa"/>
          </w:tcPr>
          <w:p w:rsidR="00F30D87" w:rsidRPr="00A87743" w:rsidRDefault="00F30D87" w:rsidP="00F30D87">
            <w:pPr>
              <w:rPr>
                <w:sz w:val="18"/>
                <w:szCs w:val="18"/>
              </w:rPr>
            </w:pPr>
            <w:r w:rsidRPr="00A87743">
              <w:rPr>
                <w:sz w:val="18"/>
                <w:szCs w:val="18"/>
              </w:rPr>
              <w:t>Indien Inschrijver aangeeft geen btw in rekening te hoeven brengen, dan dient Inschrijver de reden hiervoor aan te geven en de hieraan ten grondslag liggende bewijsstukken bij (aan) de inschrijving (toe) te voegen.</w:t>
            </w:r>
          </w:p>
          <w:p w:rsidR="00F30D87" w:rsidRPr="00A87743" w:rsidRDefault="00F30D87" w:rsidP="00F30D87">
            <w:pPr>
              <w:rPr>
                <w:sz w:val="18"/>
                <w:szCs w:val="18"/>
              </w:rPr>
            </w:pPr>
          </w:p>
        </w:tc>
      </w:tr>
      <w:tr w:rsidR="00F30D87" w:rsidRPr="00A87743" w:rsidTr="004E745D">
        <w:tc>
          <w:tcPr>
            <w:tcW w:w="850" w:type="dxa"/>
          </w:tcPr>
          <w:p w:rsidR="00F30D87" w:rsidRPr="00A87743" w:rsidRDefault="00F30D87" w:rsidP="00F30D87">
            <w:r w:rsidRPr="00A87743">
              <w:rPr>
                <w:sz w:val="18"/>
                <w:szCs w:val="18"/>
              </w:rPr>
              <w:t xml:space="preserve">E. </w:t>
            </w:r>
            <w:r w:rsidR="004E745D" w:rsidRPr="00A87743">
              <w:rPr>
                <w:sz w:val="18"/>
                <w:szCs w:val="18"/>
              </w:rPr>
              <w:t>8</w:t>
            </w:r>
          </w:p>
        </w:tc>
        <w:tc>
          <w:tcPr>
            <w:tcW w:w="9639" w:type="dxa"/>
          </w:tcPr>
          <w:p w:rsidR="00F30D87" w:rsidRPr="00A87743" w:rsidRDefault="00F30D87" w:rsidP="00F30D87">
            <w:pPr>
              <w:rPr>
                <w:sz w:val="18"/>
                <w:szCs w:val="18"/>
              </w:rPr>
            </w:pPr>
            <w:r w:rsidRPr="00A87743">
              <w:rPr>
                <w:sz w:val="18"/>
                <w:szCs w:val="18"/>
              </w:rPr>
              <w:t>Opdrachtnemer is aansprakelijk voor de (extra) kosten inzake btw indien deze ten onrechte niet, of voor een onjuist bedrag bij Opdrachtgever in rekening worden gebracht. De verantwoordelijkheid voor een juiste btw -afdracht ligt, behoudens het gestelde in de hierna genoemde zin, te allen tijde bij Opdrachtnemer. Wanneer Opdrachtgever een dienst afneemt van een buitenlandse onderneming en de prestatie wordt volgens de fiscale regelgeving geacht in Nederland te zijn verricht, dan is Opdrachtgever zelf verantwoordelijk voor de afdracht van btw aan de Nederlandse fiscus over deze in Nederland verrichte dienst(en).</w:t>
            </w:r>
          </w:p>
          <w:p w:rsidR="00F30D87" w:rsidRPr="00A87743" w:rsidRDefault="00F30D87" w:rsidP="00F30D87">
            <w:pPr>
              <w:rPr>
                <w:sz w:val="18"/>
                <w:szCs w:val="18"/>
              </w:rPr>
            </w:pPr>
          </w:p>
        </w:tc>
      </w:tr>
      <w:tr w:rsidR="00F30D87" w:rsidRPr="00A87743" w:rsidTr="004E745D">
        <w:tc>
          <w:tcPr>
            <w:tcW w:w="850" w:type="dxa"/>
          </w:tcPr>
          <w:p w:rsidR="00F30D87" w:rsidRPr="00A87743" w:rsidRDefault="00F30D87" w:rsidP="00F30D87">
            <w:r w:rsidRPr="00A87743">
              <w:rPr>
                <w:sz w:val="18"/>
                <w:szCs w:val="18"/>
              </w:rPr>
              <w:t xml:space="preserve">E. </w:t>
            </w:r>
            <w:r w:rsidR="004E745D" w:rsidRPr="00A87743">
              <w:rPr>
                <w:sz w:val="18"/>
                <w:szCs w:val="18"/>
              </w:rPr>
              <w:t>9</w:t>
            </w:r>
          </w:p>
        </w:tc>
        <w:tc>
          <w:tcPr>
            <w:tcW w:w="9639" w:type="dxa"/>
          </w:tcPr>
          <w:p w:rsidR="00F30D87" w:rsidRPr="00A87743" w:rsidRDefault="00F30D87" w:rsidP="00F30D87">
            <w:pPr>
              <w:suppressAutoHyphens/>
              <w:ind w:right="-1"/>
              <w:contextualSpacing/>
              <w:rPr>
                <w:rFonts w:cs="Arial"/>
                <w:b/>
                <w:sz w:val="18"/>
                <w:szCs w:val="18"/>
                <w:lang w:val="nl"/>
              </w:rPr>
            </w:pPr>
            <w:r w:rsidRPr="00A87743">
              <w:rPr>
                <w:rFonts w:cs="Arial"/>
                <w:sz w:val="18"/>
                <w:szCs w:val="18"/>
                <w:lang w:val="nl"/>
              </w:rPr>
              <w:t>De overeengekomen tarieven zijn vast en onveranderlijk gedurende de duur van deze Overeenkomst.</w:t>
            </w:r>
          </w:p>
          <w:p w:rsidR="00F30D87" w:rsidRPr="00A87743" w:rsidRDefault="00F30D87" w:rsidP="00F30D87">
            <w:pPr>
              <w:ind w:firstLine="708"/>
              <w:rPr>
                <w:sz w:val="18"/>
                <w:szCs w:val="18"/>
                <w:lang w:val="nl"/>
              </w:rPr>
            </w:pPr>
          </w:p>
        </w:tc>
      </w:tr>
    </w:tbl>
    <w:p w:rsidR="00F30D87" w:rsidRDefault="00F30D87" w:rsidP="004E745D">
      <w:pPr>
        <w:rPr>
          <w:b/>
          <w:sz w:val="18"/>
          <w:szCs w:val="18"/>
        </w:rPr>
      </w:pPr>
    </w:p>
    <w:p w:rsidR="00F30D87" w:rsidRDefault="00F30D87" w:rsidP="00796EBA">
      <w:pPr>
        <w:ind w:firstLine="360"/>
        <w:rPr>
          <w:b/>
          <w:sz w:val="18"/>
          <w:szCs w:val="18"/>
        </w:rPr>
      </w:pPr>
    </w:p>
    <w:p w:rsidR="005C7363" w:rsidRDefault="00F30D87" w:rsidP="004163F7">
      <w:pPr>
        <w:ind w:firstLine="360"/>
        <w:rPr>
          <w:sz w:val="18"/>
          <w:szCs w:val="18"/>
        </w:rPr>
      </w:pPr>
      <w:r>
        <w:rPr>
          <w:b/>
          <w:sz w:val="18"/>
          <w:szCs w:val="18"/>
        </w:rPr>
        <w:t xml:space="preserve">Inhoudelijke </w:t>
      </w:r>
      <w:r w:rsidR="0023295B">
        <w:rPr>
          <w:b/>
          <w:sz w:val="18"/>
          <w:szCs w:val="18"/>
        </w:rPr>
        <w:t>E</w:t>
      </w:r>
      <w:r w:rsidR="00225414">
        <w:rPr>
          <w:b/>
          <w:sz w:val="18"/>
          <w:szCs w:val="18"/>
        </w:rPr>
        <w:t>is</w:t>
      </w:r>
      <w:r w:rsidR="004163F7">
        <w:rPr>
          <w:b/>
          <w:sz w:val="18"/>
          <w:szCs w:val="18"/>
        </w:rPr>
        <w:t>en</w:t>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r w:rsidR="00A87743">
        <w:rPr>
          <w:sz w:val="18"/>
          <w:szCs w:val="18"/>
        </w:rPr>
        <w:tab/>
      </w:r>
    </w:p>
    <w:p w:rsidR="00A87743" w:rsidRDefault="00A87743" w:rsidP="00A87743"/>
    <w:tbl>
      <w:tblPr>
        <w:tblStyle w:val="Tabelraster"/>
        <w:tblW w:w="0" w:type="auto"/>
        <w:tblLook w:val="04A0"/>
      </w:tblPr>
      <w:tblGrid>
        <w:gridCol w:w="9215"/>
      </w:tblGrid>
      <w:tr w:rsidR="00A87743" w:rsidRPr="00A87743" w:rsidTr="000A6934">
        <w:tc>
          <w:tcPr>
            <w:tcW w:w="9215" w:type="dxa"/>
            <w:shd w:val="clear" w:color="auto" w:fill="E36C0A" w:themeFill="accent6" w:themeFillShade="BF"/>
          </w:tcPr>
          <w:p w:rsidR="00A87743" w:rsidRPr="00A87743" w:rsidRDefault="00A87743" w:rsidP="000A6934">
            <w:pPr>
              <w:rPr>
                <w:b/>
                <w:sz w:val="18"/>
                <w:szCs w:val="18"/>
              </w:rPr>
            </w:pPr>
            <w:r w:rsidRPr="00A87743">
              <w:rPr>
                <w:b/>
                <w:sz w:val="18"/>
                <w:szCs w:val="18"/>
              </w:rPr>
              <w:t>Algemeen</w:t>
            </w:r>
          </w:p>
        </w:tc>
      </w:tr>
    </w:tbl>
    <w:p w:rsidR="00A87743" w:rsidRPr="000A5010" w:rsidRDefault="00A87743" w:rsidP="00A87743">
      <w:pPr>
        <w:pStyle w:val="Lijstalinea"/>
        <w:numPr>
          <w:ilvl w:val="0"/>
          <w:numId w:val="6"/>
        </w:numPr>
        <w:tabs>
          <w:tab w:val="center" w:pos="426"/>
        </w:tabs>
        <w:spacing w:after="200" w:line="240" w:lineRule="auto"/>
        <w:rPr>
          <w:sz w:val="18"/>
          <w:szCs w:val="18"/>
        </w:rPr>
      </w:pPr>
      <w:r w:rsidRPr="000A5010">
        <w:rPr>
          <w:sz w:val="18"/>
          <w:szCs w:val="18"/>
        </w:rPr>
        <w:t>De functionele veranderbehoefte (regulier en projecten) wordt tijdens de uitvoeringsfase concreet gemaakt, Opdrachtnemer dient zijn dienstverlening zodanig flexibel in te richten dat aan de veranderbehoefte van Opdrachtgever kan worden voldaan;</w:t>
      </w:r>
    </w:p>
    <w:p w:rsidR="00A87743" w:rsidRPr="000A5010" w:rsidRDefault="00A87743" w:rsidP="00A87743">
      <w:pPr>
        <w:pStyle w:val="Lijstalinea"/>
        <w:numPr>
          <w:ilvl w:val="0"/>
          <w:numId w:val="5"/>
        </w:numPr>
        <w:tabs>
          <w:tab w:val="center" w:pos="426"/>
        </w:tabs>
        <w:spacing w:after="200" w:line="240" w:lineRule="auto"/>
        <w:rPr>
          <w:sz w:val="18"/>
          <w:szCs w:val="18"/>
        </w:rPr>
      </w:pPr>
      <w:r w:rsidRPr="000A5010">
        <w:rPr>
          <w:sz w:val="18"/>
          <w:szCs w:val="18"/>
        </w:rPr>
        <w:t>(</w:t>
      </w:r>
      <w:proofErr w:type="spellStart"/>
      <w:r w:rsidRPr="000A5010">
        <w:rPr>
          <w:sz w:val="18"/>
          <w:szCs w:val="18"/>
        </w:rPr>
        <w:t>On</w:t>
      </w:r>
      <w:proofErr w:type="spellEnd"/>
      <w:r w:rsidRPr="000A5010">
        <w:rPr>
          <w:sz w:val="18"/>
          <w:szCs w:val="18"/>
        </w:rPr>
        <w:t>)gepland onderhoud moet tijdens uitvoeringsfase conform SLA doorgang vinden. Opdrachtnemer wordt tijdens het leveren van de dienstverlening onder de Opdracht verantwoordelijk voor het realiseren van afstemming tussen haar en andere partijen (Opdrachtgever en derden) in de keten binnen de operationele, tactische en strategische kaders indien dit nodig is om de geëiste te leveren kwaliteit te borgen. Het juist en tijdig escaleren indien de kaders overschreden worden en het juist en tijdig rapporteren hierover vallen ook binnen de verantwoordelijkheid (conform de hieromtrent afgesproken processen);</w:t>
      </w:r>
    </w:p>
    <w:p w:rsidR="00A87743" w:rsidRPr="000A5010" w:rsidRDefault="00A87743" w:rsidP="00A87743">
      <w:pPr>
        <w:pStyle w:val="Lijstalinea"/>
        <w:numPr>
          <w:ilvl w:val="0"/>
          <w:numId w:val="5"/>
        </w:numPr>
        <w:tabs>
          <w:tab w:val="center" w:pos="426"/>
        </w:tabs>
        <w:spacing w:after="200" w:line="240" w:lineRule="auto"/>
        <w:rPr>
          <w:sz w:val="18"/>
          <w:szCs w:val="18"/>
        </w:rPr>
      </w:pPr>
      <w:r w:rsidRPr="000A5010">
        <w:rPr>
          <w:sz w:val="18"/>
          <w:szCs w:val="18"/>
        </w:rPr>
        <w:t>Opdrachtnemer houdt zich aan de taken, rollen en verantwoordelijkheden zoals beschreven in de (nog op te stellen) SLA, welke onderdeel uitmaakt van de nieuwe overeenkomst.</w:t>
      </w:r>
    </w:p>
    <w:tbl>
      <w:tblPr>
        <w:tblStyle w:val="Tabelraster"/>
        <w:tblW w:w="0" w:type="auto"/>
        <w:tblLook w:val="04A0"/>
      </w:tblPr>
      <w:tblGrid>
        <w:gridCol w:w="9210"/>
      </w:tblGrid>
      <w:tr w:rsidR="00A87743" w:rsidRPr="00A87743" w:rsidTr="000A6934">
        <w:tc>
          <w:tcPr>
            <w:tcW w:w="9210" w:type="dxa"/>
            <w:shd w:val="clear" w:color="auto" w:fill="E36C0A" w:themeFill="accent6" w:themeFillShade="BF"/>
          </w:tcPr>
          <w:p w:rsidR="00A87743" w:rsidRPr="00A87743" w:rsidRDefault="00A87743" w:rsidP="000A6934">
            <w:pPr>
              <w:rPr>
                <w:b/>
                <w:sz w:val="18"/>
                <w:szCs w:val="18"/>
              </w:rPr>
            </w:pPr>
            <w:r w:rsidRPr="00A87743">
              <w:rPr>
                <w:b/>
                <w:sz w:val="18"/>
                <w:szCs w:val="18"/>
              </w:rPr>
              <w:t>(Technisch) Beheer (correctief, perfectief en preventief onderhoud)</w:t>
            </w:r>
          </w:p>
        </w:tc>
      </w:tr>
    </w:tbl>
    <w:p w:rsidR="00A87743" w:rsidRPr="000A5010" w:rsidRDefault="00A87743" w:rsidP="00A87743">
      <w:pPr>
        <w:pStyle w:val="Lijstalinea"/>
        <w:numPr>
          <w:ilvl w:val="0"/>
          <w:numId w:val="6"/>
        </w:numPr>
        <w:tabs>
          <w:tab w:val="center" w:pos="426"/>
        </w:tabs>
        <w:spacing w:before="240" w:after="200" w:line="240" w:lineRule="auto"/>
        <w:rPr>
          <w:sz w:val="18"/>
          <w:szCs w:val="18"/>
        </w:rPr>
      </w:pPr>
      <w:r w:rsidRPr="000A5010">
        <w:rPr>
          <w:sz w:val="18"/>
          <w:szCs w:val="18"/>
        </w:rPr>
        <w:t xml:space="preserve">Het </w:t>
      </w:r>
      <w:r>
        <w:rPr>
          <w:sz w:val="18"/>
          <w:szCs w:val="18"/>
        </w:rPr>
        <w:t>technisch (</w:t>
      </w:r>
      <w:r w:rsidRPr="000A5010">
        <w:rPr>
          <w:sz w:val="18"/>
          <w:szCs w:val="18"/>
        </w:rPr>
        <w:t>applicatie</w:t>
      </w:r>
      <w:r>
        <w:rPr>
          <w:sz w:val="18"/>
          <w:szCs w:val="18"/>
        </w:rPr>
        <w:t>)</w:t>
      </w:r>
      <w:r w:rsidRPr="000A5010">
        <w:rPr>
          <w:sz w:val="18"/>
          <w:szCs w:val="18"/>
        </w:rPr>
        <w:t>beheer dient op basis van resultaatverplichting te worden geleverd op basis van een DAP/SLA</w:t>
      </w:r>
      <w:r>
        <w:rPr>
          <w:sz w:val="18"/>
          <w:szCs w:val="18"/>
        </w:rPr>
        <w:t>(</w:t>
      </w:r>
      <w:r w:rsidRPr="001909C2">
        <w:rPr>
          <w:rFonts w:eastAsiaTheme="minorHAnsi"/>
          <w:sz w:val="18"/>
          <w:szCs w:val="18"/>
        </w:rPr>
        <w:t>ISO 25010</w:t>
      </w:r>
      <w:r>
        <w:rPr>
          <w:rFonts w:eastAsiaTheme="minorHAnsi"/>
          <w:sz w:val="18"/>
          <w:szCs w:val="18"/>
        </w:rPr>
        <w:t>)</w:t>
      </w:r>
      <w:r w:rsidRPr="000A5010">
        <w:rPr>
          <w:sz w:val="18"/>
          <w:szCs w:val="18"/>
        </w:rPr>
        <w:t>;</w:t>
      </w:r>
    </w:p>
    <w:p w:rsidR="00A87743" w:rsidRPr="000A5010" w:rsidRDefault="00A87743" w:rsidP="00A87743">
      <w:pPr>
        <w:pStyle w:val="Lijstalinea"/>
        <w:numPr>
          <w:ilvl w:val="0"/>
          <w:numId w:val="6"/>
        </w:numPr>
        <w:tabs>
          <w:tab w:val="center" w:pos="426"/>
        </w:tabs>
        <w:spacing w:after="200" w:line="240" w:lineRule="auto"/>
        <w:rPr>
          <w:sz w:val="18"/>
          <w:szCs w:val="18"/>
        </w:rPr>
      </w:pPr>
      <w:r>
        <w:rPr>
          <w:sz w:val="18"/>
          <w:szCs w:val="18"/>
        </w:rPr>
        <w:t xml:space="preserve">Beheeraanpak </w:t>
      </w:r>
      <w:r w:rsidRPr="000A5010">
        <w:rPr>
          <w:sz w:val="18"/>
          <w:szCs w:val="18"/>
        </w:rPr>
        <w:t>van Inschrijver beschrijft hoe het beheer wordt ingericht op operationeel,</w:t>
      </w:r>
      <w:r>
        <w:rPr>
          <w:sz w:val="18"/>
          <w:szCs w:val="18"/>
        </w:rPr>
        <w:t xml:space="preserve"> tactisch en strategisch niveau.</w:t>
      </w:r>
      <w:r w:rsidRPr="000A5010">
        <w:rPr>
          <w:sz w:val="18"/>
          <w:szCs w:val="18"/>
        </w:rPr>
        <w:t xml:space="preserve"> Opdrachtgever vindt het belangrijk dat een impactanalyse door de leverancier en een </w:t>
      </w:r>
      <w:proofErr w:type="spellStart"/>
      <w:r w:rsidRPr="000A5010">
        <w:rPr>
          <w:sz w:val="18"/>
          <w:szCs w:val="18"/>
        </w:rPr>
        <w:t>gebruikersaccepta</w:t>
      </w:r>
      <w:r>
        <w:rPr>
          <w:sz w:val="18"/>
          <w:szCs w:val="18"/>
        </w:rPr>
        <w:t>tietest</w:t>
      </w:r>
      <w:proofErr w:type="spellEnd"/>
      <w:r>
        <w:rPr>
          <w:sz w:val="18"/>
          <w:szCs w:val="18"/>
        </w:rPr>
        <w:t xml:space="preserve"> daar deel van uit maken;</w:t>
      </w:r>
    </w:p>
    <w:p w:rsidR="00A87743" w:rsidRDefault="00A87743" w:rsidP="00A87743">
      <w:pPr>
        <w:pStyle w:val="Lijstalinea"/>
        <w:numPr>
          <w:ilvl w:val="0"/>
          <w:numId w:val="6"/>
        </w:numPr>
        <w:tabs>
          <w:tab w:val="center" w:pos="426"/>
        </w:tabs>
        <w:spacing w:after="200" w:line="240" w:lineRule="auto"/>
        <w:rPr>
          <w:sz w:val="18"/>
          <w:szCs w:val="18"/>
        </w:rPr>
      </w:pPr>
      <w:r w:rsidRPr="000A5010">
        <w:rPr>
          <w:sz w:val="18"/>
          <w:szCs w:val="18"/>
        </w:rPr>
        <w:t>Beheeraanpak van Inschrijver beschrijft risico management en kwaliteitsborging en rapportagevorm;</w:t>
      </w:r>
    </w:p>
    <w:p w:rsidR="00A87743" w:rsidRPr="000A5010" w:rsidRDefault="00A87743" w:rsidP="00A87743">
      <w:pPr>
        <w:pStyle w:val="Lijstalinea"/>
        <w:numPr>
          <w:ilvl w:val="0"/>
          <w:numId w:val="6"/>
        </w:numPr>
        <w:tabs>
          <w:tab w:val="center" w:pos="426"/>
        </w:tabs>
        <w:spacing w:after="200" w:line="240" w:lineRule="auto"/>
        <w:rPr>
          <w:sz w:val="18"/>
          <w:szCs w:val="18"/>
        </w:rPr>
      </w:pPr>
      <w:r>
        <w:rPr>
          <w:sz w:val="18"/>
          <w:szCs w:val="18"/>
        </w:rPr>
        <w:t>Beheeraanpak van Inschrijver dekt alle relevante ASL processen af, en deze vallen in de dienstverlening zoals geoffreerd door Inschrijver;</w:t>
      </w:r>
    </w:p>
    <w:p w:rsidR="00A87743" w:rsidRPr="000A5010" w:rsidRDefault="00A87743" w:rsidP="00A87743">
      <w:pPr>
        <w:pStyle w:val="Lijstalinea"/>
        <w:numPr>
          <w:ilvl w:val="0"/>
          <w:numId w:val="6"/>
        </w:numPr>
        <w:tabs>
          <w:tab w:val="center" w:pos="426"/>
        </w:tabs>
        <w:spacing w:after="200" w:line="240" w:lineRule="auto"/>
        <w:rPr>
          <w:sz w:val="18"/>
          <w:szCs w:val="18"/>
        </w:rPr>
      </w:pPr>
      <w:r w:rsidRPr="000A5010">
        <w:rPr>
          <w:sz w:val="18"/>
          <w:szCs w:val="18"/>
        </w:rPr>
        <w:t>Beheeraanpak van Inschrijver geeft een duidelijke (toekomst) visie van de Inschrijver op Beheer als (resultaat verplichte) activiteit;</w:t>
      </w:r>
    </w:p>
    <w:p w:rsidR="00A87743" w:rsidRPr="000A5010" w:rsidRDefault="00A87743" w:rsidP="00A87743">
      <w:pPr>
        <w:pStyle w:val="Lijstalinea"/>
        <w:numPr>
          <w:ilvl w:val="0"/>
          <w:numId w:val="6"/>
        </w:numPr>
        <w:tabs>
          <w:tab w:val="center" w:pos="426"/>
        </w:tabs>
        <w:spacing w:after="200" w:line="240" w:lineRule="auto"/>
        <w:rPr>
          <w:sz w:val="18"/>
          <w:szCs w:val="18"/>
        </w:rPr>
      </w:pPr>
      <w:r w:rsidRPr="000A5010">
        <w:rPr>
          <w:sz w:val="18"/>
          <w:szCs w:val="18"/>
        </w:rPr>
        <w:t>Beheeraanpak van Inschrijver geeft een duidelijke (toekomst) visie betreffende doelarchitectuur;</w:t>
      </w:r>
    </w:p>
    <w:p w:rsidR="00A87743" w:rsidRDefault="00A87743" w:rsidP="00A87743">
      <w:pPr>
        <w:pStyle w:val="Lijstalinea"/>
        <w:numPr>
          <w:ilvl w:val="0"/>
          <w:numId w:val="6"/>
        </w:numPr>
        <w:tabs>
          <w:tab w:val="center" w:pos="426"/>
        </w:tabs>
        <w:spacing w:after="200" w:line="240" w:lineRule="auto"/>
        <w:rPr>
          <w:sz w:val="18"/>
          <w:szCs w:val="18"/>
        </w:rPr>
      </w:pPr>
      <w:r w:rsidRPr="004228D5">
        <w:rPr>
          <w:sz w:val="18"/>
          <w:szCs w:val="18"/>
        </w:rPr>
        <w:t>Beheeraanpak van Inschrijver beschrijft op welke wijze het eerste releasematige onderhoud zal worden uitgevoerd en hoe de rel</w:t>
      </w:r>
      <w:r>
        <w:rPr>
          <w:sz w:val="18"/>
          <w:szCs w:val="18"/>
        </w:rPr>
        <w:t>ease continuïteit geborgd wordt;</w:t>
      </w:r>
    </w:p>
    <w:p w:rsidR="00A87743" w:rsidRPr="004228D5" w:rsidRDefault="00A87743" w:rsidP="00A87743">
      <w:pPr>
        <w:pStyle w:val="Lijstalinea"/>
        <w:numPr>
          <w:ilvl w:val="0"/>
          <w:numId w:val="6"/>
        </w:numPr>
        <w:tabs>
          <w:tab w:val="center" w:pos="426"/>
        </w:tabs>
        <w:spacing w:after="200" w:line="240" w:lineRule="auto"/>
        <w:rPr>
          <w:sz w:val="18"/>
          <w:szCs w:val="18"/>
        </w:rPr>
      </w:pPr>
      <w:r w:rsidRPr="004228D5">
        <w:rPr>
          <w:sz w:val="18"/>
          <w:szCs w:val="18"/>
        </w:rPr>
        <w:t>Eén van de basis eisen die aan de digitale dienstverlening wordt gesteld is de continue beschikbaarheid voor gebruikers. Dit vereist een omgeving met een hoge stabiliteit, robuustheid en continuïteit;</w:t>
      </w:r>
    </w:p>
    <w:p w:rsidR="00A87743" w:rsidRPr="000A5010" w:rsidRDefault="00A87743" w:rsidP="00A87743">
      <w:pPr>
        <w:pStyle w:val="Lijstalinea"/>
        <w:numPr>
          <w:ilvl w:val="0"/>
          <w:numId w:val="6"/>
        </w:numPr>
        <w:tabs>
          <w:tab w:val="center" w:pos="426"/>
        </w:tabs>
        <w:spacing w:after="200" w:line="240" w:lineRule="auto"/>
        <w:rPr>
          <w:sz w:val="18"/>
          <w:szCs w:val="18"/>
        </w:rPr>
      </w:pPr>
      <w:proofErr w:type="spellStart"/>
      <w:r>
        <w:rPr>
          <w:sz w:val="18"/>
          <w:szCs w:val="18"/>
        </w:rPr>
        <w:t>Loggings</w:t>
      </w:r>
      <w:proofErr w:type="spellEnd"/>
      <w:r>
        <w:rPr>
          <w:sz w:val="18"/>
          <w:szCs w:val="18"/>
        </w:rPr>
        <w:t xml:space="preserve"> van o.a. incidenten worden minimaal 24 maanden gearchiveerd;</w:t>
      </w:r>
    </w:p>
    <w:p w:rsidR="00A87743" w:rsidRPr="00A87743" w:rsidRDefault="00A87743" w:rsidP="00A87743">
      <w:pPr>
        <w:pStyle w:val="Lijstalinea"/>
        <w:numPr>
          <w:ilvl w:val="0"/>
          <w:numId w:val="6"/>
        </w:numPr>
        <w:tabs>
          <w:tab w:val="center" w:pos="426"/>
        </w:tabs>
        <w:spacing w:after="200" w:line="240" w:lineRule="auto"/>
        <w:rPr>
          <w:sz w:val="18"/>
          <w:szCs w:val="18"/>
        </w:rPr>
      </w:pPr>
      <w:r w:rsidRPr="00A87743">
        <w:rPr>
          <w:sz w:val="18"/>
          <w:szCs w:val="18"/>
        </w:rPr>
        <w:t xml:space="preserve">Het uitvoeren van updates, </w:t>
      </w:r>
      <w:proofErr w:type="spellStart"/>
      <w:r w:rsidRPr="00A87743">
        <w:rPr>
          <w:sz w:val="18"/>
          <w:szCs w:val="18"/>
        </w:rPr>
        <w:t>patches</w:t>
      </w:r>
      <w:proofErr w:type="spellEnd"/>
      <w:r w:rsidRPr="00A87743">
        <w:rPr>
          <w:sz w:val="18"/>
          <w:szCs w:val="18"/>
        </w:rPr>
        <w:t xml:space="preserve"> en software (versie) </w:t>
      </w:r>
      <w:proofErr w:type="spellStart"/>
      <w:r w:rsidRPr="00A87743">
        <w:rPr>
          <w:sz w:val="18"/>
          <w:szCs w:val="18"/>
        </w:rPr>
        <w:t>upgrades</w:t>
      </w:r>
      <w:proofErr w:type="spellEnd"/>
      <w:r w:rsidRPr="00A87743">
        <w:rPr>
          <w:sz w:val="18"/>
          <w:szCs w:val="18"/>
        </w:rPr>
        <w:t xml:space="preserve"> ten behoeve van de website, als gevolg van (externe) wijzigingen in (aanpalende) standaard software en/of techniek, zoals bijvoorbeeld een nieuwe versie van Microsoft software of nieuwe eisen ten aanzien van de </w:t>
      </w:r>
      <w:proofErr w:type="spellStart"/>
      <w:r w:rsidRPr="00A87743">
        <w:rPr>
          <w:sz w:val="18"/>
          <w:szCs w:val="18"/>
        </w:rPr>
        <w:t>hosting</w:t>
      </w:r>
      <w:proofErr w:type="spellEnd"/>
      <w:r w:rsidRPr="00A87743">
        <w:rPr>
          <w:sz w:val="18"/>
          <w:szCs w:val="18"/>
        </w:rPr>
        <w:t xml:space="preserve"> ziet Opdrachtgever als Preventief </w:t>
      </w:r>
      <w:r w:rsidRPr="00A87743">
        <w:rPr>
          <w:sz w:val="18"/>
          <w:szCs w:val="18"/>
        </w:rPr>
        <w:lastRenderedPageBreak/>
        <w:t xml:space="preserve">beheer en niet als additionele dienstverlening. Opdrachtnemer is verantwoordelijk voor het adequaat uitvoeren van </w:t>
      </w:r>
      <w:proofErr w:type="spellStart"/>
      <w:r w:rsidRPr="00A87743">
        <w:rPr>
          <w:sz w:val="18"/>
          <w:szCs w:val="18"/>
        </w:rPr>
        <w:t>life</w:t>
      </w:r>
      <w:proofErr w:type="spellEnd"/>
      <w:r w:rsidRPr="00A87743">
        <w:rPr>
          <w:sz w:val="18"/>
          <w:szCs w:val="18"/>
        </w:rPr>
        <w:t xml:space="preserve"> </w:t>
      </w:r>
      <w:proofErr w:type="spellStart"/>
      <w:r w:rsidRPr="00A87743">
        <w:rPr>
          <w:sz w:val="18"/>
          <w:szCs w:val="18"/>
        </w:rPr>
        <w:t>cycle</w:t>
      </w:r>
      <w:proofErr w:type="spellEnd"/>
      <w:r w:rsidRPr="00A87743">
        <w:rPr>
          <w:sz w:val="18"/>
          <w:szCs w:val="18"/>
        </w:rPr>
        <w:t xml:space="preserve"> management, waaronder het pro actief handelen wanneer het gecontracteerde niveau van de Dienstverlening in gevaar komt door externe factoren wordt verstaan</w:t>
      </w:r>
      <w:r>
        <w:rPr>
          <w:sz w:val="18"/>
          <w:szCs w:val="18"/>
        </w:rPr>
        <w:t>.</w:t>
      </w:r>
    </w:p>
    <w:tbl>
      <w:tblPr>
        <w:tblStyle w:val="Tabelraster"/>
        <w:tblW w:w="0" w:type="auto"/>
        <w:tblLook w:val="04A0"/>
      </w:tblPr>
      <w:tblGrid>
        <w:gridCol w:w="9210"/>
      </w:tblGrid>
      <w:tr w:rsidR="00A87743" w:rsidRPr="00A87743" w:rsidTr="000A6934">
        <w:tc>
          <w:tcPr>
            <w:tcW w:w="9210" w:type="dxa"/>
            <w:shd w:val="clear" w:color="auto" w:fill="E36C0A" w:themeFill="accent6" w:themeFillShade="BF"/>
          </w:tcPr>
          <w:p w:rsidR="00A87743" w:rsidRPr="00A87743" w:rsidRDefault="00A87743" w:rsidP="000A6934">
            <w:pPr>
              <w:spacing w:after="200"/>
              <w:contextualSpacing/>
              <w:rPr>
                <w:b/>
                <w:sz w:val="18"/>
                <w:szCs w:val="18"/>
              </w:rPr>
            </w:pPr>
            <w:proofErr w:type="spellStart"/>
            <w:r w:rsidRPr="00A87743">
              <w:rPr>
                <w:b/>
                <w:sz w:val="18"/>
                <w:szCs w:val="18"/>
              </w:rPr>
              <w:t>Security</w:t>
            </w:r>
            <w:proofErr w:type="spellEnd"/>
            <w:r w:rsidRPr="00A87743">
              <w:rPr>
                <w:b/>
                <w:sz w:val="18"/>
                <w:szCs w:val="18"/>
              </w:rPr>
              <w:t xml:space="preserve"> en privacy</w:t>
            </w:r>
          </w:p>
        </w:tc>
      </w:tr>
    </w:tbl>
    <w:p w:rsidR="00A87743" w:rsidRDefault="00A87743" w:rsidP="00A87743">
      <w:pPr>
        <w:pStyle w:val="Lijstalinea"/>
        <w:numPr>
          <w:ilvl w:val="0"/>
          <w:numId w:val="5"/>
        </w:numPr>
        <w:spacing w:after="200" w:line="240" w:lineRule="auto"/>
        <w:rPr>
          <w:sz w:val="18"/>
          <w:szCs w:val="18"/>
        </w:rPr>
      </w:pPr>
      <w:r w:rsidRPr="001909C2">
        <w:rPr>
          <w:sz w:val="18"/>
          <w:szCs w:val="18"/>
        </w:rPr>
        <w:t xml:space="preserve">Software voldoet </w:t>
      </w:r>
      <w:r>
        <w:rPr>
          <w:sz w:val="18"/>
          <w:szCs w:val="18"/>
        </w:rPr>
        <w:t xml:space="preserve">tenminste aan de normen uit </w:t>
      </w:r>
      <w:r w:rsidRPr="001909C2">
        <w:rPr>
          <w:sz w:val="18"/>
          <w:szCs w:val="18"/>
        </w:rPr>
        <w:t>het tactisch normenkader (</w:t>
      </w:r>
      <w:proofErr w:type="spellStart"/>
      <w:r w:rsidRPr="001909C2">
        <w:rPr>
          <w:sz w:val="18"/>
          <w:szCs w:val="18"/>
        </w:rPr>
        <w:t>comply</w:t>
      </w:r>
      <w:proofErr w:type="spellEnd"/>
      <w:r w:rsidRPr="001909C2">
        <w:rPr>
          <w:sz w:val="18"/>
          <w:szCs w:val="18"/>
        </w:rPr>
        <w:t>) en operationele (</w:t>
      </w:r>
      <w:proofErr w:type="spellStart"/>
      <w:r w:rsidRPr="001909C2">
        <w:rPr>
          <w:sz w:val="18"/>
          <w:szCs w:val="18"/>
        </w:rPr>
        <w:t>comply</w:t>
      </w:r>
      <w:proofErr w:type="spellEnd"/>
      <w:r w:rsidRPr="001909C2">
        <w:rPr>
          <w:sz w:val="18"/>
          <w:szCs w:val="18"/>
        </w:rPr>
        <w:t xml:space="preserve"> </w:t>
      </w:r>
      <w:proofErr w:type="spellStart"/>
      <w:r w:rsidRPr="001909C2">
        <w:rPr>
          <w:sz w:val="18"/>
          <w:szCs w:val="18"/>
        </w:rPr>
        <w:t>or</w:t>
      </w:r>
      <w:proofErr w:type="spellEnd"/>
      <w:r w:rsidRPr="001909C2">
        <w:rPr>
          <w:sz w:val="18"/>
          <w:szCs w:val="18"/>
        </w:rPr>
        <w:t xml:space="preserve"> </w:t>
      </w:r>
      <w:proofErr w:type="spellStart"/>
      <w:r w:rsidRPr="001909C2">
        <w:rPr>
          <w:sz w:val="18"/>
          <w:szCs w:val="18"/>
        </w:rPr>
        <w:t>explain</w:t>
      </w:r>
      <w:proofErr w:type="spellEnd"/>
      <w:r w:rsidRPr="001909C2">
        <w:rPr>
          <w:sz w:val="18"/>
          <w:szCs w:val="18"/>
        </w:rPr>
        <w:t xml:space="preserve">, waarbij </w:t>
      </w:r>
      <w:r>
        <w:rPr>
          <w:sz w:val="18"/>
          <w:szCs w:val="18"/>
        </w:rPr>
        <w:t>Opdrachtgever</w:t>
      </w:r>
      <w:r w:rsidRPr="001909C2">
        <w:rPr>
          <w:sz w:val="18"/>
          <w:szCs w:val="18"/>
        </w:rPr>
        <w:t xml:space="preserve"> de uitleg acceptabel dient te vinden) Baseline Informatiebeveiliging Rijksoverheid</w:t>
      </w:r>
      <w:r>
        <w:rPr>
          <w:sz w:val="18"/>
          <w:szCs w:val="18"/>
        </w:rPr>
        <w:t>:</w:t>
      </w:r>
    </w:p>
    <w:p w:rsidR="00A87743" w:rsidRDefault="00A87743" w:rsidP="00A87743">
      <w:pPr>
        <w:pStyle w:val="Lijstalinea"/>
        <w:numPr>
          <w:ilvl w:val="1"/>
          <w:numId w:val="5"/>
        </w:numPr>
        <w:spacing w:after="200" w:line="240" w:lineRule="auto"/>
        <w:rPr>
          <w:sz w:val="18"/>
          <w:szCs w:val="18"/>
        </w:rPr>
      </w:pPr>
      <w:r>
        <w:rPr>
          <w:sz w:val="18"/>
          <w:szCs w:val="18"/>
        </w:rPr>
        <w:t>10.1.3.1;</w:t>
      </w:r>
    </w:p>
    <w:p w:rsidR="00A87743" w:rsidRDefault="00A87743" w:rsidP="00A87743">
      <w:pPr>
        <w:pStyle w:val="Lijstalinea"/>
        <w:numPr>
          <w:ilvl w:val="1"/>
          <w:numId w:val="5"/>
        </w:numPr>
        <w:spacing w:after="200" w:line="240" w:lineRule="auto"/>
        <w:rPr>
          <w:sz w:val="18"/>
          <w:szCs w:val="18"/>
        </w:rPr>
      </w:pPr>
      <w:r>
        <w:rPr>
          <w:sz w:val="18"/>
          <w:szCs w:val="18"/>
        </w:rPr>
        <w:t>10.1.3.2;</w:t>
      </w:r>
    </w:p>
    <w:p w:rsidR="00A87743" w:rsidRDefault="00A87743" w:rsidP="00A87743">
      <w:pPr>
        <w:pStyle w:val="Lijstalinea"/>
        <w:numPr>
          <w:ilvl w:val="1"/>
          <w:numId w:val="5"/>
        </w:numPr>
        <w:spacing w:after="200" w:line="240" w:lineRule="auto"/>
        <w:rPr>
          <w:sz w:val="18"/>
          <w:szCs w:val="18"/>
        </w:rPr>
      </w:pPr>
      <w:r>
        <w:rPr>
          <w:sz w:val="18"/>
          <w:szCs w:val="18"/>
        </w:rPr>
        <w:t>10.1.3.3;</w:t>
      </w:r>
    </w:p>
    <w:p w:rsidR="00A87743" w:rsidRDefault="00A87743" w:rsidP="00A87743">
      <w:pPr>
        <w:pStyle w:val="Lijstalinea"/>
        <w:numPr>
          <w:ilvl w:val="1"/>
          <w:numId w:val="5"/>
        </w:numPr>
        <w:spacing w:after="200" w:line="240" w:lineRule="auto"/>
        <w:rPr>
          <w:sz w:val="18"/>
          <w:szCs w:val="18"/>
        </w:rPr>
      </w:pPr>
      <w:r>
        <w:rPr>
          <w:sz w:val="18"/>
          <w:szCs w:val="18"/>
        </w:rPr>
        <w:t>10.3.2.2;</w:t>
      </w:r>
    </w:p>
    <w:p w:rsidR="00A87743" w:rsidRDefault="00A87743" w:rsidP="00A87743">
      <w:pPr>
        <w:pStyle w:val="Lijstalinea"/>
        <w:numPr>
          <w:ilvl w:val="1"/>
          <w:numId w:val="5"/>
        </w:numPr>
        <w:spacing w:after="200" w:line="240" w:lineRule="auto"/>
        <w:rPr>
          <w:sz w:val="18"/>
          <w:szCs w:val="18"/>
        </w:rPr>
      </w:pPr>
      <w:r>
        <w:rPr>
          <w:sz w:val="18"/>
          <w:szCs w:val="18"/>
        </w:rPr>
        <w:t>10.8.2.1;</w:t>
      </w:r>
    </w:p>
    <w:p w:rsidR="00A87743" w:rsidRDefault="00A87743" w:rsidP="00A87743">
      <w:pPr>
        <w:pStyle w:val="Lijstalinea"/>
        <w:numPr>
          <w:ilvl w:val="1"/>
          <w:numId w:val="5"/>
        </w:numPr>
        <w:spacing w:after="200" w:line="240" w:lineRule="auto"/>
        <w:rPr>
          <w:sz w:val="18"/>
          <w:szCs w:val="18"/>
        </w:rPr>
      </w:pPr>
      <w:r>
        <w:rPr>
          <w:sz w:val="18"/>
          <w:szCs w:val="18"/>
        </w:rPr>
        <w:t>10.10.1.1;</w:t>
      </w:r>
    </w:p>
    <w:p w:rsidR="00A87743" w:rsidRDefault="00A87743" w:rsidP="00A87743">
      <w:pPr>
        <w:pStyle w:val="Lijstalinea"/>
        <w:numPr>
          <w:ilvl w:val="1"/>
          <w:numId w:val="5"/>
        </w:numPr>
        <w:spacing w:after="200" w:line="240" w:lineRule="auto"/>
        <w:rPr>
          <w:sz w:val="18"/>
          <w:szCs w:val="18"/>
        </w:rPr>
      </w:pPr>
      <w:r>
        <w:rPr>
          <w:sz w:val="18"/>
          <w:szCs w:val="18"/>
        </w:rPr>
        <w:t>10.10.1.2;</w:t>
      </w:r>
    </w:p>
    <w:p w:rsidR="00A87743" w:rsidRDefault="00A87743" w:rsidP="00A87743">
      <w:pPr>
        <w:pStyle w:val="Lijstalinea"/>
        <w:numPr>
          <w:ilvl w:val="1"/>
          <w:numId w:val="5"/>
        </w:numPr>
        <w:spacing w:after="200" w:line="240" w:lineRule="auto"/>
        <w:rPr>
          <w:sz w:val="18"/>
          <w:szCs w:val="18"/>
        </w:rPr>
      </w:pPr>
      <w:r>
        <w:rPr>
          <w:sz w:val="18"/>
          <w:szCs w:val="18"/>
        </w:rPr>
        <w:t>11.2.1.3;</w:t>
      </w:r>
    </w:p>
    <w:p w:rsidR="00A87743" w:rsidRDefault="00A87743" w:rsidP="00A87743">
      <w:pPr>
        <w:pStyle w:val="Lijstalinea"/>
        <w:numPr>
          <w:ilvl w:val="1"/>
          <w:numId w:val="5"/>
        </w:numPr>
        <w:spacing w:after="200" w:line="240" w:lineRule="auto"/>
        <w:rPr>
          <w:sz w:val="18"/>
          <w:szCs w:val="18"/>
        </w:rPr>
      </w:pPr>
      <w:r>
        <w:rPr>
          <w:sz w:val="18"/>
          <w:szCs w:val="18"/>
        </w:rPr>
        <w:t>11.2.2.1;</w:t>
      </w:r>
    </w:p>
    <w:p w:rsidR="00A87743" w:rsidRDefault="00A87743" w:rsidP="00A87743">
      <w:pPr>
        <w:pStyle w:val="Lijstalinea"/>
        <w:numPr>
          <w:ilvl w:val="1"/>
          <w:numId w:val="5"/>
        </w:numPr>
        <w:spacing w:after="200" w:line="240" w:lineRule="auto"/>
        <w:rPr>
          <w:sz w:val="18"/>
          <w:szCs w:val="18"/>
        </w:rPr>
      </w:pPr>
      <w:r>
        <w:rPr>
          <w:sz w:val="18"/>
          <w:szCs w:val="18"/>
        </w:rPr>
        <w:t>11.2.2.3;</w:t>
      </w:r>
    </w:p>
    <w:p w:rsidR="00A87743" w:rsidRDefault="00A87743" w:rsidP="00A87743">
      <w:pPr>
        <w:pStyle w:val="Lijstalinea"/>
        <w:numPr>
          <w:ilvl w:val="1"/>
          <w:numId w:val="5"/>
        </w:numPr>
        <w:spacing w:after="200" w:line="240" w:lineRule="auto"/>
        <w:rPr>
          <w:sz w:val="18"/>
          <w:szCs w:val="18"/>
        </w:rPr>
      </w:pPr>
      <w:r>
        <w:rPr>
          <w:sz w:val="18"/>
          <w:szCs w:val="18"/>
        </w:rPr>
        <w:t>11.6.1.1;</w:t>
      </w:r>
    </w:p>
    <w:p w:rsidR="00A87743" w:rsidRDefault="00A87743" w:rsidP="00A87743">
      <w:pPr>
        <w:pStyle w:val="Lijstalinea"/>
        <w:numPr>
          <w:ilvl w:val="1"/>
          <w:numId w:val="5"/>
        </w:numPr>
        <w:spacing w:after="200" w:line="240" w:lineRule="auto"/>
        <w:rPr>
          <w:sz w:val="18"/>
          <w:szCs w:val="18"/>
        </w:rPr>
      </w:pPr>
      <w:r>
        <w:rPr>
          <w:sz w:val="18"/>
          <w:szCs w:val="18"/>
        </w:rPr>
        <w:t>12.2.1.1;</w:t>
      </w:r>
    </w:p>
    <w:p w:rsidR="00A87743" w:rsidRDefault="00A87743" w:rsidP="00A87743">
      <w:pPr>
        <w:pStyle w:val="Lijstalinea"/>
        <w:numPr>
          <w:ilvl w:val="1"/>
          <w:numId w:val="5"/>
        </w:numPr>
        <w:spacing w:after="200" w:line="240" w:lineRule="auto"/>
        <w:rPr>
          <w:sz w:val="18"/>
          <w:szCs w:val="18"/>
        </w:rPr>
      </w:pPr>
      <w:r>
        <w:rPr>
          <w:sz w:val="18"/>
          <w:szCs w:val="18"/>
        </w:rPr>
        <w:t>12.2.2.2;</w:t>
      </w:r>
    </w:p>
    <w:p w:rsidR="00A87743" w:rsidRDefault="00A87743" w:rsidP="00A87743">
      <w:pPr>
        <w:pStyle w:val="Lijstalinea"/>
        <w:numPr>
          <w:ilvl w:val="1"/>
          <w:numId w:val="5"/>
        </w:numPr>
        <w:spacing w:after="200" w:line="240" w:lineRule="auto"/>
        <w:rPr>
          <w:sz w:val="18"/>
          <w:szCs w:val="18"/>
        </w:rPr>
      </w:pPr>
      <w:r>
        <w:rPr>
          <w:sz w:val="18"/>
          <w:szCs w:val="18"/>
        </w:rPr>
        <w:t>12.2.2.4;</w:t>
      </w:r>
    </w:p>
    <w:p w:rsidR="00A87743" w:rsidRDefault="00A87743" w:rsidP="00A87743">
      <w:pPr>
        <w:pStyle w:val="Lijstalinea"/>
        <w:numPr>
          <w:ilvl w:val="1"/>
          <w:numId w:val="5"/>
        </w:numPr>
        <w:spacing w:after="200" w:line="240" w:lineRule="auto"/>
        <w:rPr>
          <w:sz w:val="18"/>
          <w:szCs w:val="18"/>
        </w:rPr>
      </w:pPr>
      <w:r>
        <w:rPr>
          <w:sz w:val="18"/>
          <w:szCs w:val="18"/>
        </w:rPr>
        <w:t>12.2.4.3.</w:t>
      </w:r>
    </w:p>
    <w:p w:rsidR="00A87743" w:rsidRDefault="00A87743" w:rsidP="00A87743">
      <w:pPr>
        <w:pStyle w:val="Lijstalinea"/>
        <w:numPr>
          <w:ilvl w:val="0"/>
          <w:numId w:val="5"/>
        </w:numPr>
        <w:spacing w:after="200" w:line="240" w:lineRule="auto"/>
        <w:rPr>
          <w:sz w:val="18"/>
          <w:szCs w:val="18"/>
        </w:rPr>
      </w:pPr>
      <w:r>
        <w:rPr>
          <w:sz w:val="18"/>
          <w:szCs w:val="18"/>
        </w:rPr>
        <w:t xml:space="preserve">De Opdrachtnemer geeft bij de aanbieding van de offerte inzicht in de handelswijze (procedures) in het geval van een </w:t>
      </w:r>
      <w:proofErr w:type="spellStart"/>
      <w:r w:rsidRPr="002D2325">
        <w:rPr>
          <w:i/>
          <w:sz w:val="18"/>
          <w:szCs w:val="18"/>
        </w:rPr>
        <w:t>security</w:t>
      </w:r>
      <w:proofErr w:type="spellEnd"/>
      <w:r w:rsidRPr="002D2325">
        <w:rPr>
          <w:i/>
          <w:sz w:val="18"/>
          <w:szCs w:val="18"/>
        </w:rPr>
        <w:t xml:space="preserve"> </w:t>
      </w:r>
      <w:proofErr w:type="spellStart"/>
      <w:r w:rsidRPr="002D2325">
        <w:rPr>
          <w:i/>
          <w:sz w:val="18"/>
          <w:szCs w:val="18"/>
        </w:rPr>
        <w:t>breach</w:t>
      </w:r>
      <w:proofErr w:type="spellEnd"/>
      <w:r>
        <w:rPr>
          <w:sz w:val="18"/>
          <w:szCs w:val="18"/>
        </w:rPr>
        <w:t>, datalek of beperking van de beschikbaarheid;</w:t>
      </w:r>
    </w:p>
    <w:p w:rsidR="00A87743" w:rsidRDefault="00A87743" w:rsidP="00A87743">
      <w:pPr>
        <w:pStyle w:val="Lijstalinea"/>
        <w:numPr>
          <w:ilvl w:val="0"/>
          <w:numId w:val="5"/>
        </w:numPr>
        <w:spacing w:after="200" w:line="240" w:lineRule="auto"/>
        <w:rPr>
          <w:sz w:val="18"/>
          <w:szCs w:val="18"/>
        </w:rPr>
      </w:pPr>
      <w:r>
        <w:rPr>
          <w:sz w:val="18"/>
          <w:szCs w:val="18"/>
        </w:rPr>
        <w:t xml:space="preserve">De Opdrachtnemer sluit met Opdrachtgever een aparte </w:t>
      </w:r>
      <w:proofErr w:type="spellStart"/>
      <w:r>
        <w:rPr>
          <w:sz w:val="18"/>
          <w:szCs w:val="18"/>
        </w:rPr>
        <w:t>bewerkersovereenkomst</w:t>
      </w:r>
      <w:proofErr w:type="spellEnd"/>
      <w:r>
        <w:rPr>
          <w:sz w:val="18"/>
          <w:szCs w:val="18"/>
        </w:rPr>
        <w:t xml:space="preserve"> af waarin nadere afspraken zijn opgenomen over openheid, communicatielijnen en termijnen waarop communicatie plaatsvindt wanneer zich gevallen van een </w:t>
      </w:r>
      <w:proofErr w:type="spellStart"/>
      <w:r>
        <w:rPr>
          <w:i/>
          <w:sz w:val="18"/>
          <w:szCs w:val="18"/>
        </w:rPr>
        <w:t>security</w:t>
      </w:r>
      <w:proofErr w:type="spellEnd"/>
      <w:r>
        <w:rPr>
          <w:i/>
          <w:sz w:val="18"/>
          <w:szCs w:val="18"/>
        </w:rPr>
        <w:t xml:space="preserve"> </w:t>
      </w:r>
      <w:proofErr w:type="spellStart"/>
      <w:r>
        <w:rPr>
          <w:i/>
          <w:sz w:val="18"/>
          <w:szCs w:val="18"/>
        </w:rPr>
        <w:t>breach</w:t>
      </w:r>
      <w:proofErr w:type="spellEnd"/>
      <w:r>
        <w:rPr>
          <w:sz w:val="18"/>
          <w:szCs w:val="18"/>
        </w:rPr>
        <w:t>, datalek of beperking van de beschikbaarheid van de applicatie voordoen;</w:t>
      </w:r>
    </w:p>
    <w:p w:rsidR="00A87743" w:rsidRDefault="00A87743" w:rsidP="00A87743">
      <w:pPr>
        <w:pStyle w:val="Lijstalinea"/>
        <w:numPr>
          <w:ilvl w:val="0"/>
          <w:numId w:val="5"/>
        </w:numPr>
        <w:spacing w:after="200" w:line="240" w:lineRule="auto"/>
        <w:rPr>
          <w:sz w:val="18"/>
          <w:szCs w:val="18"/>
        </w:rPr>
      </w:pPr>
      <w:r>
        <w:rPr>
          <w:sz w:val="18"/>
          <w:szCs w:val="18"/>
        </w:rPr>
        <w:t xml:space="preserve">De Opdrachtnemer staat, door Opdrachtgever bij derden in opdracht gegeven pentesten, </w:t>
      </w:r>
      <w:proofErr w:type="spellStart"/>
      <w:r>
        <w:rPr>
          <w:sz w:val="18"/>
          <w:szCs w:val="18"/>
        </w:rPr>
        <w:t>security</w:t>
      </w:r>
      <w:proofErr w:type="spellEnd"/>
      <w:r>
        <w:rPr>
          <w:sz w:val="18"/>
          <w:szCs w:val="18"/>
        </w:rPr>
        <w:t xml:space="preserve">- en </w:t>
      </w:r>
      <w:proofErr w:type="spellStart"/>
      <w:r>
        <w:rPr>
          <w:sz w:val="18"/>
          <w:szCs w:val="18"/>
        </w:rPr>
        <w:t>privacyaudits</w:t>
      </w:r>
      <w:proofErr w:type="spellEnd"/>
      <w:r>
        <w:rPr>
          <w:sz w:val="18"/>
          <w:szCs w:val="18"/>
        </w:rPr>
        <w:t xml:space="preserve"> toe;</w:t>
      </w:r>
    </w:p>
    <w:p w:rsidR="00583818" w:rsidRDefault="00A87743" w:rsidP="0042438E">
      <w:pPr>
        <w:pStyle w:val="Lijstalinea"/>
        <w:numPr>
          <w:ilvl w:val="0"/>
          <w:numId w:val="5"/>
        </w:numPr>
        <w:spacing w:after="200" w:line="240" w:lineRule="auto"/>
        <w:rPr>
          <w:sz w:val="18"/>
          <w:szCs w:val="18"/>
        </w:rPr>
      </w:pPr>
      <w:r w:rsidRPr="00A87743">
        <w:rPr>
          <w:sz w:val="18"/>
          <w:szCs w:val="18"/>
        </w:rPr>
        <w:t xml:space="preserve">Configuratiewijzigingen van informatiebeveiligingsmaatregelen, zoals web </w:t>
      </w:r>
      <w:proofErr w:type="spellStart"/>
      <w:r w:rsidRPr="00A87743">
        <w:rPr>
          <w:sz w:val="18"/>
          <w:szCs w:val="18"/>
        </w:rPr>
        <w:t>application</w:t>
      </w:r>
      <w:proofErr w:type="spellEnd"/>
      <w:r w:rsidRPr="00A87743">
        <w:rPr>
          <w:sz w:val="18"/>
          <w:szCs w:val="18"/>
        </w:rPr>
        <w:t xml:space="preserve"> </w:t>
      </w:r>
      <w:proofErr w:type="spellStart"/>
      <w:r w:rsidRPr="00A87743">
        <w:rPr>
          <w:sz w:val="18"/>
          <w:szCs w:val="18"/>
        </w:rPr>
        <w:t>firewalls</w:t>
      </w:r>
      <w:proofErr w:type="spellEnd"/>
      <w:r w:rsidRPr="00A87743">
        <w:rPr>
          <w:sz w:val="18"/>
          <w:szCs w:val="18"/>
        </w:rPr>
        <w:t xml:space="preserve">, </w:t>
      </w:r>
      <w:proofErr w:type="spellStart"/>
      <w:r w:rsidRPr="00A87743">
        <w:rPr>
          <w:sz w:val="18"/>
          <w:szCs w:val="18"/>
        </w:rPr>
        <w:t>vulnerability</w:t>
      </w:r>
      <w:proofErr w:type="spellEnd"/>
      <w:r w:rsidRPr="00A87743">
        <w:rPr>
          <w:sz w:val="18"/>
          <w:szCs w:val="18"/>
        </w:rPr>
        <w:t xml:space="preserve"> scanners, worden vooraf met Opdrachtgever afgestemd.</w:t>
      </w:r>
    </w:p>
    <w:p w:rsidR="00A87743" w:rsidRPr="00A87743" w:rsidRDefault="00A87743" w:rsidP="00A87743">
      <w:pPr>
        <w:pStyle w:val="Lijstalinea"/>
        <w:spacing w:after="200" w:line="240" w:lineRule="auto"/>
        <w:rPr>
          <w:sz w:val="18"/>
          <w:szCs w:val="18"/>
        </w:rPr>
      </w:pPr>
    </w:p>
    <w:p w:rsidR="00583818" w:rsidRDefault="00583818" w:rsidP="00583818">
      <w:pPr>
        <w:pStyle w:val="Lijstalinea"/>
        <w:numPr>
          <w:ilvl w:val="0"/>
          <w:numId w:val="2"/>
        </w:numPr>
        <w:rPr>
          <w:sz w:val="18"/>
          <w:szCs w:val="18"/>
        </w:rPr>
      </w:pPr>
      <w:r w:rsidRPr="00583818">
        <w:rPr>
          <w:sz w:val="18"/>
          <w:szCs w:val="18"/>
        </w:rPr>
        <w:t xml:space="preserve">verklaart volledig en onvoorwaardelijk te voldoen aan al de </w:t>
      </w:r>
      <w:r>
        <w:rPr>
          <w:sz w:val="18"/>
          <w:szCs w:val="18"/>
        </w:rPr>
        <w:t xml:space="preserve">overige </w:t>
      </w:r>
      <w:r w:rsidRPr="00583818">
        <w:rPr>
          <w:sz w:val="18"/>
          <w:szCs w:val="18"/>
        </w:rPr>
        <w:t>in de opdrachtbeschrijving gestelde voorwaarden en eisen, zoals opgenomen in het Beschrijvend Document en de daarbij behorende Bijlagen.</w:t>
      </w:r>
    </w:p>
    <w:p w:rsidR="004E745D" w:rsidRDefault="004E745D" w:rsidP="004E745D">
      <w:pPr>
        <w:pStyle w:val="Lijstalinea"/>
        <w:rPr>
          <w:sz w:val="18"/>
          <w:szCs w:val="18"/>
        </w:rPr>
      </w:pPr>
    </w:p>
    <w:tbl>
      <w:tblPr>
        <w:tblStyle w:val="Tabelraster"/>
        <w:tblW w:w="0" w:type="auto"/>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0378"/>
      </w:tblGrid>
      <w:tr w:rsidR="004E745D" w:rsidTr="004E745D">
        <w:trPr>
          <w:trHeight w:val="773"/>
        </w:trPr>
        <w:tc>
          <w:tcPr>
            <w:tcW w:w="10378" w:type="dxa"/>
          </w:tcPr>
          <w:p w:rsidR="004E745D" w:rsidRDefault="004E745D" w:rsidP="004E745D">
            <w:pPr>
              <w:rPr>
                <w:sz w:val="18"/>
                <w:szCs w:val="18"/>
              </w:rPr>
            </w:pPr>
          </w:p>
          <w:p w:rsidR="004E745D" w:rsidRDefault="004E745D" w:rsidP="004E745D">
            <w:pPr>
              <w:rPr>
                <w:sz w:val="18"/>
                <w:szCs w:val="18"/>
              </w:rPr>
            </w:pPr>
            <w:r>
              <w:rPr>
                <w:sz w:val="18"/>
                <w:szCs w:val="18"/>
              </w:rPr>
              <w:t>Indien een Inschrijver niet voldoet aan de opdrachtbeschrijving of een Eis wordt de Inschrijver uitgesloten en wordt de Inschrijving ter zijde gelegd. Het gestelde in de Inschrijving mag niet conflicteren met de opdrachtbeschrijving of de gestelde Eisen. Bij constatering van een dergelijke tegenspraak, wordt de Inschrijving terzijde gelegd.</w:t>
            </w:r>
          </w:p>
          <w:p w:rsidR="004E745D" w:rsidRDefault="004E745D" w:rsidP="0042438E">
            <w:pPr>
              <w:rPr>
                <w:sz w:val="18"/>
                <w:szCs w:val="18"/>
              </w:rPr>
            </w:pPr>
          </w:p>
        </w:tc>
      </w:tr>
    </w:tbl>
    <w:p w:rsidR="00583818" w:rsidRDefault="00583818" w:rsidP="0042438E">
      <w:pPr>
        <w:rPr>
          <w:sz w:val="18"/>
          <w:szCs w:val="18"/>
        </w:rPr>
      </w:pPr>
    </w:p>
    <w:p w:rsidR="005C7363" w:rsidRDefault="004E745D" w:rsidP="0042438E">
      <w:pPr>
        <w:rPr>
          <w:sz w:val="18"/>
          <w:szCs w:val="18"/>
        </w:rPr>
      </w:pPr>
      <w:r>
        <w:rPr>
          <w:b/>
          <w:sz w:val="18"/>
          <w:szCs w:val="18"/>
        </w:rPr>
        <w:t xml:space="preserve">II. </w:t>
      </w:r>
      <w:r w:rsidR="005C7363">
        <w:rPr>
          <w:b/>
          <w:sz w:val="18"/>
          <w:szCs w:val="18"/>
        </w:rPr>
        <w:t>Ondertekening</w:t>
      </w:r>
    </w:p>
    <w:p w:rsidR="005C7363" w:rsidRDefault="005C7363" w:rsidP="0042438E">
      <w:pPr>
        <w:rPr>
          <w:sz w:val="18"/>
          <w:szCs w:val="18"/>
        </w:rPr>
      </w:pPr>
    </w:p>
    <w:tbl>
      <w:tblPr>
        <w:tblStyle w:val="Tabelraster"/>
        <w:tblW w:w="0" w:type="auto"/>
        <w:tblLook w:val="04A0"/>
      </w:tblPr>
      <w:tblGrid>
        <w:gridCol w:w="3794"/>
        <w:gridCol w:w="6804"/>
      </w:tblGrid>
      <w:tr w:rsidR="005C7363" w:rsidRPr="006B4A05" w:rsidTr="005D778F">
        <w:trPr>
          <w:trHeight w:val="513"/>
        </w:trPr>
        <w:tc>
          <w:tcPr>
            <w:tcW w:w="3794" w:type="dxa"/>
          </w:tcPr>
          <w:p w:rsidR="005C7363" w:rsidRPr="006B4A05" w:rsidRDefault="005C7363" w:rsidP="00A4082E">
            <w:pPr>
              <w:rPr>
                <w:sz w:val="18"/>
                <w:szCs w:val="18"/>
              </w:rPr>
            </w:pPr>
            <w:r w:rsidRPr="006B4A05">
              <w:rPr>
                <w:sz w:val="18"/>
                <w:szCs w:val="18"/>
              </w:rPr>
              <w:t>Naam organisatie</w:t>
            </w:r>
          </w:p>
        </w:tc>
        <w:tc>
          <w:tcPr>
            <w:tcW w:w="6804" w:type="dxa"/>
          </w:tcPr>
          <w:p w:rsidR="005C7363" w:rsidRPr="006B4A05" w:rsidRDefault="00416A2D"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rsidTr="005D778F">
        <w:trPr>
          <w:trHeight w:val="513"/>
        </w:trPr>
        <w:tc>
          <w:tcPr>
            <w:tcW w:w="3794" w:type="dxa"/>
          </w:tcPr>
          <w:p w:rsidR="005C7363" w:rsidRPr="006B4A05" w:rsidRDefault="005C7363" w:rsidP="00A4082E">
            <w:pPr>
              <w:rPr>
                <w:sz w:val="18"/>
                <w:szCs w:val="18"/>
              </w:rPr>
            </w:pPr>
            <w:r w:rsidRPr="006B4A05">
              <w:rPr>
                <w:sz w:val="18"/>
                <w:szCs w:val="18"/>
              </w:rPr>
              <w:t>Naam ondertekeningbevoegd persoon</w:t>
            </w:r>
          </w:p>
        </w:tc>
        <w:tc>
          <w:tcPr>
            <w:tcW w:w="6804" w:type="dxa"/>
          </w:tcPr>
          <w:p w:rsidR="005C7363" w:rsidRPr="006B4A05" w:rsidRDefault="00416A2D"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rsidTr="005D778F">
        <w:tc>
          <w:tcPr>
            <w:tcW w:w="3794" w:type="dxa"/>
          </w:tcPr>
          <w:p w:rsidR="005C7363" w:rsidRPr="006B4A05" w:rsidRDefault="005C7363" w:rsidP="00A4082E">
            <w:pPr>
              <w:rPr>
                <w:sz w:val="18"/>
                <w:szCs w:val="18"/>
              </w:rPr>
            </w:pPr>
            <w:r w:rsidRPr="006B4A05">
              <w:rPr>
                <w:sz w:val="18"/>
                <w:szCs w:val="18"/>
              </w:rPr>
              <w:t>Datum</w:t>
            </w:r>
          </w:p>
        </w:tc>
        <w:tc>
          <w:tcPr>
            <w:tcW w:w="6804" w:type="dxa"/>
          </w:tcPr>
          <w:p w:rsidR="005C7363" w:rsidRPr="006B4A05" w:rsidRDefault="00416A2D"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r w:rsidR="005C7363" w:rsidRPr="006B4A05" w:rsidTr="005D778F">
        <w:trPr>
          <w:trHeight w:val="775"/>
        </w:trPr>
        <w:tc>
          <w:tcPr>
            <w:tcW w:w="3794" w:type="dxa"/>
          </w:tcPr>
          <w:p w:rsidR="005C7363" w:rsidRPr="006B4A05" w:rsidRDefault="005C7363" w:rsidP="00A4082E">
            <w:pPr>
              <w:rPr>
                <w:sz w:val="18"/>
                <w:szCs w:val="18"/>
              </w:rPr>
            </w:pPr>
            <w:r w:rsidRPr="006B4A05">
              <w:rPr>
                <w:sz w:val="18"/>
                <w:szCs w:val="18"/>
              </w:rPr>
              <w:t>Handtekening</w:t>
            </w:r>
          </w:p>
        </w:tc>
        <w:tc>
          <w:tcPr>
            <w:tcW w:w="6804" w:type="dxa"/>
          </w:tcPr>
          <w:p w:rsidR="005C7363" w:rsidRPr="006B4A05" w:rsidRDefault="00416A2D" w:rsidP="00A4082E">
            <w:pPr>
              <w:rPr>
                <w:sz w:val="18"/>
                <w:szCs w:val="18"/>
              </w:rPr>
            </w:pPr>
            <w:r w:rsidRPr="006B4A05">
              <w:rPr>
                <w:bCs/>
                <w:sz w:val="18"/>
                <w:szCs w:val="18"/>
              </w:rPr>
              <w:fldChar w:fldCharType="begin">
                <w:ffData>
                  <w:name w:val="Text13"/>
                  <w:enabled/>
                  <w:calcOnExit w:val="0"/>
                  <w:textInput/>
                </w:ffData>
              </w:fldChar>
            </w:r>
            <w:r w:rsidR="005C7363" w:rsidRPr="006B4A05">
              <w:rPr>
                <w:bCs/>
                <w:sz w:val="18"/>
                <w:szCs w:val="18"/>
              </w:rPr>
              <w:instrText xml:space="preserve"> FORMTEXT </w:instrText>
            </w:r>
            <w:r w:rsidRPr="006B4A05">
              <w:rPr>
                <w:bCs/>
                <w:sz w:val="18"/>
                <w:szCs w:val="18"/>
              </w:rPr>
            </w:r>
            <w:r w:rsidRPr="006B4A05">
              <w:rPr>
                <w:bCs/>
                <w:sz w:val="18"/>
                <w:szCs w:val="18"/>
              </w:rPr>
              <w:fldChar w:fldCharType="separate"/>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005C7363" w:rsidRPr="006B4A05">
              <w:rPr>
                <w:bCs/>
                <w:noProof/>
                <w:sz w:val="18"/>
                <w:szCs w:val="18"/>
              </w:rPr>
              <w:t> </w:t>
            </w:r>
            <w:r w:rsidRPr="006B4A05">
              <w:rPr>
                <w:bCs/>
                <w:sz w:val="18"/>
                <w:szCs w:val="18"/>
              </w:rPr>
              <w:fldChar w:fldCharType="end"/>
            </w:r>
          </w:p>
        </w:tc>
      </w:tr>
    </w:tbl>
    <w:p w:rsidR="005C7363" w:rsidRPr="005C7363" w:rsidRDefault="005C7363" w:rsidP="005A2A55">
      <w:pPr>
        <w:rPr>
          <w:sz w:val="18"/>
          <w:szCs w:val="18"/>
        </w:rPr>
      </w:pPr>
    </w:p>
    <w:sectPr w:rsidR="005C7363" w:rsidRPr="005C7363" w:rsidSect="00263047">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C1B" w:rsidRDefault="00465C1B" w:rsidP="00E47289">
      <w:pPr>
        <w:spacing w:line="240" w:lineRule="auto"/>
      </w:pPr>
      <w:r>
        <w:separator/>
      </w:r>
    </w:p>
  </w:endnote>
  <w:endnote w:type="continuationSeparator" w:id="0">
    <w:p w:rsidR="00465C1B" w:rsidRDefault="00465C1B" w:rsidP="00E472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B2" w:rsidRDefault="004B0BB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C37" w:rsidRPr="005C7363" w:rsidRDefault="00416A2D"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A87743">
      <w:rPr>
        <w:rStyle w:val="Paginanummer"/>
        <w:noProof/>
        <w:sz w:val="14"/>
        <w:szCs w:val="14"/>
      </w:rPr>
      <w:t>2</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A87743">
      <w:rPr>
        <w:rStyle w:val="Paginanummer"/>
        <w:noProof/>
        <w:sz w:val="14"/>
        <w:szCs w:val="14"/>
      </w:rPr>
      <w:t>3</w:t>
    </w:r>
    <w:r w:rsidRPr="005C7363">
      <w:rPr>
        <w:rStyle w:val="Paginanummer"/>
        <w:sz w:val="14"/>
        <w:szCs w:val="1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C37" w:rsidRPr="005C7363" w:rsidRDefault="00416A2D" w:rsidP="00263047">
    <w:pPr>
      <w:pStyle w:val="Voettekst"/>
      <w:jc w:val="center"/>
      <w:rPr>
        <w:sz w:val="14"/>
        <w:szCs w:val="14"/>
      </w:rPr>
    </w:pPr>
    <w:r w:rsidRPr="005C7363">
      <w:rPr>
        <w:rStyle w:val="Paginanummer"/>
        <w:sz w:val="14"/>
        <w:szCs w:val="14"/>
      </w:rPr>
      <w:fldChar w:fldCharType="begin"/>
    </w:r>
    <w:r w:rsidR="00CD0C37" w:rsidRPr="005C7363">
      <w:rPr>
        <w:rStyle w:val="Paginanummer"/>
        <w:sz w:val="14"/>
        <w:szCs w:val="14"/>
      </w:rPr>
      <w:instrText xml:space="preserve"> PAGE </w:instrText>
    </w:r>
    <w:r w:rsidRPr="005C7363">
      <w:rPr>
        <w:rStyle w:val="Paginanummer"/>
        <w:sz w:val="14"/>
        <w:szCs w:val="14"/>
      </w:rPr>
      <w:fldChar w:fldCharType="separate"/>
    </w:r>
    <w:r w:rsidR="00A87743">
      <w:rPr>
        <w:rStyle w:val="Paginanummer"/>
        <w:noProof/>
        <w:sz w:val="14"/>
        <w:szCs w:val="14"/>
      </w:rPr>
      <w:t>1</w:t>
    </w:r>
    <w:r w:rsidRPr="005C7363">
      <w:rPr>
        <w:rStyle w:val="Paginanummer"/>
        <w:sz w:val="14"/>
        <w:szCs w:val="14"/>
      </w:rPr>
      <w:fldChar w:fldCharType="end"/>
    </w:r>
    <w:r w:rsidR="00CD0C37" w:rsidRPr="005C7363">
      <w:rPr>
        <w:rStyle w:val="Paginanummer"/>
        <w:sz w:val="14"/>
        <w:szCs w:val="14"/>
      </w:rPr>
      <w:t xml:space="preserve"> van </w:t>
    </w:r>
    <w:r w:rsidRPr="005C7363">
      <w:rPr>
        <w:rStyle w:val="Paginanummer"/>
        <w:sz w:val="14"/>
        <w:szCs w:val="14"/>
      </w:rPr>
      <w:fldChar w:fldCharType="begin"/>
    </w:r>
    <w:r w:rsidR="00CD0C37" w:rsidRPr="005C7363">
      <w:rPr>
        <w:rStyle w:val="Paginanummer"/>
        <w:sz w:val="14"/>
        <w:szCs w:val="14"/>
      </w:rPr>
      <w:instrText xml:space="preserve"> NUMPAGES </w:instrText>
    </w:r>
    <w:r w:rsidRPr="005C7363">
      <w:rPr>
        <w:rStyle w:val="Paginanummer"/>
        <w:sz w:val="14"/>
        <w:szCs w:val="14"/>
      </w:rPr>
      <w:fldChar w:fldCharType="separate"/>
    </w:r>
    <w:r w:rsidR="00A87743">
      <w:rPr>
        <w:rStyle w:val="Paginanummer"/>
        <w:noProof/>
        <w:sz w:val="14"/>
        <w:szCs w:val="14"/>
      </w:rPr>
      <w:t>3</w:t>
    </w:r>
    <w:r w:rsidRPr="005C7363">
      <w:rPr>
        <w:rStyle w:val="Paginanumme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C1B" w:rsidRDefault="00465C1B" w:rsidP="00E47289">
      <w:pPr>
        <w:spacing w:line="240" w:lineRule="auto"/>
      </w:pPr>
      <w:r>
        <w:separator/>
      </w:r>
    </w:p>
  </w:footnote>
  <w:footnote w:type="continuationSeparator" w:id="0">
    <w:p w:rsidR="00465C1B" w:rsidRDefault="00465C1B" w:rsidP="00E472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B2" w:rsidRDefault="004B0BB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BB2" w:rsidRDefault="004B0BB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C37" w:rsidRDefault="00416A2D">
    <w:pPr>
      <w:pStyle w:val="Koptekst"/>
    </w:pPr>
    <w:r>
      <w:rPr>
        <w:noProof/>
        <w:lang w:eastAsia="nl-NL"/>
      </w:rPr>
      <w:pict>
        <v:group id="_x0000_s2049" editas="canvas" style="position:absolute;margin-left:-28.35pt;margin-top:13.5pt;width:595.3pt;height:416.55pt;z-index:251657728" coordsize="11906,833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width:11906;height:8331" o:preferrelative="f" filled="t" fillcolor="#e36c0a">
            <v:fill o:detectmouseclick="t"/>
            <v:path o:extrusionok="t" o:connecttype="none"/>
            <o:lock v:ext="edit" text="t"/>
          </v:shape>
          <v:shapetype id="_x0000_t202" coordsize="21600,21600" o:spt="202" path="m,l,21600r21600,l21600,xe">
            <v:stroke joinstyle="miter"/>
            <v:path gradientshapeok="t" o:connecttype="rect"/>
          </v:shapetype>
          <v:shape id="_x0000_s2052" type="#_x0000_t202" style="position:absolute;left:6496;top:3661;width:3887;height:3685" filled="f" stroked="f" strokecolor="#09f">
            <v:textbox style="mso-next-textbox:#_x0000_s2052" inset="0,0,0,0">
              <w:txbxContent>
                <w:p w:rsidR="00650BBD" w:rsidRDefault="00CD0C37" w:rsidP="00E47289">
                  <w:pPr>
                    <w:rPr>
                      <w:b/>
                      <w:color w:val="FFFFFF"/>
                      <w:sz w:val="28"/>
                      <w:szCs w:val="28"/>
                    </w:rPr>
                  </w:pPr>
                  <w:r>
                    <w:rPr>
                      <w:b/>
                      <w:color w:val="FFFFFF"/>
                      <w:sz w:val="28"/>
                      <w:szCs w:val="28"/>
                    </w:rPr>
                    <w:t>Inkoop</w:t>
                  </w:r>
                  <w:r w:rsidR="00650BBD">
                    <w:rPr>
                      <w:b/>
                      <w:color w:val="FFFFFF"/>
                      <w:sz w:val="28"/>
                      <w:szCs w:val="28"/>
                    </w:rPr>
                    <w:t xml:space="preserve"> </w:t>
                  </w:r>
                </w:p>
                <w:p w:rsidR="00CD0C37" w:rsidRPr="00650BBD" w:rsidRDefault="00650BBD" w:rsidP="00E47289">
                  <w:pPr>
                    <w:rPr>
                      <w:b/>
                      <w:color w:val="FFFFFF"/>
                      <w:sz w:val="28"/>
                      <w:szCs w:val="28"/>
                    </w:rPr>
                  </w:pPr>
                  <w:r>
                    <w:rPr>
                      <w:sz w:val="28"/>
                      <w:szCs w:val="28"/>
                    </w:rPr>
                    <w:t xml:space="preserve">Programma van eisen </w:t>
                  </w:r>
                  <w:r w:rsidR="00CD0C37">
                    <w:rPr>
                      <w:sz w:val="28"/>
                      <w:szCs w:val="28"/>
                    </w:rPr>
                    <w:t>en Akkoordverklaring</w:t>
                  </w:r>
                </w:p>
                <w:p w:rsidR="00CD0C37" w:rsidRDefault="00CD0C37" w:rsidP="00E47289">
                  <w:pPr>
                    <w:rPr>
                      <w:sz w:val="16"/>
                      <w:szCs w:val="16"/>
                    </w:rPr>
                  </w:pPr>
                </w:p>
                <w:p w:rsidR="00CD0C37" w:rsidRDefault="00CD0C37" w:rsidP="00406201">
                  <w:pPr>
                    <w:rPr>
                      <w:sz w:val="15"/>
                      <w:szCs w:val="15"/>
                    </w:rPr>
                  </w:pPr>
                  <w:r>
                    <w:rPr>
                      <w:sz w:val="15"/>
                      <w:szCs w:val="15"/>
                    </w:rPr>
                    <w:t>UBR|HIS</w:t>
                  </w:r>
                </w:p>
                <w:p w:rsidR="00CD0C37" w:rsidRDefault="00CD0C37" w:rsidP="00406201">
                  <w:pPr>
                    <w:rPr>
                      <w:sz w:val="15"/>
                      <w:szCs w:val="15"/>
                    </w:rPr>
                  </w:pPr>
                </w:p>
                <w:p w:rsidR="00CD0C37" w:rsidRDefault="00CD0C37" w:rsidP="00406201">
                  <w:pPr>
                    <w:rPr>
                      <w:sz w:val="15"/>
                      <w:szCs w:val="15"/>
                    </w:rPr>
                  </w:pPr>
                  <w:r>
                    <w:rPr>
                      <w:b/>
                      <w:sz w:val="15"/>
                      <w:szCs w:val="15"/>
                    </w:rPr>
                    <w:t>Bezoekadres</w:t>
                  </w:r>
                </w:p>
                <w:p w:rsidR="00CD0C37" w:rsidRDefault="00CD0C37" w:rsidP="00406201">
                  <w:pPr>
                    <w:rPr>
                      <w:sz w:val="15"/>
                      <w:szCs w:val="15"/>
                    </w:rPr>
                  </w:pPr>
                  <w:r>
                    <w:rPr>
                      <w:sz w:val="15"/>
                      <w:szCs w:val="15"/>
                    </w:rPr>
                    <w:t xml:space="preserve">Rijkskantoor Beatrixpark </w:t>
                  </w:r>
                </w:p>
                <w:p w:rsidR="00CD0C37" w:rsidRDefault="00CD0C37" w:rsidP="00406201">
                  <w:pPr>
                    <w:rPr>
                      <w:sz w:val="15"/>
                      <w:szCs w:val="15"/>
                    </w:rPr>
                  </w:pPr>
                  <w:r>
                    <w:rPr>
                      <w:sz w:val="15"/>
                      <w:szCs w:val="15"/>
                    </w:rPr>
                    <w:t>Wilhelmina van Pruisenweg 52</w:t>
                  </w:r>
                </w:p>
                <w:p w:rsidR="00CD0C37" w:rsidRDefault="00CD0C37" w:rsidP="00406201">
                  <w:pPr>
                    <w:rPr>
                      <w:sz w:val="15"/>
                      <w:szCs w:val="15"/>
                    </w:rPr>
                  </w:pPr>
                  <w:r>
                    <w:rPr>
                      <w:sz w:val="15"/>
                      <w:szCs w:val="15"/>
                    </w:rPr>
                    <w:t>2595 AN  Den Haag</w:t>
                  </w:r>
                </w:p>
                <w:p w:rsidR="00CD0C37" w:rsidRDefault="00CD0C37" w:rsidP="00406201">
                  <w:pPr>
                    <w:rPr>
                      <w:sz w:val="15"/>
                      <w:szCs w:val="15"/>
                    </w:rPr>
                  </w:pPr>
                </w:p>
                <w:p w:rsidR="00CD0C37" w:rsidRDefault="00CD0C37" w:rsidP="00406201">
                  <w:pPr>
                    <w:rPr>
                      <w:sz w:val="15"/>
                      <w:szCs w:val="15"/>
                    </w:rPr>
                  </w:pPr>
                  <w:r>
                    <w:rPr>
                      <w:sz w:val="15"/>
                      <w:szCs w:val="15"/>
                    </w:rPr>
                    <w:t>Postbus 20011</w:t>
                  </w:r>
                </w:p>
                <w:p w:rsidR="00CD0C37" w:rsidRDefault="00CD0C37" w:rsidP="00406201">
                  <w:pPr>
                    <w:rPr>
                      <w:sz w:val="15"/>
                      <w:szCs w:val="15"/>
                    </w:rPr>
                  </w:pPr>
                  <w:r>
                    <w:rPr>
                      <w:sz w:val="15"/>
                      <w:szCs w:val="15"/>
                    </w:rPr>
                    <w:t>2500 EA  Den Haag</w:t>
                  </w:r>
                </w:p>
                <w:p w:rsidR="00CD0C37" w:rsidRDefault="00CD0C37" w:rsidP="00406201"/>
              </w:txbxContent>
            </v:textbox>
          </v:shape>
          <v:shape id="_x0000_s2053" type="#_x0000_t75" style="position:absolute;left:1521;width:8504;height:2951">
            <v:imagedata r:id="rId1" o:title="RO_BZK_UBR_Logo_1_RGB_diap_nl"/>
          </v:shape>
          <w10:wrap type="squar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24C6"/>
    <w:multiLevelType w:val="hybridMultilevel"/>
    <w:tmpl w:val="DB2CD306"/>
    <w:lvl w:ilvl="0" w:tplc="2AF0BE60">
      <w:start w:val="2"/>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761286F"/>
    <w:multiLevelType w:val="hybridMultilevel"/>
    <w:tmpl w:val="F3D27F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8021ABA"/>
    <w:multiLevelType w:val="hybridMultilevel"/>
    <w:tmpl w:val="167CE4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4165AC2"/>
    <w:multiLevelType w:val="hybridMultilevel"/>
    <w:tmpl w:val="B50062BC"/>
    <w:lvl w:ilvl="0" w:tplc="2AF0BE60">
      <w:start w:val="2"/>
      <w:numFmt w:val="bullet"/>
      <w:lvlText w:val="-"/>
      <w:lvlJc w:val="left"/>
      <w:pPr>
        <w:ind w:left="720" w:hanging="360"/>
      </w:pPr>
      <w:rPr>
        <w:rFonts w:ascii="Verdana" w:eastAsia="Times New Roman" w:hAnsi="Verdana" w:cs="Times New Roman" w:hint="default"/>
      </w:rPr>
    </w:lvl>
    <w:lvl w:ilvl="1" w:tplc="4C107400">
      <w:start w:val="1"/>
      <w:numFmt w:val="bullet"/>
      <w:lvlText w:val="o"/>
      <w:lvlJc w:val="left"/>
      <w:pPr>
        <w:ind w:left="1440" w:hanging="360"/>
      </w:pPr>
      <w:rPr>
        <w:rFonts w:ascii="Verdana" w:hAnsi="Verdana" w:cs="Courier New" w:hint="default"/>
        <w:sz w:val="18"/>
        <w:szCs w:val="18"/>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9ED1466"/>
    <w:multiLevelType w:val="hybridMultilevel"/>
    <w:tmpl w:val="EE6E70C0"/>
    <w:lvl w:ilvl="0" w:tplc="233C1D7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proofState w:spelling="clean"/>
  <w:defaultTabStop w:val="708"/>
  <w:hyphenationZone w:val="425"/>
  <w:drawingGridHorizontalSpacing w:val="110"/>
  <w:displayHorizontalDrawingGridEvery w:val="2"/>
  <w:characterSpacingControl w:val="doNotCompress"/>
  <w:hdrShapeDefaults>
    <o:shapedefaults v:ext="edit" spidmax="2055">
      <o:colormru v:ext="edit" colors="#e36c0a"/>
      <o:colormenu v:ext="edit" fillcolor="#e36c0a"/>
    </o:shapedefaults>
    <o:shapelayout v:ext="edit">
      <o:idmap v:ext="edit" data="2"/>
    </o:shapelayout>
  </w:hdrShapeDefaults>
  <w:footnotePr>
    <w:footnote w:id="-1"/>
    <w:footnote w:id="0"/>
  </w:footnotePr>
  <w:endnotePr>
    <w:endnote w:id="-1"/>
    <w:endnote w:id="0"/>
  </w:endnotePr>
  <w:compat/>
  <w:rsids>
    <w:rsidRoot w:val="00E47289"/>
    <w:rsid w:val="0001543D"/>
    <w:rsid w:val="000163F9"/>
    <w:rsid w:val="00042CE6"/>
    <w:rsid w:val="00044CA4"/>
    <w:rsid w:val="00061448"/>
    <w:rsid w:val="00092D63"/>
    <w:rsid w:val="000F072F"/>
    <w:rsid w:val="00103B1E"/>
    <w:rsid w:val="00131534"/>
    <w:rsid w:val="0014477F"/>
    <w:rsid w:val="00152CE4"/>
    <w:rsid w:val="0018521D"/>
    <w:rsid w:val="00196340"/>
    <w:rsid w:val="00197DCA"/>
    <w:rsid w:val="001E54E4"/>
    <w:rsid w:val="00213C9C"/>
    <w:rsid w:val="00225414"/>
    <w:rsid w:val="0023295B"/>
    <w:rsid w:val="00263047"/>
    <w:rsid w:val="00295D97"/>
    <w:rsid w:val="002F1186"/>
    <w:rsid w:val="002F4717"/>
    <w:rsid w:val="002F47D4"/>
    <w:rsid w:val="0033705C"/>
    <w:rsid w:val="00377DD6"/>
    <w:rsid w:val="0038196A"/>
    <w:rsid w:val="003B2CE7"/>
    <w:rsid w:val="00406201"/>
    <w:rsid w:val="004163F7"/>
    <w:rsid w:val="00416A2D"/>
    <w:rsid w:val="0042156F"/>
    <w:rsid w:val="0042438E"/>
    <w:rsid w:val="004312AA"/>
    <w:rsid w:val="00433CCB"/>
    <w:rsid w:val="004453BE"/>
    <w:rsid w:val="00450032"/>
    <w:rsid w:val="00457131"/>
    <w:rsid w:val="00465C1B"/>
    <w:rsid w:val="004727A7"/>
    <w:rsid w:val="004B0BB2"/>
    <w:rsid w:val="004B6299"/>
    <w:rsid w:val="004E745D"/>
    <w:rsid w:val="00506B57"/>
    <w:rsid w:val="00507AFE"/>
    <w:rsid w:val="005313BD"/>
    <w:rsid w:val="005448AA"/>
    <w:rsid w:val="005603B1"/>
    <w:rsid w:val="00583818"/>
    <w:rsid w:val="005A2A55"/>
    <w:rsid w:val="005A2D53"/>
    <w:rsid w:val="005C7363"/>
    <w:rsid w:val="005D778F"/>
    <w:rsid w:val="005F4B33"/>
    <w:rsid w:val="00636839"/>
    <w:rsid w:val="00647DEA"/>
    <w:rsid w:val="00650BBD"/>
    <w:rsid w:val="006538E3"/>
    <w:rsid w:val="00667BD5"/>
    <w:rsid w:val="00677954"/>
    <w:rsid w:val="006C2057"/>
    <w:rsid w:val="007762F4"/>
    <w:rsid w:val="00776325"/>
    <w:rsid w:val="00796EBA"/>
    <w:rsid w:val="007B3D6C"/>
    <w:rsid w:val="007D2B0F"/>
    <w:rsid w:val="007F624A"/>
    <w:rsid w:val="00822381"/>
    <w:rsid w:val="0084543A"/>
    <w:rsid w:val="00875FC2"/>
    <w:rsid w:val="008E6100"/>
    <w:rsid w:val="008F127E"/>
    <w:rsid w:val="00951E12"/>
    <w:rsid w:val="009F6217"/>
    <w:rsid w:val="00A04560"/>
    <w:rsid w:val="00A4082E"/>
    <w:rsid w:val="00A72051"/>
    <w:rsid w:val="00A87743"/>
    <w:rsid w:val="00AA79D5"/>
    <w:rsid w:val="00AD166C"/>
    <w:rsid w:val="00AD4805"/>
    <w:rsid w:val="00AE002D"/>
    <w:rsid w:val="00AE0B2A"/>
    <w:rsid w:val="00B827BD"/>
    <w:rsid w:val="00BB309C"/>
    <w:rsid w:val="00BE64B5"/>
    <w:rsid w:val="00C47729"/>
    <w:rsid w:val="00C9617C"/>
    <w:rsid w:val="00CD0C37"/>
    <w:rsid w:val="00CE117C"/>
    <w:rsid w:val="00D03E1C"/>
    <w:rsid w:val="00D51C2F"/>
    <w:rsid w:val="00D72A0E"/>
    <w:rsid w:val="00D80A0A"/>
    <w:rsid w:val="00D94C2D"/>
    <w:rsid w:val="00DA474E"/>
    <w:rsid w:val="00E36D60"/>
    <w:rsid w:val="00E47289"/>
    <w:rsid w:val="00E939F6"/>
    <w:rsid w:val="00EA4C4C"/>
    <w:rsid w:val="00EF6929"/>
    <w:rsid w:val="00F30D87"/>
    <w:rsid w:val="00F32F5C"/>
    <w:rsid w:val="00F3647C"/>
    <w:rsid w:val="00F87D95"/>
    <w:rsid w:val="00FA139B"/>
    <w:rsid w:val="00FD2AAB"/>
    <w:rsid w:val="00FF0FC4"/>
    <w:rsid w:val="00FF3BD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colormru v:ext="edit" colors="#e36c0a"/>
      <o:colormenu v:ext="edit" fillcolor="#e36c0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7AFE"/>
    <w:pPr>
      <w:spacing w:line="276" w:lineRule="auto"/>
    </w:pPr>
    <w:rPr>
      <w:rFonts w:ascii="Verdana" w:hAnsi="Verdan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character" w:styleId="Verwijzingopmerking">
    <w:name w:val="annotation reference"/>
    <w:basedOn w:val="Standaardalinea-lettertype"/>
    <w:uiPriority w:val="99"/>
    <w:semiHidden/>
    <w:unhideWhenUsed/>
    <w:rsid w:val="00E36D60"/>
    <w:rPr>
      <w:sz w:val="16"/>
      <w:szCs w:val="16"/>
    </w:rPr>
  </w:style>
  <w:style w:type="paragraph" w:styleId="Tekstopmerking">
    <w:name w:val="annotation text"/>
    <w:basedOn w:val="Standaard"/>
    <w:link w:val="TekstopmerkingChar"/>
    <w:uiPriority w:val="99"/>
    <w:semiHidden/>
    <w:unhideWhenUsed/>
    <w:rsid w:val="00E36D6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36D6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E36D60"/>
    <w:rPr>
      <w:b/>
      <w:bCs/>
    </w:rPr>
  </w:style>
  <w:style w:type="character" w:customStyle="1" w:styleId="OnderwerpvanopmerkingChar">
    <w:name w:val="Onderwerp van opmerking Char"/>
    <w:basedOn w:val="TekstopmerkingChar"/>
    <w:link w:val="Onderwerpvanopmerking"/>
    <w:uiPriority w:val="99"/>
    <w:semiHidden/>
    <w:rsid w:val="00E36D60"/>
    <w:rPr>
      <w:b/>
      <w:bCs/>
    </w:rPr>
  </w:style>
  <w:style w:type="paragraph" w:styleId="Ballontekst">
    <w:name w:val="Balloon Text"/>
    <w:basedOn w:val="Standaard"/>
    <w:link w:val="BallontekstChar"/>
    <w:uiPriority w:val="99"/>
    <w:semiHidden/>
    <w:unhideWhenUsed/>
    <w:rsid w:val="00E36D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36D60"/>
    <w:rPr>
      <w:rFonts w:ascii="Tahoma" w:hAnsi="Tahoma" w:cs="Tahoma"/>
      <w:sz w:val="16"/>
      <w:szCs w:val="16"/>
      <w:lang w:eastAsia="en-US"/>
    </w:rPr>
  </w:style>
  <w:style w:type="table" w:styleId="Tabelraster">
    <w:name w:val="Table Grid"/>
    <w:basedOn w:val="Standaardtabel"/>
    <w:uiPriority w:val="59"/>
    <w:rsid w:val="005C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aragraaf zonder nummering,Kop 1.1"/>
    <w:basedOn w:val="Standaard"/>
    <w:link w:val="LijstalineaChar"/>
    <w:uiPriority w:val="34"/>
    <w:qFormat/>
    <w:rsid w:val="00796EBA"/>
    <w:pPr>
      <w:ind w:left="720"/>
      <w:contextualSpacing/>
    </w:pPr>
  </w:style>
  <w:style w:type="character" w:customStyle="1" w:styleId="savehistory3">
    <w:name w:val="savehistory3"/>
    <w:basedOn w:val="Standaardalinea-lettertype"/>
    <w:rsid w:val="00A87743"/>
  </w:style>
  <w:style w:type="character" w:customStyle="1" w:styleId="LijstalineaChar">
    <w:name w:val="Lijstalinea Char"/>
    <w:aliases w:val="Paragraaf zonder nummering Char,Kop 1.1 Char"/>
    <w:link w:val="Lijstalinea"/>
    <w:uiPriority w:val="34"/>
    <w:rsid w:val="00A87743"/>
    <w:rPr>
      <w:rFonts w:ascii="Verdana" w:hAnsi="Verdana"/>
      <w:sz w:val="22"/>
      <w:szCs w:val="22"/>
      <w:lang w:eastAsia="en-US"/>
    </w:rPr>
  </w:style>
</w:styles>
</file>

<file path=word/webSettings.xml><?xml version="1.0" encoding="utf-8"?>
<w:webSettings xmlns:r="http://schemas.openxmlformats.org/officeDocument/2006/relationships" xmlns:w="http://schemas.openxmlformats.org/wordprocessingml/2006/main">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6527</Characters>
  <Application>Microsoft Office Word</Application>
  <DocSecurity>2</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van Eijk</dc:creator>
  <cp:lastModifiedBy>RoosS1</cp:lastModifiedBy>
  <cp:revision>2</cp:revision>
  <dcterms:created xsi:type="dcterms:W3CDTF">2017-11-21T15:28:00Z</dcterms:created>
  <dcterms:modified xsi:type="dcterms:W3CDTF">2017-11-21T15:28:00Z</dcterms:modified>
</cp:coreProperties>
</file>