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71" w:rsidRDefault="007E0071">
      <w:pPr>
        <w:pStyle w:val="Koptekst"/>
        <w:tabs>
          <w:tab w:val="clear" w:pos="4536"/>
          <w:tab w:val="clear" w:pos="9072"/>
        </w:tabs>
      </w:pPr>
    </w:p>
    <w:p w:rsidR="007E0071" w:rsidRDefault="007E0071">
      <w:pPr>
        <w:pStyle w:val="Koptekst"/>
        <w:tabs>
          <w:tab w:val="clear" w:pos="4536"/>
          <w:tab w:val="clear" w:pos="9072"/>
        </w:tabs>
      </w:pPr>
    </w:p>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485B86">
      <w:r>
        <w:rPr>
          <w:noProof/>
        </w:rPr>
        <mc:AlternateContent>
          <mc:Choice Requires="wps">
            <w:drawing>
              <wp:anchor distT="0" distB="0" distL="114300" distR="114300" simplePos="0" relativeHeight="251657216" behindDoc="0" locked="0" layoutInCell="0" allowOverlap="1">
                <wp:simplePos x="0" y="0"/>
                <wp:positionH relativeFrom="column">
                  <wp:posOffset>208172</wp:posOffset>
                </wp:positionH>
                <wp:positionV relativeFrom="paragraph">
                  <wp:posOffset>10795</wp:posOffset>
                </wp:positionV>
                <wp:extent cx="3505200" cy="3749040"/>
                <wp:effectExtent l="0" t="0" r="0"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Leidraad openbare aanbesteding</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‘bediening beweegbare bruggen’</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1</w:t>
                            </w:r>
                            <w:r>
                              <w:rPr>
                                <w:rFonts w:cs="Arial"/>
                                <w:sz w:val="20"/>
                              </w:rPr>
                              <w:t xml:space="preserve">: </w:t>
                            </w:r>
                            <w:r w:rsidRPr="00B3491F">
                              <w:rPr>
                                <w:rFonts w:cs="Arial"/>
                                <w:sz w:val="20"/>
                              </w:rPr>
                              <w:t>brugcomplex Oosterdoksluis te Amsterdam (ODS)</w:t>
                            </w: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2</w:t>
                            </w:r>
                            <w:r>
                              <w:rPr>
                                <w:rFonts w:cs="Arial"/>
                                <w:sz w:val="20"/>
                              </w:rPr>
                              <w:t xml:space="preserve">: </w:t>
                            </w:r>
                            <w:r w:rsidRPr="00B3491F">
                              <w:rPr>
                                <w:rFonts w:cs="Arial"/>
                                <w:sz w:val="20"/>
                              </w:rPr>
                              <w:t>Vechtbruggen te Weesp</w:t>
                            </w: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3</w:t>
                            </w:r>
                            <w:r>
                              <w:rPr>
                                <w:rFonts w:cs="Arial"/>
                                <w:sz w:val="20"/>
                              </w:rPr>
                              <w:t xml:space="preserve">: </w:t>
                            </w:r>
                            <w:r w:rsidRPr="00B3491F">
                              <w:rPr>
                                <w:rFonts w:cs="Arial"/>
                                <w:sz w:val="20"/>
                              </w:rPr>
                              <w:t>Brug over de Dubbele Wiericke te Nieuwerbrug</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312A58" w:rsidRDefault="00312A58" w:rsidP="00AE4ABE">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 xml:space="preserve">TN </w:t>
                            </w:r>
                            <w:r w:rsidRPr="00AE4ABE">
                              <w:rPr>
                                <w:b/>
                                <w:sz w:val="28"/>
                              </w:rPr>
                              <w:t>121536</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rPr>
                                <w:b/>
                                <w:sz w:val="28"/>
                              </w:rPr>
                            </w:pPr>
                          </w:p>
                          <w:p w:rsidR="00312A58" w:rsidRDefault="00312A58">
                            <w:pPr>
                              <w:rPr>
                                <w:b/>
                              </w:rPr>
                            </w:pPr>
                          </w:p>
                          <w:p w:rsidR="00312A58" w:rsidRDefault="00312A58">
                            <w:pPr>
                              <w:rPr>
                                <w:b/>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4pt;margin-top:.85pt;width:276pt;height:29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" o:allowincell="f" filled="f" stroked="f" strokeweight="0">
                <v:textbox inset="0,0,0,0">
                  <w:txbxContent>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Leidraad openbare aanbesteding</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‘bediening beweegbare bruggen’</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1</w:t>
                      </w:r>
                      <w:r>
                        <w:rPr>
                          <w:rFonts w:cs="Arial"/>
                          <w:sz w:val="20"/>
                        </w:rPr>
                        <w:t xml:space="preserve">: </w:t>
                      </w:r>
                      <w:r w:rsidRPr="00B3491F">
                        <w:rPr>
                          <w:rFonts w:cs="Arial"/>
                          <w:sz w:val="20"/>
                        </w:rPr>
                        <w:t>brugcomplex Oosterdoksluis te Amsterdam (ODS)</w:t>
                      </w: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2</w:t>
                      </w:r>
                      <w:r>
                        <w:rPr>
                          <w:rFonts w:cs="Arial"/>
                          <w:sz w:val="20"/>
                        </w:rPr>
                        <w:t xml:space="preserve">: </w:t>
                      </w:r>
                      <w:r w:rsidRPr="00B3491F">
                        <w:rPr>
                          <w:rFonts w:cs="Arial"/>
                          <w:sz w:val="20"/>
                        </w:rPr>
                        <w:t>Vechtbruggen te Weesp</w:t>
                      </w:r>
                    </w:p>
                    <w:p w:rsidR="00312A58" w:rsidRPr="00B3491F" w:rsidRDefault="00312A58" w:rsidP="0013589F">
                      <w:pPr>
                        <w:overflowPunct/>
                        <w:autoSpaceDE/>
                        <w:autoSpaceDN/>
                        <w:adjustRightInd/>
                        <w:spacing w:line="480" w:lineRule="auto"/>
                        <w:ind w:left="0"/>
                        <w:textAlignment w:val="auto"/>
                        <w:rPr>
                          <w:rFonts w:cs="Arial"/>
                          <w:sz w:val="20"/>
                        </w:rPr>
                      </w:pPr>
                      <w:r w:rsidRPr="00B3491F">
                        <w:rPr>
                          <w:rFonts w:cs="Arial"/>
                          <w:sz w:val="20"/>
                        </w:rPr>
                        <w:t>Perceel 3</w:t>
                      </w:r>
                      <w:r>
                        <w:rPr>
                          <w:rFonts w:cs="Arial"/>
                          <w:sz w:val="20"/>
                        </w:rPr>
                        <w:t xml:space="preserve">: </w:t>
                      </w:r>
                      <w:r w:rsidRPr="00B3491F">
                        <w:rPr>
                          <w:rFonts w:cs="Arial"/>
                          <w:sz w:val="20"/>
                        </w:rPr>
                        <w:t>Brug over de Dubbele Wiericke te Nieuwerbrug</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p>
                    <w:p w:rsidR="00312A58" w:rsidRDefault="00312A58" w:rsidP="00AE4ABE">
                      <w:pPr>
                        <w:tabs>
                          <w:tab w:val="left" w:pos="2268"/>
                          <w:tab w:val="left" w:pos="3402"/>
                          <w:tab w:val="left" w:pos="4536"/>
                          <w:tab w:val="left" w:pos="4649"/>
                          <w:tab w:val="left" w:pos="5670"/>
                          <w:tab w:val="left" w:pos="5783"/>
                          <w:tab w:val="left" w:pos="6804"/>
                          <w:tab w:val="left" w:pos="7938"/>
                        </w:tabs>
                        <w:spacing w:line="340" w:lineRule="exact"/>
                        <w:ind w:left="0"/>
                        <w:textAlignment w:val="auto"/>
                        <w:rPr>
                          <w:b/>
                          <w:sz w:val="28"/>
                        </w:rPr>
                      </w:pPr>
                      <w:r>
                        <w:rPr>
                          <w:b/>
                          <w:sz w:val="28"/>
                        </w:rPr>
                        <w:t xml:space="preserve">TN </w:t>
                      </w:r>
                      <w:r w:rsidRPr="00AE4ABE">
                        <w:rPr>
                          <w:b/>
                          <w:sz w:val="28"/>
                        </w:rPr>
                        <w:t>121536</w:t>
                      </w: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ind w:left="0"/>
                        <w:rPr>
                          <w:b/>
                          <w:sz w:val="28"/>
                        </w:rPr>
                      </w:pPr>
                    </w:p>
                    <w:p w:rsidR="00312A58" w:rsidRDefault="00312A58">
                      <w:pPr>
                        <w:tabs>
                          <w:tab w:val="left" w:pos="2268"/>
                          <w:tab w:val="left" w:pos="3402"/>
                          <w:tab w:val="left" w:pos="4536"/>
                          <w:tab w:val="left" w:pos="4649"/>
                          <w:tab w:val="left" w:pos="5670"/>
                          <w:tab w:val="left" w:pos="5783"/>
                          <w:tab w:val="left" w:pos="6804"/>
                          <w:tab w:val="left" w:pos="7938"/>
                        </w:tabs>
                        <w:spacing w:line="340" w:lineRule="exact"/>
                        <w:rPr>
                          <w:b/>
                          <w:sz w:val="28"/>
                        </w:rPr>
                      </w:pPr>
                    </w:p>
                    <w:p w:rsidR="00312A58" w:rsidRDefault="00312A58">
                      <w:pPr>
                        <w:rPr>
                          <w:b/>
                        </w:rPr>
                      </w:pPr>
                    </w:p>
                    <w:p w:rsidR="00312A58" w:rsidRDefault="00312A58">
                      <w:pPr>
                        <w:rPr>
                          <w:b/>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rPr>
                          <w:rFonts w:ascii="Arial" w:hAnsi="Arial"/>
                          <w:lang w:eastAsia="nl-NL"/>
                        </w:rPr>
                      </w:pPr>
                    </w:p>
                    <w:p w:rsidR="00312A58" w:rsidRDefault="00312A58">
                      <w:pPr>
                        <w:pStyle w:val="Tabeltekst"/>
                        <w:overflowPunct w:val="0"/>
                        <w:autoSpaceDE w:val="0"/>
                        <w:autoSpaceDN w:val="0"/>
                        <w:adjustRightInd w:val="0"/>
                        <w:spacing w:line="260" w:lineRule="exact"/>
                      </w:pPr>
                    </w:p>
                  </w:txbxContent>
                </v:textbox>
              </v:rect>
            </w:pict>
          </mc:Fallback>
        </mc:AlternateContent>
      </w:r>
    </w:p>
    <w:p w:rsidR="006566FE" w:rsidRDefault="006566FE"/>
    <w:p w:rsidR="006566FE" w:rsidRDefault="006566FE"/>
    <w:p w:rsidR="006566FE" w:rsidRDefault="006566FE"/>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 w:rsidR="006566FE" w:rsidRDefault="006566FE">
      <w:pPr>
        <w:pStyle w:val="Koptekst"/>
        <w:tabs>
          <w:tab w:val="clear" w:pos="4536"/>
          <w:tab w:val="clear" w:pos="9072"/>
        </w:tabs>
      </w:pPr>
    </w:p>
    <w:p w:rsidR="006566FE" w:rsidRDefault="006566FE"/>
    <w:p w:rsidR="006566FE" w:rsidRDefault="006566FE"/>
    <w:p w:rsidR="006566FE" w:rsidRDefault="006566FE"/>
    <w:p w:rsidR="006566FE" w:rsidRDefault="006566FE"/>
    <w:p w:rsidR="006566FE" w:rsidRDefault="006566FE"/>
    <w:tbl>
      <w:tblPr>
        <w:tblW w:w="4818" w:type="dxa"/>
        <w:tblInd w:w="-441" w:type="dxa"/>
        <w:tblLayout w:type="fixed"/>
        <w:tblCellMar>
          <w:left w:w="0" w:type="dxa"/>
          <w:right w:w="0" w:type="dxa"/>
        </w:tblCellMar>
        <w:tblLook w:val="04A0" w:firstRow="1" w:lastRow="0" w:firstColumn="1" w:lastColumn="0" w:noHBand="0" w:noVBand="1"/>
      </w:tblPr>
      <w:tblGrid>
        <w:gridCol w:w="1155"/>
        <w:gridCol w:w="3663"/>
      </w:tblGrid>
      <w:tr w:rsidR="00725603" w:rsidTr="00C1569B">
        <w:trPr>
          <w:cantSplit/>
          <w:trHeight w:val="240"/>
        </w:trPr>
        <w:tc>
          <w:tcPr>
            <w:tcW w:w="1155" w:type="dxa"/>
            <w:hideMark/>
          </w:tcPr>
          <w:p w:rsidR="00725603" w:rsidRDefault="00725603" w:rsidP="00250B12">
            <w:pPr>
              <w:pStyle w:val="Adresregel"/>
              <w:rPr>
                <w:lang w:val="nl"/>
              </w:rPr>
            </w:pPr>
            <w:r>
              <w:rPr>
                <w:lang w:val="nl"/>
              </w:rPr>
              <w:t>Versie</w:t>
            </w:r>
          </w:p>
        </w:tc>
        <w:tc>
          <w:tcPr>
            <w:tcW w:w="3663" w:type="dxa"/>
          </w:tcPr>
          <w:p w:rsidR="00725603" w:rsidRPr="004B5284" w:rsidRDefault="009E79D2" w:rsidP="008B1C8E">
            <w:pPr>
              <w:rPr>
                <w:lang w:val="nl"/>
              </w:rPr>
            </w:pPr>
            <w:r>
              <w:rPr>
                <w:lang w:val="nl"/>
              </w:rPr>
              <w:t>1.</w:t>
            </w:r>
            <w:r w:rsidR="008B1C8E">
              <w:rPr>
                <w:lang w:val="nl"/>
              </w:rPr>
              <w:t>4</w:t>
            </w:r>
          </w:p>
        </w:tc>
      </w:tr>
      <w:tr w:rsidR="00725603" w:rsidTr="00725603">
        <w:trPr>
          <w:cantSplit/>
          <w:trHeight w:val="240"/>
        </w:trPr>
        <w:tc>
          <w:tcPr>
            <w:tcW w:w="1155" w:type="dxa"/>
          </w:tcPr>
          <w:p w:rsidR="00725603" w:rsidRDefault="00725603" w:rsidP="00250B12">
            <w:pPr>
              <w:pStyle w:val="Adresregel"/>
              <w:rPr>
                <w:lang w:val="nl"/>
              </w:rPr>
            </w:pPr>
            <w:r>
              <w:rPr>
                <w:lang w:val="nl"/>
              </w:rPr>
              <w:t>Datum</w:t>
            </w:r>
          </w:p>
        </w:tc>
        <w:tc>
          <w:tcPr>
            <w:tcW w:w="3663" w:type="dxa"/>
          </w:tcPr>
          <w:p w:rsidR="00725603" w:rsidRPr="004B5284" w:rsidRDefault="008B1C8E" w:rsidP="00BB7092">
            <w:pPr>
              <w:rPr>
                <w:lang w:val="nl"/>
              </w:rPr>
            </w:pPr>
            <w:r>
              <w:rPr>
                <w:lang w:val="nl"/>
              </w:rPr>
              <w:t>31-8</w:t>
            </w:r>
            <w:r w:rsidR="00581D78">
              <w:rPr>
                <w:lang w:val="nl"/>
              </w:rPr>
              <w:t>-2017</w:t>
            </w:r>
          </w:p>
        </w:tc>
      </w:tr>
      <w:tr w:rsidR="00725603" w:rsidTr="00725603">
        <w:trPr>
          <w:cantSplit/>
          <w:trHeight w:val="240"/>
        </w:trPr>
        <w:tc>
          <w:tcPr>
            <w:tcW w:w="1155" w:type="dxa"/>
          </w:tcPr>
          <w:p w:rsidR="00725603" w:rsidRDefault="00725603" w:rsidP="00250B12">
            <w:pPr>
              <w:pStyle w:val="Adresregel"/>
            </w:pPr>
            <w:r>
              <w:t>Status</w:t>
            </w:r>
          </w:p>
        </w:tc>
        <w:tc>
          <w:tcPr>
            <w:tcW w:w="3663" w:type="dxa"/>
          </w:tcPr>
          <w:p w:rsidR="00725603" w:rsidRPr="004B5284" w:rsidRDefault="009E79D2" w:rsidP="00250B12">
            <w:r>
              <w:t>Definitief</w:t>
            </w:r>
          </w:p>
        </w:tc>
      </w:tr>
      <w:tr w:rsidR="00725603" w:rsidTr="00725603">
        <w:trPr>
          <w:cantSplit/>
          <w:trHeight w:val="240"/>
        </w:trPr>
        <w:tc>
          <w:tcPr>
            <w:tcW w:w="1155" w:type="dxa"/>
          </w:tcPr>
          <w:p w:rsidR="00725603" w:rsidRDefault="00725603">
            <w:pPr>
              <w:pStyle w:val="Adresregel"/>
            </w:pPr>
            <w:r>
              <w:t>Eigenaar</w:t>
            </w:r>
          </w:p>
        </w:tc>
        <w:tc>
          <w:tcPr>
            <w:tcW w:w="3663" w:type="dxa"/>
          </w:tcPr>
          <w:p w:rsidR="00725603" w:rsidRPr="004B5284" w:rsidRDefault="00725603">
            <w:r>
              <w:t>Procurement</w:t>
            </w:r>
          </w:p>
        </w:tc>
      </w:tr>
      <w:tr w:rsidR="00725603" w:rsidTr="00C1569B">
        <w:trPr>
          <w:cantSplit/>
          <w:trHeight w:val="240"/>
        </w:trPr>
        <w:tc>
          <w:tcPr>
            <w:tcW w:w="1155" w:type="dxa"/>
          </w:tcPr>
          <w:p w:rsidR="00725603" w:rsidRDefault="00725603">
            <w:pPr>
              <w:pStyle w:val="Adresregel"/>
            </w:pPr>
          </w:p>
        </w:tc>
        <w:tc>
          <w:tcPr>
            <w:tcW w:w="3663" w:type="dxa"/>
          </w:tcPr>
          <w:p w:rsidR="00725603" w:rsidRDefault="00725603"/>
        </w:tc>
      </w:tr>
    </w:tbl>
    <w:p w:rsidR="00A23629" w:rsidRDefault="00A23629"/>
    <w:p w:rsidR="005E192F" w:rsidRDefault="005E192F">
      <w:pPr>
        <w:overflowPunct/>
        <w:autoSpaceDE/>
        <w:autoSpaceDN/>
        <w:adjustRightInd/>
        <w:spacing w:line="240" w:lineRule="auto"/>
        <w:ind w:left="0"/>
        <w:textAlignment w:val="auto"/>
        <w:rPr>
          <w:b/>
          <w:sz w:val="24"/>
        </w:rPr>
      </w:pPr>
      <w:bookmarkStart w:id="0" w:name="blwpag1kop8"/>
      <w:bookmarkStart w:id="1" w:name="blwpag1kop10"/>
      <w:bookmarkStart w:id="2" w:name="_Hlt484800277"/>
      <w:bookmarkEnd w:id="0"/>
      <w:bookmarkEnd w:id="1"/>
      <w:r>
        <w:rPr>
          <w:b/>
          <w:sz w:val="24"/>
        </w:rPr>
        <w:br w:type="page"/>
      </w:r>
    </w:p>
    <w:p w:rsidR="006566FE" w:rsidRPr="00470905" w:rsidRDefault="006566FE">
      <w:pPr>
        <w:spacing w:line="280" w:lineRule="exact"/>
        <w:rPr>
          <w:b/>
          <w:color w:val="0066FF"/>
          <w:sz w:val="24"/>
        </w:rPr>
      </w:pPr>
      <w:r>
        <w:rPr>
          <w:b/>
          <w:sz w:val="24"/>
        </w:rPr>
        <w:lastRenderedPageBreak/>
        <w:t>Inhoudsopgave</w:t>
      </w:r>
    </w:p>
    <w:bookmarkStart w:id="3" w:name="_Toc483502996"/>
    <w:bookmarkStart w:id="4" w:name="_Toc483544705"/>
    <w:bookmarkEnd w:id="2"/>
    <w:p w:rsidR="002C09DF" w:rsidRDefault="006566FE">
      <w:pPr>
        <w:pStyle w:val="Inhopg1"/>
        <w:tabs>
          <w:tab w:val="left" w:pos="1260"/>
          <w:tab w:val="right" w:leader="dot" w:pos="9063"/>
        </w:tabs>
        <w:rPr>
          <w:rFonts w:asciiTheme="minorHAnsi" w:eastAsiaTheme="minorEastAsia" w:hAnsiTheme="minorHAnsi" w:cstheme="minorBidi"/>
          <w:b w:val="0"/>
          <w:noProof/>
          <w:sz w:val="22"/>
          <w:szCs w:val="22"/>
        </w:rPr>
      </w:pPr>
      <w:r>
        <w:fldChar w:fldCharType="begin"/>
      </w:r>
      <w:r>
        <w:instrText xml:space="preserve"> TOC \o "1-3" \h \z </w:instrText>
      </w:r>
      <w:r>
        <w:fldChar w:fldCharType="separate"/>
      </w:r>
      <w:hyperlink w:anchor="_Toc493686437" w:history="1">
        <w:r w:rsidR="002C09DF" w:rsidRPr="00A85853">
          <w:rPr>
            <w:rStyle w:val="Hyperlink"/>
            <w:noProof/>
          </w:rPr>
          <w:t xml:space="preserve">1  </w:t>
        </w:r>
        <w:r w:rsidR="002C09DF">
          <w:rPr>
            <w:rFonts w:asciiTheme="minorHAnsi" w:eastAsiaTheme="minorEastAsia" w:hAnsiTheme="minorHAnsi" w:cstheme="minorBidi"/>
            <w:b w:val="0"/>
            <w:noProof/>
            <w:sz w:val="22"/>
            <w:szCs w:val="22"/>
          </w:rPr>
          <w:tab/>
        </w:r>
        <w:r w:rsidR="002C09DF" w:rsidRPr="00A85853">
          <w:rPr>
            <w:rStyle w:val="Hyperlink"/>
            <w:noProof/>
          </w:rPr>
          <w:t>Inleiding</w:t>
        </w:r>
        <w:r w:rsidR="002C09DF">
          <w:rPr>
            <w:noProof/>
            <w:webHidden/>
          </w:rPr>
          <w:tab/>
        </w:r>
        <w:r w:rsidR="002C09DF">
          <w:rPr>
            <w:noProof/>
            <w:webHidden/>
          </w:rPr>
          <w:fldChar w:fldCharType="begin"/>
        </w:r>
        <w:r w:rsidR="002C09DF">
          <w:rPr>
            <w:noProof/>
            <w:webHidden/>
          </w:rPr>
          <w:instrText xml:space="preserve"> PAGEREF _Toc493686437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38" w:history="1">
        <w:r w:rsidR="002C09DF" w:rsidRPr="00A85853">
          <w:rPr>
            <w:rStyle w:val="Hyperlink"/>
            <w:noProof/>
          </w:rPr>
          <w:t>1.1</w:t>
        </w:r>
        <w:r w:rsidR="002C09DF">
          <w:rPr>
            <w:rFonts w:asciiTheme="minorHAnsi" w:eastAsiaTheme="minorEastAsia" w:hAnsiTheme="minorHAnsi" w:cstheme="minorBidi"/>
            <w:noProof/>
            <w:sz w:val="22"/>
            <w:szCs w:val="22"/>
          </w:rPr>
          <w:tab/>
        </w:r>
        <w:r w:rsidR="002C09DF" w:rsidRPr="00A85853">
          <w:rPr>
            <w:rStyle w:val="Hyperlink"/>
            <w:noProof/>
          </w:rPr>
          <w:t>Achtergrond</w:t>
        </w:r>
        <w:r w:rsidR="002C09DF">
          <w:rPr>
            <w:noProof/>
            <w:webHidden/>
          </w:rPr>
          <w:tab/>
        </w:r>
        <w:r w:rsidR="002C09DF">
          <w:rPr>
            <w:noProof/>
            <w:webHidden/>
          </w:rPr>
          <w:fldChar w:fldCharType="begin"/>
        </w:r>
        <w:r w:rsidR="002C09DF">
          <w:rPr>
            <w:noProof/>
            <w:webHidden/>
          </w:rPr>
          <w:instrText xml:space="preserve"> PAGEREF _Toc493686438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39" w:history="1">
        <w:r w:rsidR="002C09DF" w:rsidRPr="00A85853">
          <w:rPr>
            <w:rStyle w:val="Hyperlink"/>
            <w:noProof/>
          </w:rPr>
          <w:t>1.2</w:t>
        </w:r>
        <w:r w:rsidR="002C09DF">
          <w:rPr>
            <w:rFonts w:asciiTheme="minorHAnsi" w:eastAsiaTheme="minorEastAsia" w:hAnsiTheme="minorHAnsi" w:cstheme="minorBidi"/>
            <w:noProof/>
            <w:sz w:val="22"/>
            <w:szCs w:val="22"/>
          </w:rPr>
          <w:tab/>
        </w:r>
        <w:r w:rsidR="002C09DF" w:rsidRPr="00A85853">
          <w:rPr>
            <w:rStyle w:val="Hyperlink"/>
            <w:noProof/>
          </w:rPr>
          <w:t>Doel aanbestedingsleidraad</w:t>
        </w:r>
        <w:r w:rsidR="002C09DF">
          <w:rPr>
            <w:noProof/>
            <w:webHidden/>
          </w:rPr>
          <w:tab/>
        </w:r>
        <w:r w:rsidR="002C09DF">
          <w:rPr>
            <w:noProof/>
            <w:webHidden/>
          </w:rPr>
          <w:fldChar w:fldCharType="begin"/>
        </w:r>
        <w:r w:rsidR="002C09DF">
          <w:rPr>
            <w:noProof/>
            <w:webHidden/>
          </w:rPr>
          <w:instrText xml:space="preserve"> PAGEREF _Toc493686439 \h </w:instrText>
        </w:r>
        <w:r w:rsidR="002C09DF">
          <w:rPr>
            <w:noProof/>
            <w:webHidden/>
          </w:rPr>
        </w:r>
        <w:r w:rsidR="002C09DF">
          <w:rPr>
            <w:noProof/>
            <w:webHidden/>
          </w:rPr>
          <w:fldChar w:fldCharType="separate"/>
        </w:r>
        <w:r w:rsidR="002C09DF">
          <w:rPr>
            <w:noProof/>
            <w:webHidden/>
          </w:rPr>
          <w:t>3</w:t>
        </w:r>
        <w:r w:rsidR="002C09DF">
          <w:rPr>
            <w:noProof/>
            <w:webHidden/>
          </w:rPr>
          <w:fldChar w:fldCharType="end"/>
        </w:r>
      </w:hyperlink>
    </w:p>
    <w:p w:rsidR="002C09DF" w:rsidRDefault="00312A58">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40" w:history="1">
        <w:r w:rsidR="002C09DF" w:rsidRPr="00A85853">
          <w:rPr>
            <w:rStyle w:val="Hyperlink"/>
            <w:noProof/>
          </w:rPr>
          <w:t>2</w:t>
        </w:r>
        <w:r w:rsidR="002C09DF">
          <w:rPr>
            <w:rFonts w:asciiTheme="minorHAnsi" w:eastAsiaTheme="minorEastAsia" w:hAnsiTheme="minorHAnsi" w:cstheme="minorBidi"/>
            <w:b w:val="0"/>
            <w:noProof/>
            <w:sz w:val="22"/>
            <w:szCs w:val="22"/>
          </w:rPr>
          <w:tab/>
        </w:r>
        <w:r w:rsidR="002C09DF" w:rsidRPr="00A85853">
          <w:rPr>
            <w:rStyle w:val="Hyperlink"/>
            <w:noProof/>
          </w:rPr>
          <w:t>Aanbestedingsprocedure</w:t>
        </w:r>
        <w:r w:rsidR="002C09DF">
          <w:rPr>
            <w:noProof/>
            <w:webHidden/>
          </w:rPr>
          <w:tab/>
        </w:r>
        <w:r w:rsidR="002C09DF">
          <w:rPr>
            <w:noProof/>
            <w:webHidden/>
          </w:rPr>
          <w:fldChar w:fldCharType="begin"/>
        </w:r>
        <w:r w:rsidR="002C09DF">
          <w:rPr>
            <w:noProof/>
            <w:webHidden/>
          </w:rPr>
          <w:instrText xml:space="preserve"> PAGEREF _Toc493686440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41" w:history="1">
        <w:r w:rsidR="002C09DF" w:rsidRPr="00A85853">
          <w:rPr>
            <w:rStyle w:val="Hyperlink"/>
            <w:noProof/>
          </w:rPr>
          <w:t>2.1</w:t>
        </w:r>
        <w:r w:rsidR="002C09DF">
          <w:rPr>
            <w:rFonts w:asciiTheme="minorHAnsi" w:eastAsiaTheme="minorEastAsia" w:hAnsiTheme="minorHAnsi" w:cstheme="minorBidi"/>
            <w:noProof/>
            <w:sz w:val="22"/>
            <w:szCs w:val="22"/>
          </w:rPr>
          <w:tab/>
        </w:r>
        <w:r w:rsidR="002C09DF" w:rsidRPr="00A85853">
          <w:rPr>
            <w:rStyle w:val="Hyperlink"/>
            <w:noProof/>
          </w:rPr>
          <w:t>Voorwaarden</w:t>
        </w:r>
        <w:r w:rsidR="002C09DF">
          <w:rPr>
            <w:noProof/>
            <w:webHidden/>
          </w:rPr>
          <w:tab/>
        </w:r>
        <w:r w:rsidR="002C09DF">
          <w:rPr>
            <w:noProof/>
            <w:webHidden/>
          </w:rPr>
          <w:fldChar w:fldCharType="begin"/>
        </w:r>
        <w:r w:rsidR="002C09DF">
          <w:rPr>
            <w:noProof/>
            <w:webHidden/>
          </w:rPr>
          <w:instrText xml:space="preserve"> PAGEREF _Toc493686441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42" w:history="1">
        <w:r w:rsidR="002C09DF" w:rsidRPr="00A85853">
          <w:rPr>
            <w:rStyle w:val="Hyperlink"/>
            <w:noProof/>
          </w:rPr>
          <w:t>2.2</w:t>
        </w:r>
        <w:r w:rsidR="002C09DF">
          <w:rPr>
            <w:rFonts w:asciiTheme="minorHAnsi" w:eastAsiaTheme="minorEastAsia" w:hAnsiTheme="minorHAnsi" w:cstheme="minorBidi"/>
            <w:noProof/>
            <w:sz w:val="22"/>
            <w:szCs w:val="22"/>
          </w:rPr>
          <w:tab/>
        </w:r>
        <w:r w:rsidR="002C09DF" w:rsidRPr="00A85853">
          <w:rPr>
            <w:rStyle w:val="Hyperlink"/>
            <w:noProof/>
          </w:rPr>
          <w:t>Procedure</w:t>
        </w:r>
        <w:r w:rsidR="002C09DF">
          <w:rPr>
            <w:noProof/>
            <w:webHidden/>
          </w:rPr>
          <w:tab/>
        </w:r>
        <w:r w:rsidR="002C09DF">
          <w:rPr>
            <w:noProof/>
            <w:webHidden/>
          </w:rPr>
          <w:fldChar w:fldCharType="begin"/>
        </w:r>
        <w:r w:rsidR="002C09DF">
          <w:rPr>
            <w:noProof/>
            <w:webHidden/>
          </w:rPr>
          <w:instrText xml:space="preserve"> PAGEREF _Toc493686442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43" w:history="1">
        <w:r w:rsidR="002C09DF" w:rsidRPr="00A85853">
          <w:rPr>
            <w:rStyle w:val="Hyperlink"/>
            <w:noProof/>
          </w:rPr>
          <w:t>2.2.1</w:t>
        </w:r>
        <w:r w:rsidR="002C09DF">
          <w:rPr>
            <w:rFonts w:asciiTheme="minorHAnsi" w:eastAsiaTheme="minorEastAsia" w:hAnsiTheme="minorHAnsi" w:cstheme="minorBidi"/>
            <w:noProof/>
            <w:sz w:val="22"/>
            <w:szCs w:val="22"/>
          </w:rPr>
          <w:tab/>
        </w:r>
        <w:r w:rsidR="002C09DF" w:rsidRPr="00A85853">
          <w:rPr>
            <w:rStyle w:val="Hyperlink"/>
            <w:noProof/>
          </w:rPr>
          <w:t>Inlichtingen</w:t>
        </w:r>
        <w:r w:rsidR="002C09DF">
          <w:rPr>
            <w:noProof/>
            <w:webHidden/>
          </w:rPr>
          <w:tab/>
        </w:r>
        <w:r w:rsidR="002C09DF">
          <w:rPr>
            <w:noProof/>
            <w:webHidden/>
          </w:rPr>
          <w:fldChar w:fldCharType="begin"/>
        </w:r>
        <w:r w:rsidR="002C09DF">
          <w:rPr>
            <w:noProof/>
            <w:webHidden/>
          </w:rPr>
          <w:instrText xml:space="preserve"> PAGEREF _Toc493686443 \h </w:instrText>
        </w:r>
        <w:r w:rsidR="002C09DF">
          <w:rPr>
            <w:noProof/>
            <w:webHidden/>
          </w:rPr>
        </w:r>
        <w:r w:rsidR="002C09DF">
          <w:rPr>
            <w:noProof/>
            <w:webHidden/>
          </w:rPr>
          <w:fldChar w:fldCharType="separate"/>
        </w:r>
        <w:r w:rsidR="002C09DF">
          <w:rPr>
            <w:noProof/>
            <w:webHidden/>
          </w:rPr>
          <w:t>4</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44" w:history="1">
        <w:r w:rsidR="002C09DF" w:rsidRPr="00A85853">
          <w:rPr>
            <w:rStyle w:val="Hyperlink"/>
            <w:noProof/>
          </w:rPr>
          <w:t>2.2.2</w:t>
        </w:r>
        <w:r w:rsidR="002C09DF">
          <w:rPr>
            <w:rFonts w:asciiTheme="minorHAnsi" w:eastAsiaTheme="minorEastAsia" w:hAnsiTheme="minorHAnsi" w:cstheme="minorBidi"/>
            <w:noProof/>
            <w:sz w:val="22"/>
            <w:szCs w:val="22"/>
          </w:rPr>
          <w:tab/>
        </w:r>
        <w:r w:rsidR="002C09DF" w:rsidRPr="00A85853">
          <w:rPr>
            <w:rStyle w:val="Hyperlink"/>
            <w:noProof/>
          </w:rPr>
          <w:t>Inschrijving</w:t>
        </w:r>
        <w:r w:rsidR="002C09DF">
          <w:rPr>
            <w:noProof/>
            <w:webHidden/>
          </w:rPr>
          <w:tab/>
        </w:r>
        <w:r w:rsidR="002C09DF">
          <w:rPr>
            <w:noProof/>
            <w:webHidden/>
          </w:rPr>
          <w:fldChar w:fldCharType="begin"/>
        </w:r>
        <w:r w:rsidR="002C09DF">
          <w:rPr>
            <w:noProof/>
            <w:webHidden/>
          </w:rPr>
          <w:instrText xml:space="preserve"> PAGEREF _Toc493686444 \h </w:instrText>
        </w:r>
        <w:r w:rsidR="002C09DF">
          <w:rPr>
            <w:noProof/>
            <w:webHidden/>
          </w:rPr>
        </w:r>
        <w:r w:rsidR="002C09DF">
          <w:rPr>
            <w:noProof/>
            <w:webHidden/>
          </w:rPr>
          <w:fldChar w:fldCharType="separate"/>
        </w:r>
        <w:r w:rsidR="002C09DF">
          <w:rPr>
            <w:noProof/>
            <w:webHidden/>
          </w:rPr>
          <w:t>5</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45" w:history="1">
        <w:r w:rsidR="002C09DF" w:rsidRPr="00A85853">
          <w:rPr>
            <w:rStyle w:val="Hyperlink"/>
            <w:noProof/>
          </w:rPr>
          <w:t>2.2.3</w:t>
        </w:r>
        <w:r w:rsidR="002C09DF">
          <w:rPr>
            <w:rFonts w:asciiTheme="minorHAnsi" w:eastAsiaTheme="minorEastAsia" w:hAnsiTheme="minorHAnsi" w:cstheme="minorBidi"/>
            <w:noProof/>
            <w:sz w:val="22"/>
            <w:szCs w:val="22"/>
          </w:rPr>
          <w:tab/>
        </w:r>
        <w:r w:rsidR="002C09DF" w:rsidRPr="00A85853">
          <w:rPr>
            <w:rStyle w:val="Hyperlink"/>
            <w:noProof/>
          </w:rPr>
          <w:t>Na de aanbesteding</w:t>
        </w:r>
        <w:r w:rsidR="002C09DF">
          <w:rPr>
            <w:noProof/>
            <w:webHidden/>
          </w:rPr>
          <w:tab/>
        </w:r>
        <w:r w:rsidR="002C09DF">
          <w:rPr>
            <w:noProof/>
            <w:webHidden/>
          </w:rPr>
          <w:fldChar w:fldCharType="begin"/>
        </w:r>
        <w:r w:rsidR="002C09DF">
          <w:rPr>
            <w:noProof/>
            <w:webHidden/>
          </w:rPr>
          <w:instrText xml:space="preserve"> PAGEREF _Toc493686445 \h </w:instrText>
        </w:r>
        <w:r w:rsidR="002C09DF">
          <w:rPr>
            <w:noProof/>
            <w:webHidden/>
          </w:rPr>
        </w:r>
        <w:r w:rsidR="002C09DF">
          <w:rPr>
            <w:noProof/>
            <w:webHidden/>
          </w:rPr>
          <w:fldChar w:fldCharType="separate"/>
        </w:r>
        <w:r w:rsidR="002C09DF">
          <w:rPr>
            <w:noProof/>
            <w:webHidden/>
          </w:rPr>
          <w:t>6</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46" w:history="1">
        <w:r w:rsidR="002C09DF" w:rsidRPr="00A85853">
          <w:rPr>
            <w:rStyle w:val="Hyperlink"/>
            <w:noProof/>
          </w:rPr>
          <w:t>2.3</w:t>
        </w:r>
        <w:r w:rsidR="002C09DF">
          <w:rPr>
            <w:rFonts w:asciiTheme="minorHAnsi" w:eastAsiaTheme="minorEastAsia" w:hAnsiTheme="minorHAnsi" w:cstheme="minorBidi"/>
            <w:noProof/>
            <w:sz w:val="22"/>
            <w:szCs w:val="22"/>
          </w:rPr>
          <w:tab/>
        </w:r>
        <w:r w:rsidR="002C09DF" w:rsidRPr="00A85853">
          <w:rPr>
            <w:rStyle w:val="Hyperlink"/>
            <w:noProof/>
          </w:rPr>
          <w:t>Uitsluiting van de procedure</w:t>
        </w:r>
        <w:r w:rsidR="002C09DF">
          <w:rPr>
            <w:noProof/>
            <w:webHidden/>
          </w:rPr>
          <w:tab/>
        </w:r>
        <w:r w:rsidR="002C09DF">
          <w:rPr>
            <w:noProof/>
            <w:webHidden/>
          </w:rPr>
          <w:fldChar w:fldCharType="begin"/>
        </w:r>
        <w:r w:rsidR="002C09DF">
          <w:rPr>
            <w:noProof/>
            <w:webHidden/>
          </w:rPr>
          <w:instrText xml:space="preserve"> PAGEREF _Toc493686446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47" w:history="1">
        <w:r w:rsidR="002C09DF" w:rsidRPr="00A85853">
          <w:rPr>
            <w:rStyle w:val="Hyperlink"/>
            <w:noProof/>
          </w:rPr>
          <w:t>2.4</w:t>
        </w:r>
        <w:r w:rsidR="002C09DF">
          <w:rPr>
            <w:rFonts w:asciiTheme="minorHAnsi" w:eastAsiaTheme="minorEastAsia" w:hAnsiTheme="minorHAnsi" w:cstheme="minorBidi"/>
            <w:noProof/>
            <w:sz w:val="22"/>
            <w:szCs w:val="22"/>
          </w:rPr>
          <w:tab/>
        </w:r>
        <w:r w:rsidR="002C09DF" w:rsidRPr="00A85853">
          <w:rPr>
            <w:rStyle w:val="Hyperlink"/>
            <w:noProof/>
          </w:rPr>
          <w:t>Algemene vragen of opmerkingen</w:t>
        </w:r>
        <w:r w:rsidR="002C09DF">
          <w:rPr>
            <w:noProof/>
            <w:webHidden/>
          </w:rPr>
          <w:tab/>
        </w:r>
        <w:r w:rsidR="002C09DF">
          <w:rPr>
            <w:noProof/>
            <w:webHidden/>
          </w:rPr>
          <w:fldChar w:fldCharType="begin"/>
        </w:r>
        <w:r w:rsidR="002C09DF">
          <w:rPr>
            <w:noProof/>
            <w:webHidden/>
          </w:rPr>
          <w:instrText xml:space="preserve"> PAGEREF _Toc493686447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48" w:history="1">
        <w:r w:rsidR="002C09DF" w:rsidRPr="00A85853">
          <w:rPr>
            <w:rStyle w:val="Hyperlink"/>
            <w:noProof/>
          </w:rPr>
          <w:t>2.5</w:t>
        </w:r>
        <w:r w:rsidR="002C09DF">
          <w:rPr>
            <w:rFonts w:asciiTheme="minorHAnsi" w:eastAsiaTheme="minorEastAsia" w:hAnsiTheme="minorHAnsi" w:cstheme="minorBidi"/>
            <w:noProof/>
            <w:sz w:val="22"/>
            <w:szCs w:val="22"/>
          </w:rPr>
          <w:tab/>
        </w:r>
        <w:r w:rsidR="002C09DF" w:rsidRPr="00A85853">
          <w:rPr>
            <w:rStyle w:val="Hyperlink"/>
            <w:noProof/>
          </w:rPr>
          <w:t>Klachtenmeldpunt ProRail</w:t>
        </w:r>
        <w:r w:rsidR="002C09DF">
          <w:rPr>
            <w:noProof/>
            <w:webHidden/>
          </w:rPr>
          <w:tab/>
        </w:r>
        <w:r w:rsidR="002C09DF">
          <w:rPr>
            <w:noProof/>
            <w:webHidden/>
          </w:rPr>
          <w:fldChar w:fldCharType="begin"/>
        </w:r>
        <w:r w:rsidR="002C09DF">
          <w:rPr>
            <w:noProof/>
            <w:webHidden/>
          </w:rPr>
          <w:instrText xml:space="preserve"> PAGEREF _Toc493686448 \h </w:instrText>
        </w:r>
        <w:r w:rsidR="002C09DF">
          <w:rPr>
            <w:noProof/>
            <w:webHidden/>
          </w:rPr>
        </w:r>
        <w:r w:rsidR="002C09DF">
          <w:rPr>
            <w:noProof/>
            <w:webHidden/>
          </w:rPr>
          <w:fldChar w:fldCharType="separate"/>
        </w:r>
        <w:r w:rsidR="002C09DF">
          <w:rPr>
            <w:noProof/>
            <w:webHidden/>
          </w:rPr>
          <w:t>8</w:t>
        </w:r>
        <w:r w:rsidR="002C09DF">
          <w:rPr>
            <w:noProof/>
            <w:webHidden/>
          </w:rPr>
          <w:fldChar w:fldCharType="end"/>
        </w:r>
      </w:hyperlink>
    </w:p>
    <w:p w:rsidR="002C09DF" w:rsidRDefault="00312A58">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49" w:history="1">
        <w:r w:rsidR="002C09DF" w:rsidRPr="00A85853">
          <w:rPr>
            <w:rStyle w:val="Hyperlink"/>
            <w:noProof/>
          </w:rPr>
          <w:t>3</w:t>
        </w:r>
        <w:r w:rsidR="002C09DF">
          <w:rPr>
            <w:rFonts w:asciiTheme="minorHAnsi" w:eastAsiaTheme="minorEastAsia" w:hAnsiTheme="minorHAnsi" w:cstheme="minorBidi"/>
            <w:b w:val="0"/>
            <w:noProof/>
            <w:sz w:val="22"/>
            <w:szCs w:val="22"/>
          </w:rPr>
          <w:tab/>
        </w:r>
        <w:r w:rsidR="002C09DF" w:rsidRPr="00A85853">
          <w:rPr>
            <w:rStyle w:val="Hyperlink"/>
            <w:noProof/>
          </w:rPr>
          <w:t>Eisen</w:t>
        </w:r>
        <w:r w:rsidR="002C09DF">
          <w:rPr>
            <w:noProof/>
            <w:webHidden/>
          </w:rPr>
          <w:tab/>
        </w:r>
        <w:r w:rsidR="002C09DF">
          <w:rPr>
            <w:noProof/>
            <w:webHidden/>
          </w:rPr>
          <w:fldChar w:fldCharType="begin"/>
        </w:r>
        <w:r w:rsidR="002C09DF">
          <w:rPr>
            <w:noProof/>
            <w:webHidden/>
          </w:rPr>
          <w:instrText xml:space="preserve"> PAGEREF _Toc493686449 \h </w:instrText>
        </w:r>
        <w:r w:rsidR="002C09DF">
          <w:rPr>
            <w:noProof/>
            <w:webHidden/>
          </w:rPr>
        </w:r>
        <w:r w:rsidR="002C09DF">
          <w:rPr>
            <w:noProof/>
            <w:webHidden/>
          </w:rPr>
          <w:fldChar w:fldCharType="separate"/>
        </w:r>
        <w:r w:rsidR="002C09DF">
          <w:rPr>
            <w:noProof/>
            <w:webHidden/>
          </w:rPr>
          <w:t>9</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50" w:history="1">
        <w:r w:rsidR="002C09DF" w:rsidRPr="00A85853">
          <w:rPr>
            <w:rStyle w:val="Hyperlink"/>
            <w:noProof/>
          </w:rPr>
          <w:t>3.1</w:t>
        </w:r>
        <w:r w:rsidR="002C09DF">
          <w:rPr>
            <w:rFonts w:asciiTheme="minorHAnsi" w:eastAsiaTheme="minorEastAsia" w:hAnsiTheme="minorHAnsi" w:cstheme="minorBidi"/>
            <w:noProof/>
            <w:sz w:val="22"/>
            <w:szCs w:val="22"/>
          </w:rPr>
          <w:tab/>
        </w:r>
        <w:r w:rsidR="002C09DF" w:rsidRPr="00A85853">
          <w:rPr>
            <w:rStyle w:val="Hyperlink"/>
            <w:noProof/>
          </w:rPr>
          <w:t>Uitsluitingsgronden en geschiktheidseisen</w:t>
        </w:r>
        <w:r w:rsidR="002C09DF">
          <w:rPr>
            <w:noProof/>
            <w:webHidden/>
          </w:rPr>
          <w:tab/>
        </w:r>
        <w:r w:rsidR="002C09DF">
          <w:rPr>
            <w:noProof/>
            <w:webHidden/>
          </w:rPr>
          <w:fldChar w:fldCharType="begin"/>
        </w:r>
        <w:r w:rsidR="002C09DF">
          <w:rPr>
            <w:noProof/>
            <w:webHidden/>
          </w:rPr>
          <w:instrText xml:space="preserve"> PAGEREF _Toc493686450 \h </w:instrText>
        </w:r>
        <w:r w:rsidR="002C09DF">
          <w:rPr>
            <w:noProof/>
            <w:webHidden/>
          </w:rPr>
        </w:r>
        <w:r w:rsidR="002C09DF">
          <w:rPr>
            <w:noProof/>
            <w:webHidden/>
          </w:rPr>
          <w:fldChar w:fldCharType="separate"/>
        </w:r>
        <w:r w:rsidR="002C09DF">
          <w:rPr>
            <w:noProof/>
            <w:webHidden/>
          </w:rPr>
          <w:t>9</w:t>
        </w:r>
        <w:r w:rsidR="002C09DF">
          <w:rPr>
            <w:noProof/>
            <w:webHidden/>
          </w:rPr>
          <w:fldChar w:fldCharType="end"/>
        </w:r>
      </w:hyperlink>
    </w:p>
    <w:p w:rsidR="002C09DF" w:rsidRDefault="00312A58">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51" w:history="1">
        <w:r w:rsidR="002C09DF" w:rsidRPr="00A85853">
          <w:rPr>
            <w:rStyle w:val="Hyperlink"/>
            <w:noProof/>
          </w:rPr>
          <w:t>4</w:t>
        </w:r>
        <w:r w:rsidR="002C09DF">
          <w:rPr>
            <w:rFonts w:asciiTheme="minorHAnsi" w:eastAsiaTheme="minorEastAsia" w:hAnsiTheme="minorHAnsi" w:cstheme="minorBidi"/>
            <w:b w:val="0"/>
            <w:noProof/>
            <w:sz w:val="22"/>
            <w:szCs w:val="22"/>
          </w:rPr>
          <w:tab/>
        </w:r>
        <w:r w:rsidR="002C09DF" w:rsidRPr="00A85853">
          <w:rPr>
            <w:rStyle w:val="Hyperlink"/>
            <w:noProof/>
          </w:rPr>
          <w:t>Gunningscriteria</w:t>
        </w:r>
        <w:r w:rsidR="002C09DF">
          <w:rPr>
            <w:noProof/>
            <w:webHidden/>
          </w:rPr>
          <w:tab/>
        </w:r>
        <w:r w:rsidR="002C09DF">
          <w:rPr>
            <w:noProof/>
            <w:webHidden/>
          </w:rPr>
          <w:fldChar w:fldCharType="begin"/>
        </w:r>
        <w:r w:rsidR="002C09DF">
          <w:rPr>
            <w:noProof/>
            <w:webHidden/>
          </w:rPr>
          <w:instrText xml:space="preserve"> PAGEREF _Toc493686451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52" w:history="1">
        <w:r w:rsidR="002C09DF" w:rsidRPr="00A85853">
          <w:rPr>
            <w:rStyle w:val="Hyperlink"/>
            <w:noProof/>
          </w:rPr>
          <w:t>4.1</w:t>
        </w:r>
        <w:r w:rsidR="002C09DF">
          <w:rPr>
            <w:rFonts w:asciiTheme="minorHAnsi" w:eastAsiaTheme="minorEastAsia" w:hAnsiTheme="minorHAnsi" w:cstheme="minorBidi"/>
            <w:noProof/>
            <w:sz w:val="22"/>
            <w:szCs w:val="22"/>
          </w:rPr>
          <w:tab/>
        </w:r>
        <w:r w:rsidR="002C09DF" w:rsidRPr="00A85853">
          <w:rPr>
            <w:rStyle w:val="Hyperlink"/>
            <w:noProof/>
          </w:rPr>
          <w:t>Prijs</w:t>
        </w:r>
        <w:r w:rsidR="002C09DF">
          <w:rPr>
            <w:noProof/>
            <w:webHidden/>
          </w:rPr>
          <w:tab/>
        </w:r>
        <w:r w:rsidR="002C09DF">
          <w:rPr>
            <w:noProof/>
            <w:webHidden/>
          </w:rPr>
          <w:fldChar w:fldCharType="begin"/>
        </w:r>
        <w:r w:rsidR="002C09DF">
          <w:rPr>
            <w:noProof/>
            <w:webHidden/>
          </w:rPr>
          <w:instrText xml:space="preserve"> PAGEREF _Toc493686452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53" w:history="1">
        <w:r w:rsidR="002C09DF" w:rsidRPr="00A85853">
          <w:rPr>
            <w:rStyle w:val="Hyperlink"/>
            <w:noProof/>
          </w:rPr>
          <w:t>4.1.1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_Toc493686453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54" w:history="1">
        <w:r w:rsidR="002C09DF" w:rsidRPr="00A85853">
          <w:rPr>
            <w:rStyle w:val="Hyperlink"/>
            <w:noProof/>
          </w:rPr>
          <w:t>4.1.2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_Toc493686454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55" w:history="1">
        <w:r w:rsidR="002C09DF" w:rsidRPr="00A85853">
          <w:rPr>
            <w:rStyle w:val="Hyperlink"/>
            <w:noProof/>
          </w:rPr>
          <w:t>4.2</w:t>
        </w:r>
        <w:r w:rsidR="002C09DF">
          <w:rPr>
            <w:rFonts w:asciiTheme="minorHAnsi" w:eastAsiaTheme="minorEastAsia" w:hAnsiTheme="minorHAnsi" w:cstheme="minorBidi"/>
            <w:noProof/>
            <w:sz w:val="22"/>
            <w:szCs w:val="22"/>
          </w:rPr>
          <w:tab/>
        </w:r>
        <w:r w:rsidR="002C09DF" w:rsidRPr="00A85853">
          <w:rPr>
            <w:rStyle w:val="Hyperlink"/>
            <w:noProof/>
          </w:rPr>
          <w:t>Kwaliteit In te zetten personeel</w:t>
        </w:r>
        <w:r w:rsidR="002C09DF">
          <w:rPr>
            <w:noProof/>
            <w:webHidden/>
          </w:rPr>
          <w:tab/>
        </w:r>
        <w:r w:rsidR="002C09DF">
          <w:rPr>
            <w:noProof/>
            <w:webHidden/>
          </w:rPr>
          <w:fldChar w:fldCharType="begin"/>
        </w:r>
        <w:r w:rsidR="002C09DF">
          <w:rPr>
            <w:noProof/>
            <w:webHidden/>
          </w:rPr>
          <w:instrText xml:space="preserve"> PAGEREF _Toc493686455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56" w:history="1">
        <w:r w:rsidR="002C09DF" w:rsidRPr="00A85853">
          <w:rPr>
            <w:rStyle w:val="Hyperlink"/>
            <w:noProof/>
          </w:rPr>
          <w:t>4.2.1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_Toc493686456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57" w:history="1">
        <w:r w:rsidR="002C09DF" w:rsidRPr="00A85853">
          <w:rPr>
            <w:rStyle w:val="Hyperlink"/>
            <w:noProof/>
          </w:rPr>
          <w:t>4.2.2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_Toc493686457 \h </w:instrText>
        </w:r>
        <w:r w:rsidR="002C09DF">
          <w:rPr>
            <w:noProof/>
            <w:webHidden/>
          </w:rPr>
        </w:r>
        <w:r w:rsidR="002C09DF">
          <w:rPr>
            <w:noProof/>
            <w:webHidden/>
          </w:rPr>
          <w:fldChar w:fldCharType="separate"/>
        </w:r>
        <w:r w:rsidR="002C09DF">
          <w:rPr>
            <w:noProof/>
            <w:webHidden/>
          </w:rPr>
          <w:t>12</w:t>
        </w:r>
        <w:r w:rsidR="002C09DF">
          <w:rPr>
            <w:noProof/>
            <w:webHidden/>
          </w:rPr>
          <w:fldChar w:fldCharType="end"/>
        </w:r>
      </w:hyperlink>
    </w:p>
    <w:p w:rsidR="002C09DF" w:rsidRDefault="00312A58">
      <w:pPr>
        <w:pStyle w:val="Inhopg2"/>
        <w:tabs>
          <w:tab w:val="left" w:pos="1293"/>
          <w:tab w:val="right" w:leader="dot" w:pos="9063"/>
        </w:tabs>
        <w:rPr>
          <w:rFonts w:asciiTheme="minorHAnsi" w:eastAsiaTheme="minorEastAsia" w:hAnsiTheme="minorHAnsi" w:cstheme="minorBidi"/>
          <w:noProof/>
          <w:sz w:val="22"/>
          <w:szCs w:val="22"/>
        </w:rPr>
      </w:pPr>
      <w:hyperlink w:anchor="_Toc493686458" w:history="1">
        <w:r w:rsidR="002C09DF" w:rsidRPr="00A85853">
          <w:rPr>
            <w:rStyle w:val="Hyperlink"/>
            <w:noProof/>
          </w:rPr>
          <w:t>4.3</w:t>
        </w:r>
        <w:r w:rsidR="002C09DF">
          <w:rPr>
            <w:rFonts w:asciiTheme="minorHAnsi" w:eastAsiaTheme="minorEastAsia" w:hAnsiTheme="minorHAnsi" w:cstheme="minorBidi"/>
            <w:noProof/>
            <w:sz w:val="22"/>
            <w:szCs w:val="22"/>
          </w:rPr>
          <w:tab/>
        </w:r>
        <w:r w:rsidR="002C09DF" w:rsidRPr="00A85853">
          <w:rPr>
            <w:rStyle w:val="Hyperlink"/>
            <w:rFonts w:cs="Arial"/>
            <w:noProof/>
          </w:rPr>
          <w:t>Kwaliteit Transitie</w:t>
        </w:r>
        <w:r w:rsidR="002C09DF">
          <w:rPr>
            <w:noProof/>
            <w:webHidden/>
          </w:rPr>
          <w:tab/>
        </w:r>
        <w:r w:rsidR="002C09DF">
          <w:rPr>
            <w:noProof/>
            <w:webHidden/>
          </w:rPr>
          <w:fldChar w:fldCharType="begin"/>
        </w:r>
        <w:r w:rsidR="002C09DF">
          <w:rPr>
            <w:noProof/>
            <w:webHidden/>
          </w:rPr>
          <w:instrText xml:space="preserve"> PAGEREF _Toc493686458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59" w:history="1">
        <w:r w:rsidR="002C09DF" w:rsidRPr="00A85853">
          <w:rPr>
            <w:rStyle w:val="Hyperlink"/>
            <w:noProof/>
          </w:rPr>
          <w:t>4.3.1</w:t>
        </w:r>
        <w:r w:rsidR="002C09DF">
          <w:rPr>
            <w:rFonts w:asciiTheme="minorHAnsi" w:eastAsiaTheme="minorEastAsia" w:hAnsiTheme="minorHAnsi" w:cstheme="minorBidi"/>
            <w:noProof/>
            <w:sz w:val="22"/>
            <w:szCs w:val="22"/>
          </w:rPr>
          <w:tab/>
        </w:r>
        <w:r w:rsidR="002C09DF" w:rsidRPr="00A85853">
          <w:rPr>
            <w:rStyle w:val="Hyperlink"/>
            <w:noProof/>
          </w:rPr>
          <w:t>Toelichting</w:t>
        </w:r>
        <w:r w:rsidR="002C09DF">
          <w:rPr>
            <w:noProof/>
            <w:webHidden/>
          </w:rPr>
          <w:tab/>
        </w:r>
        <w:r w:rsidR="002C09DF">
          <w:rPr>
            <w:noProof/>
            <w:webHidden/>
          </w:rPr>
          <w:fldChar w:fldCharType="begin"/>
        </w:r>
        <w:r w:rsidR="002C09DF">
          <w:rPr>
            <w:noProof/>
            <w:webHidden/>
          </w:rPr>
          <w:instrText xml:space="preserve"> PAGEREF _Toc493686459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60" w:history="1">
        <w:r w:rsidR="002C09DF" w:rsidRPr="00A85853">
          <w:rPr>
            <w:rStyle w:val="Hyperlink"/>
            <w:noProof/>
          </w:rPr>
          <w:t>4.3.2</w:t>
        </w:r>
        <w:r w:rsidR="002C09DF">
          <w:rPr>
            <w:rFonts w:asciiTheme="minorHAnsi" w:eastAsiaTheme="minorEastAsia" w:hAnsiTheme="minorHAnsi" w:cstheme="minorBidi"/>
            <w:noProof/>
            <w:sz w:val="22"/>
            <w:szCs w:val="22"/>
          </w:rPr>
          <w:tab/>
        </w:r>
        <w:r w:rsidR="002C09DF" w:rsidRPr="00A85853">
          <w:rPr>
            <w:rStyle w:val="Hyperlink"/>
            <w:noProof/>
          </w:rPr>
          <w:t>In te dienen documenten</w:t>
        </w:r>
        <w:r w:rsidR="002C09DF">
          <w:rPr>
            <w:noProof/>
            <w:webHidden/>
          </w:rPr>
          <w:tab/>
        </w:r>
        <w:r w:rsidR="002C09DF">
          <w:rPr>
            <w:noProof/>
            <w:webHidden/>
          </w:rPr>
          <w:fldChar w:fldCharType="begin"/>
        </w:r>
        <w:r w:rsidR="002C09DF">
          <w:rPr>
            <w:noProof/>
            <w:webHidden/>
          </w:rPr>
          <w:instrText xml:space="preserve"> PAGEREF _Toc493686460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12A58">
      <w:pPr>
        <w:pStyle w:val="Inhopg3"/>
        <w:tabs>
          <w:tab w:val="left" w:pos="1382"/>
          <w:tab w:val="right" w:leader="dot" w:pos="9063"/>
        </w:tabs>
        <w:rPr>
          <w:rFonts w:asciiTheme="minorHAnsi" w:eastAsiaTheme="minorEastAsia" w:hAnsiTheme="minorHAnsi" w:cstheme="minorBidi"/>
          <w:noProof/>
          <w:sz w:val="22"/>
          <w:szCs w:val="22"/>
        </w:rPr>
      </w:pPr>
      <w:hyperlink w:anchor="_Toc493686461" w:history="1">
        <w:r w:rsidR="002C09DF" w:rsidRPr="00A85853">
          <w:rPr>
            <w:rStyle w:val="Hyperlink"/>
            <w:noProof/>
          </w:rPr>
          <w:t>4.3.3</w:t>
        </w:r>
        <w:r w:rsidR="002C09DF">
          <w:rPr>
            <w:rFonts w:asciiTheme="minorHAnsi" w:eastAsiaTheme="minorEastAsia" w:hAnsiTheme="minorHAnsi" w:cstheme="minorBidi"/>
            <w:noProof/>
            <w:sz w:val="22"/>
            <w:szCs w:val="22"/>
          </w:rPr>
          <w:tab/>
        </w:r>
        <w:r w:rsidR="002C09DF" w:rsidRPr="00A85853">
          <w:rPr>
            <w:rStyle w:val="Hyperlink"/>
            <w:noProof/>
          </w:rPr>
          <w:t>Beoordeling</w:t>
        </w:r>
        <w:r w:rsidR="002C09DF">
          <w:rPr>
            <w:noProof/>
            <w:webHidden/>
          </w:rPr>
          <w:tab/>
        </w:r>
        <w:r w:rsidR="002C09DF">
          <w:rPr>
            <w:noProof/>
            <w:webHidden/>
          </w:rPr>
          <w:fldChar w:fldCharType="begin"/>
        </w:r>
        <w:r w:rsidR="002C09DF">
          <w:rPr>
            <w:noProof/>
            <w:webHidden/>
          </w:rPr>
          <w:instrText xml:space="preserve"> PAGEREF _Toc493686461 \h </w:instrText>
        </w:r>
        <w:r w:rsidR="002C09DF">
          <w:rPr>
            <w:noProof/>
            <w:webHidden/>
          </w:rPr>
        </w:r>
        <w:r w:rsidR="002C09DF">
          <w:rPr>
            <w:noProof/>
            <w:webHidden/>
          </w:rPr>
          <w:fldChar w:fldCharType="separate"/>
        </w:r>
        <w:r w:rsidR="002C09DF">
          <w:rPr>
            <w:noProof/>
            <w:webHidden/>
          </w:rPr>
          <w:t>13</w:t>
        </w:r>
        <w:r w:rsidR="002C09DF">
          <w:rPr>
            <w:noProof/>
            <w:webHidden/>
          </w:rPr>
          <w:fldChar w:fldCharType="end"/>
        </w:r>
      </w:hyperlink>
    </w:p>
    <w:p w:rsidR="002C09DF" w:rsidRDefault="00312A58">
      <w:pPr>
        <w:pStyle w:val="Inhopg1"/>
        <w:tabs>
          <w:tab w:val="left" w:pos="1166"/>
          <w:tab w:val="right" w:leader="dot" w:pos="9063"/>
        </w:tabs>
        <w:rPr>
          <w:rFonts w:asciiTheme="minorHAnsi" w:eastAsiaTheme="minorEastAsia" w:hAnsiTheme="minorHAnsi" w:cstheme="minorBidi"/>
          <w:b w:val="0"/>
          <w:noProof/>
          <w:sz w:val="22"/>
          <w:szCs w:val="22"/>
        </w:rPr>
      </w:pPr>
      <w:hyperlink w:anchor="_Toc493686462" w:history="1">
        <w:r w:rsidR="002C09DF" w:rsidRPr="00A85853">
          <w:rPr>
            <w:rStyle w:val="Hyperlink"/>
            <w:noProof/>
          </w:rPr>
          <w:t>5</w:t>
        </w:r>
        <w:r w:rsidR="002C09DF">
          <w:rPr>
            <w:rFonts w:asciiTheme="minorHAnsi" w:eastAsiaTheme="minorEastAsia" w:hAnsiTheme="minorHAnsi" w:cstheme="minorBidi"/>
            <w:b w:val="0"/>
            <w:noProof/>
            <w:sz w:val="22"/>
            <w:szCs w:val="22"/>
          </w:rPr>
          <w:tab/>
        </w:r>
        <w:r w:rsidR="002C09DF" w:rsidRPr="00A85853">
          <w:rPr>
            <w:rStyle w:val="Hyperlink"/>
            <w:noProof/>
          </w:rPr>
          <w:t>Bijlagen aanbestedingsleidraad</w:t>
        </w:r>
        <w:r w:rsidR="002C09DF">
          <w:rPr>
            <w:noProof/>
            <w:webHidden/>
          </w:rPr>
          <w:tab/>
        </w:r>
        <w:r w:rsidR="002C09DF">
          <w:rPr>
            <w:noProof/>
            <w:webHidden/>
          </w:rPr>
          <w:fldChar w:fldCharType="begin"/>
        </w:r>
        <w:r w:rsidR="002C09DF">
          <w:rPr>
            <w:noProof/>
            <w:webHidden/>
          </w:rPr>
          <w:instrText xml:space="preserve"> PAGEREF _Toc493686462 \h </w:instrText>
        </w:r>
        <w:r w:rsidR="002C09DF">
          <w:rPr>
            <w:noProof/>
            <w:webHidden/>
          </w:rPr>
        </w:r>
        <w:r w:rsidR="002C09DF">
          <w:rPr>
            <w:noProof/>
            <w:webHidden/>
          </w:rPr>
          <w:fldChar w:fldCharType="separate"/>
        </w:r>
        <w:r w:rsidR="002C09DF">
          <w:rPr>
            <w:noProof/>
            <w:webHidden/>
          </w:rPr>
          <w:t>14</w:t>
        </w:r>
        <w:r w:rsidR="002C09DF">
          <w:rPr>
            <w:noProof/>
            <w:webHidden/>
          </w:rPr>
          <w:fldChar w:fldCharType="end"/>
        </w:r>
      </w:hyperlink>
    </w:p>
    <w:p w:rsidR="006566FE" w:rsidRDefault="006566FE" w:rsidP="00416338">
      <w:pPr>
        <w:pStyle w:val="Kop1"/>
        <w:numPr>
          <w:ilvl w:val="0"/>
          <w:numId w:val="0"/>
        </w:numPr>
        <w:tabs>
          <w:tab w:val="clear" w:pos="851"/>
          <w:tab w:val="left" w:pos="0"/>
        </w:tabs>
      </w:pPr>
      <w:r>
        <w:fldChar w:fldCharType="end"/>
      </w:r>
      <w:bookmarkStart w:id="5" w:name="_Toc414955167"/>
      <w:bookmarkStart w:id="6" w:name="_Toc415296632"/>
      <w:bookmarkStart w:id="7" w:name="_Toc48642880"/>
      <w:bookmarkStart w:id="8" w:name="_Toc75172224"/>
      <w:bookmarkEnd w:id="3"/>
      <w:bookmarkEnd w:id="4"/>
      <w:r w:rsidR="00AE1CBD">
        <w:br w:type="page"/>
      </w:r>
      <w:bookmarkStart w:id="9" w:name="_Toc493686437"/>
      <w:r w:rsidR="00A60C9B">
        <w:lastRenderedPageBreak/>
        <w:t xml:space="preserve">1  </w:t>
      </w:r>
      <w:r w:rsidR="00A60C9B">
        <w:tab/>
      </w:r>
      <w:bookmarkEnd w:id="5"/>
      <w:bookmarkEnd w:id="6"/>
      <w:bookmarkEnd w:id="7"/>
      <w:bookmarkEnd w:id="8"/>
      <w:r w:rsidR="004A454A">
        <w:t>Inleiding</w:t>
      </w:r>
      <w:bookmarkEnd w:id="9"/>
    </w:p>
    <w:p w:rsidR="006566FE" w:rsidRDefault="004A454A" w:rsidP="00665FD3">
      <w:pPr>
        <w:pStyle w:val="Kop2"/>
        <w:ind w:left="851" w:hanging="851"/>
      </w:pPr>
      <w:bookmarkStart w:id="10" w:name="_Toc493686438"/>
      <w:r>
        <w:t>Achtergrond</w:t>
      </w:r>
      <w:bookmarkEnd w:id="10"/>
      <w:r>
        <w:t xml:space="preserve"> </w:t>
      </w:r>
    </w:p>
    <w:p w:rsidR="001A0B4F" w:rsidRDefault="001A0B4F" w:rsidP="001A0B4F">
      <w:r>
        <w:t>ProRail B.V. (hierna: ProRail) is verantwoordelijk voor het spoorwegnet van Nederland: aanleg,</w:t>
      </w:r>
    </w:p>
    <w:p w:rsidR="001A0B4F" w:rsidRDefault="001A0B4F" w:rsidP="001A0B4F">
      <w:r>
        <w:t>onderhoud, beheer en veiligheid. Medewerkers zorgen ervoor dat elke dag, 24/7, 1.200.000 reizigers</w:t>
      </w:r>
    </w:p>
    <w:p w:rsidR="001A0B4F" w:rsidRDefault="001A0B4F" w:rsidP="001A0B4F">
      <w:r>
        <w:t>en 100.000 ton goederen op hun plaats van bestemming komen, met 6550 treinen over ruim 7000</w:t>
      </w:r>
    </w:p>
    <w:p w:rsidR="001A0B4F" w:rsidRDefault="001A0B4F" w:rsidP="001A0B4F">
      <w:r>
        <w:t>kilometer spoor. Het spoorwegnet is met recht het kloppend hart van mobiel Nederland.</w:t>
      </w:r>
    </w:p>
    <w:p w:rsidR="001A0B4F" w:rsidRDefault="001A0B4F" w:rsidP="001A0B4F">
      <w:r>
        <w:t>ProRail werkt aan de bereikbaarheid van Nederland door te zorgen voor een optimaal spoornetwerk.</w:t>
      </w:r>
    </w:p>
    <w:p w:rsidR="001A0B4F" w:rsidRDefault="001A0B4F" w:rsidP="001A0B4F">
      <w:r>
        <w:t>We verdelen de capaciteit op het spoor, regelen alle treinverkeer, bouwen en beheren stations en</w:t>
      </w:r>
    </w:p>
    <w:p w:rsidR="001A0B4F" w:rsidRDefault="001A0B4F" w:rsidP="001A0B4F">
      <w:r>
        <w:t>leggen nieuw spoor aan. Tevens onderhoudt ProRail bestaande infrastructuur zoals spoor, wissels,</w:t>
      </w:r>
    </w:p>
    <w:p w:rsidR="001A0B4F" w:rsidRDefault="001A0B4F" w:rsidP="001A0B4F">
      <w:r>
        <w:t>seinen en overwegen.</w:t>
      </w:r>
    </w:p>
    <w:p w:rsidR="001A0B4F" w:rsidRDefault="001A0B4F" w:rsidP="001A0B4F"/>
    <w:p w:rsidR="001A0B4F" w:rsidRDefault="001A0B4F" w:rsidP="001A0B4F">
      <w:r>
        <w:t>ProRail levert een belangrijke bijdrage aan het toegankelijk houden van Nederland. Daarvoor wordt</w:t>
      </w:r>
    </w:p>
    <w:p w:rsidR="001A0B4F" w:rsidRDefault="001A0B4F" w:rsidP="001A0B4F">
      <w:r>
        <w:t>samen gewerkt met personen- en goederenvervoerders, waarbij we de belangen van hun klanten niet</w:t>
      </w:r>
    </w:p>
    <w:p w:rsidR="001A0B4F" w:rsidRDefault="001A0B4F" w:rsidP="001A0B4F">
      <w:r>
        <w:t>uit het oog verliezen. Samen met gemeenten en provincies wordt gekeken op welke wijze het beste</w:t>
      </w:r>
    </w:p>
    <w:p w:rsidR="001A0B4F" w:rsidRDefault="001A0B4F" w:rsidP="001A0B4F">
      <w:r>
        <w:t>aan hun vraag naar treinvervoer en stationsvoorzieningen kan worden voldaan. Dit vertaalt zich in de</w:t>
      </w:r>
    </w:p>
    <w:p w:rsidR="001A0B4F" w:rsidRDefault="001A0B4F" w:rsidP="001A0B4F">
      <w:r>
        <w:t>vier strategische doelstellingen van ProRail: Veilig Spoor, Betrouwbaar Spoor, Punctueel Spoor en</w:t>
      </w:r>
    </w:p>
    <w:p w:rsidR="001A0B4F" w:rsidRDefault="001A0B4F" w:rsidP="001A0B4F">
      <w:r>
        <w:t>Duurzaam Spoor.</w:t>
      </w:r>
    </w:p>
    <w:p w:rsidR="001A0B4F" w:rsidRDefault="001A0B4F" w:rsidP="001A0B4F"/>
    <w:p w:rsidR="001A0B4F" w:rsidRDefault="001A0B4F" w:rsidP="001A0B4F">
      <w:r>
        <w:t>ProRail besteedt werkzaamheden uit die marktpartijen kunnen uitvoeren. De aandacht van ProRail is</w:t>
      </w:r>
    </w:p>
    <w:p w:rsidR="001A0B4F" w:rsidRDefault="001A0B4F" w:rsidP="001A0B4F">
      <w:r>
        <w:t>gericht op het specificeren, het in concurrentie brengen en het in onderling verband managen van</w:t>
      </w:r>
    </w:p>
    <w:p w:rsidR="001A0B4F" w:rsidRDefault="001A0B4F" w:rsidP="001A0B4F">
      <w:r>
        <w:t>contracten. ProRail heeft daartoe contracteringsbeleid vastgesteld. Het contracteringsbeleid is te</w:t>
      </w:r>
    </w:p>
    <w:p w:rsidR="001A0B4F" w:rsidRDefault="001A0B4F" w:rsidP="001A0B4F">
      <w:r>
        <w:t>vinden op http://www.prorail.nl/leveranciers/aanbesteden-en-inkoop/documenten-en-juridischevoorwaarden.</w:t>
      </w:r>
    </w:p>
    <w:p w:rsidR="001A0B4F" w:rsidRDefault="001A0B4F" w:rsidP="001A0B4F"/>
    <w:p w:rsidR="001A0B4F" w:rsidRDefault="001A0B4F" w:rsidP="001A0B4F">
      <w:r>
        <w:t>De contractering dient gericht te zijn op het behalen van kosteneffectieve resultaten. Voor nieuwbouw,</w:t>
      </w:r>
    </w:p>
    <w:p w:rsidR="001A0B4F" w:rsidRDefault="001A0B4F" w:rsidP="001A0B4F">
      <w:r>
        <w:t>instandhouding, bij levering van producten en diensten streeft ProRail naar kwaliteit en functionaliteit</w:t>
      </w:r>
    </w:p>
    <w:p w:rsidR="001A0B4F" w:rsidRDefault="001A0B4F" w:rsidP="001A0B4F">
      <w:r>
        <w:t>tegen een reële prijs, een zo hoog mogelijk rendement op het vlak van beschikbaarheid,</w:t>
      </w:r>
    </w:p>
    <w:p w:rsidR="001A0B4F" w:rsidRDefault="001A0B4F" w:rsidP="001A0B4F">
      <w:r>
        <w:t>betrouwbaarheid en veiligheid van het spoor. ProRail streeft tegelijkertijd naar zo min mogelijk</w:t>
      </w:r>
    </w:p>
    <w:p w:rsidR="001A0B4F" w:rsidRDefault="001A0B4F" w:rsidP="001A0B4F">
      <w:r>
        <w:t>overlast voor vervoerder en omgeving. Tot slot beoogt ProRail optimaal gebruik te maken van het</w:t>
      </w:r>
    </w:p>
    <w:p w:rsidR="001A0B4F" w:rsidRDefault="001A0B4F" w:rsidP="001A0B4F">
      <w:r>
        <w:t>innovatieve vermogen van de markt waarbij ProRail een continue ontwikkeling nastreeft waarin wordt</w:t>
      </w:r>
    </w:p>
    <w:p w:rsidR="004A454A" w:rsidRDefault="001A0B4F" w:rsidP="001A0B4F">
      <w:r>
        <w:t>gezocht naar betere samenwerkingsvormen met marktpartijen.</w:t>
      </w:r>
    </w:p>
    <w:p w:rsidR="004533E0" w:rsidRDefault="004533E0" w:rsidP="001A0B4F"/>
    <w:p w:rsidR="001A0B4F" w:rsidRPr="004A454A" w:rsidRDefault="001A0B4F" w:rsidP="001A0B4F"/>
    <w:p w:rsidR="004A454A" w:rsidRPr="0067326C" w:rsidRDefault="004A454A" w:rsidP="004A454A">
      <w:pPr>
        <w:pStyle w:val="Kop2"/>
        <w:ind w:left="851" w:hanging="851"/>
      </w:pPr>
      <w:bookmarkStart w:id="11" w:name="_Toc493686439"/>
      <w:r>
        <w:t>Doel aanbestedingsleidraad</w:t>
      </w:r>
      <w:bookmarkEnd w:id="11"/>
    </w:p>
    <w:p w:rsidR="008C30F9" w:rsidRDefault="005A1CDC" w:rsidP="00D429CA">
      <w:pPr>
        <w:rPr>
          <w:rFonts w:cs="Arial"/>
        </w:rPr>
      </w:pPr>
      <w:r>
        <w:rPr>
          <w:rFonts w:cs="Arial"/>
        </w:rPr>
        <w:t>De</w:t>
      </w:r>
      <w:r w:rsidR="001A0B4F">
        <w:rPr>
          <w:rFonts w:cs="Arial"/>
        </w:rPr>
        <w:t xml:space="preserve">ze </w:t>
      </w:r>
      <w:r w:rsidR="006566FE">
        <w:rPr>
          <w:rFonts w:cs="Arial"/>
        </w:rPr>
        <w:t xml:space="preserve">aanbestedingsleidraad </w:t>
      </w:r>
      <w:r>
        <w:rPr>
          <w:rFonts w:cs="Arial"/>
        </w:rPr>
        <w:t xml:space="preserve">bevat de beschrijving van het verloop van de aanbestedingsprocedure om tot gunning </w:t>
      </w:r>
      <w:r w:rsidR="0013589F">
        <w:rPr>
          <w:rFonts w:cs="Arial"/>
        </w:rPr>
        <w:t xml:space="preserve">van de opdracht voor het bedienen van de </w:t>
      </w:r>
      <w:r w:rsidR="007626BC">
        <w:rPr>
          <w:rFonts w:cs="Arial"/>
        </w:rPr>
        <w:t>3</w:t>
      </w:r>
      <w:r w:rsidR="0013589F">
        <w:rPr>
          <w:rFonts w:cs="Arial"/>
        </w:rPr>
        <w:t xml:space="preserve"> individuele brugcomplexen te komen</w:t>
      </w:r>
      <w:r>
        <w:rPr>
          <w:rFonts w:cs="Arial"/>
        </w:rPr>
        <w:t>.</w:t>
      </w:r>
    </w:p>
    <w:p w:rsidR="00B3491F" w:rsidRDefault="00B3491F" w:rsidP="00B3491F">
      <w:pPr>
        <w:rPr>
          <w:rFonts w:cs="Arial"/>
        </w:rPr>
      </w:pPr>
      <w:r w:rsidRPr="00B3491F">
        <w:rPr>
          <w:rFonts w:cs="Arial"/>
        </w:rPr>
        <w:t xml:space="preserve">De </w:t>
      </w:r>
      <w:r w:rsidR="007626BC">
        <w:rPr>
          <w:rFonts w:cs="Arial"/>
        </w:rPr>
        <w:t>3</w:t>
      </w:r>
      <w:r w:rsidRPr="00B3491F">
        <w:rPr>
          <w:rFonts w:cs="Arial"/>
        </w:rPr>
        <w:t xml:space="preserve"> individuele brugcomplexen </w:t>
      </w:r>
      <w:r w:rsidR="002C09DF">
        <w:rPr>
          <w:rFonts w:cs="Arial"/>
        </w:rPr>
        <w:t>zijn</w:t>
      </w:r>
      <w:r w:rsidRPr="00B3491F">
        <w:rPr>
          <w:rFonts w:cs="Arial"/>
        </w:rPr>
        <w:t xml:space="preserve"> als lo</w:t>
      </w:r>
      <w:r w:rsidR="002C09DF">
        <w:rPr>
          <w:rFonts w:cs="Arial"/>
        </w:rPr>
        <w:t xml:space="preserve">sse percelen in de aanbestedingsprocedure </w:t>
      </w:r>
      <w:r w:rsidRPr="00B3491F">
        <w:rPr>
          <w:rFonts w:cs="Arial"/>
        </w:rPr>
        <w:t xml:space="preserve">opgenomen. </w:t>
      </w:r>
      <w:r w:rsidR="00F036FC">
        <w:rPr>
          <w:rFonts w:cs="Arial"/>
        </w:rPr>
        <w:t>Daarnaast is het mogelijk om in te schrijven op de combinatie van Perceel 1 en Perceel 2:</w:t>
      </w:r>
    </w:p>
    <w:p w:rsidR="0013589F" w:rsidRPr="00B3491F" w:rsidRDefault="0013589F" w:rsidP="00B3491F">
      <w:pPr>
        <w:rPr>
          <w:rFonts w:cs="Arial"/>
        </w:rPr>
      </w:pPr>
    </w:p>
    <w:p w:rsidR="00B3491F" w:rsidRPr="00B3491F" w:rsidRDefault="00B3491F" w:rsidP="00B3491F">
      <w:pPr>
        <w:rPr>
          <w:rFonts w:cs="Arial"/>
        </w:rPr>
      </w:pPr>
      <w:r w:rsidRPr="00B3491F">
        <w:rPr>
          <w:rFonts w:cs="Arial"/>
        </w:rPr>
        <w:t>•</w:t>
      </w:r>
      <w:r w:rsidRPr="00B3491F">
        <w:rPr>
          <w:rFonts w:cs="Arial"/>
        </w:rPr>
        <w:tab/>
        <w:t>Perceel 1</w:t>
      </w:r>
      <w:r w:rsidRPr="00B3491F">
        <w:rPr>
          <w:rFonts w:cs="Arial"/>
        </w:rPr>
        <w:tab/>
        <w:t>brugcomplex Oosterdoksluis te Amsterdam (ODS)</w:t>
      </w:r>
    </w:p>
    <w:p w:rsidR="00B3491F" w:rsidRPr="00B3491F" w:rsidRDefault="00B3491F" w:rsidP="00B3491F">
      <w:pPr>
        <w:rPr>
          <w:rFonts w:cs="Arial"/>
        </w:rPr>
      </w:pPr>
      <w:r w:rsidRPr="00B3491F">
        <w:rPr>
          <w:rFonts w:cs="Arial"/>
        </w:rPr>
        <w:t>•</w:t>
      </w:r>
      <w:r w:rsidRPr="00B3491F">
        <w:rPr>
          <w:rFonts w:cs="Arial"/>
        </w:rPr>
        <w:tab/>
        <w:t>Perceel 2</w:t>
      </w:r>
      <w:r w:rsidRPr="00B3491F">
        <w:rPr>
          <w:rFonts w:cs="Arial"/>
        </w:rPr>
        <w:tab/>
        <w:t>Vechtbruggen te Weesp</w:t>
      </w:r>
    </w:p>
    <w:p w:rsidR="00B3491F" w:rsidRPr="00B3491F" w:rsidRDefault="00B3491F" w:rsidP="00B3491F">
      <w:pPr>
        <w:rPr>
          <w:rFonts w:cs="Arial"/>
        </w:rPr>
      </w:pPr>
      <w:r w:rsidRPr="00B3491F">
        <w:rPr>
          <w:rFonts w:cs="Arial"/>
        </w:rPr>
        <w:t>•</w:t>
      </w:r>
      <w:r w:rsidRPr="00B3491F">
        <w:rPr>
          <w:rFonts w:cs="Arial"/>
        </w:rPr>
        <w:tab/>
        <w:t>Perceel 3</w:t>
      </w:r>
      <w:r w:rsidRPr="00B3491F">
        <w:rPr>
          <w:rFonts w:cs="Arial"/>
        </w:rPr>
        <w:tab/>
        <w:t>Brug over de Dubbele Wiericke te Nieuwerbrug</w:t>
      </w:r>
    </w:p>
    <w:p w:rsidR="0013589F" w:rsidRPr="00B3491F" w:rsidRDefault="007626BC" w:rsidP="00B3491F">
      <w:pPr>
        <w:rPr>
          <w:rFonts w:cs="Arial"/>
        </w:rPr>
      </w:pPr>
      <w:r>
        <w:rPr>
          <w:rFonts w:cs="Arial"/>
        </w:rPr>
        <w:t>•</w:t>
      </w:r>
      <w:r>
        <w:rPr>
          <w:rFonts w:cs="Arial"/>
        </w:rPr>
        <w:tab/>
      </w:r>
      <w:r>
        <w:rPr>
          <w:rFonts w:cs="Arial"/>
        </w:rPr>
        <w:tab/>
      </w:r>
      <w:r>
        <w:rPr>
          <w:rFonts w:cs="Arial"/>
        </w:rPr>
        <w:tab/>
      </w:r>
      <w:r w:rsidR="00F036FC">
        <w:rPr>
          <w:rFonts w:cs="Arial"/>
        </w:rPr>
        <w:t>C</w:t>
      </w:r>
      <w:r w:rsidR="00C92F67">
        <w:rPr>
          <w:rFonts w:cs="Arial"/>
        </w:rPr>
        <w:t>ombinatie van perce</w:t>
      </w:r>
      <w:r w:rsidR="00F036FC">
        <w:rPr>
          <w:rFonts w:cs="Arial"/>
        </w:rPr>
        <w:t>e</w:t>
      </w:r>
      <w:r w:rsidR="00C92F67">
        <w:rPr>
          <w:rFonts w:cs="Arial"/>
        </w:rPr>
        <w:t>l</w:t>
      </w:r>
      <w:r w:rsidR="00F036FC">
        <w:rPr>
          <w:rFonts w:cs="Arial"/>
        </w:rPr>
        <w:t xml:space="preserve"> 1 en perceel 2</w:t>
      </w:r>
      <w:r w:rsidR="00C92F67" w:rsidRPr="00C92F67">
        <w:rPr>
          <w:rFonts w:cs="Arial"/>
        </w:rPr>
        <w:t>.</w:t>
      </w:r>
    </w:p>
    <w:p w:rsidR="00C92F67" w:rsidRDefault="00C92F67" w:rsidP="00B3491F">
      <w:pPr>
        <w:rPr>
          <w:rFonts w:cs="Arial"/>
        </w:rPr>
      </w:pPr>
    </w:p>
    <w:p w:rsidR="004533E0" w:rsidRDefault="00F036FC" w:rsidP="007626BC">
      <w:pPr>
        <w:rPr>
          <w:b/>
          <w:kern w:val="28"/>
          <w:sz w:val="24"/>
        </w:rPr>
      </w:pPr>
      <w:r>
        <w:rPr>
          <w:rFonts w:cs="Arial"/>
        </w:rPr>
        <w:t>Bij inschrijving op de</w:t>
      </w:r>
      <w:r w:rsidR="00C92F67">
        <w:rPr>
          <w:rFonts w:cs="Arial"/>
        </w:rPr>
        <w:t xml:space="preserve"> combinatie van percelen</w:t>
      </w:r>
      <w:r>
        <w:rPr>
          <w:rFonts w:cs="Arial"/>
        </w:rPr>
        <w:t xml:space="preserve"> 1 en 2</w:t>
      </w:r>
      <w:r w:rsidR="007626BC">
        <w:rPr>
          <w:rFonts w:cs="Arial"/>
        </w:rPr>
        <w:t xml:space="preserve"> </w:t>
      </w:r>
      <w:r w:rsidR="00C92F67">
        <w:rPr>
          <w:rFonts w:cs="Arial"/>
        </w:rPr>
        <w:t xml:space="preserve"> verp</w:t>
      </w:r>
      <w:r w:rsidR="006633FA">
        <w:rPr>
          <w:rFonts w:cs="Arial"/>
        </w:rPr>
        <w:t>licht inschrijver zich om ook een aan</w:t>
      </w:r>
      <w:r w:rsidR="00C92F67">
        <w:rPr>
          <w:rFonts w:cs="Arial"/>
        </w:rPr>
        <w:t>b</w:t>
      </w:r>
      <w:r w:rsidR="006633FA">
        <w:rPr>
          <w:rFonts w:cs="Arial"/>
        </w:rPr>
        <w:t>i</w:t>
      </w:r>
      <w:r w:rsidR="00C92F67">
        <w:rPr>
          <w:rFonts w:cs="Arial"/>
        </w:rPr>
        <w:t>e</w:t>
      </w:r>
      <w:r w:rsidR="006633FA">
        <w:rPr>
          <w:rFonts w:cs="Arial"/>
        </w:rPr>
        <w:t>d</w:t>
      </w:r>
      <w:r w:rsidR="00C92F67">
        <w:rPr>
          <w:rFonts w:cs="Arial"/>
        </w:rPr>
        <w:t xml:space="preserve">ing op </w:t>
      </w:r>
      <w:r>
        <w:rPr>
          <w:rFonts w:cs="Arial"/>
        </w:rPr>
        <w:t>de twee i</w:t>
      </w:r>
      <w:r w:rsidR="00C92F67">
        <w:rPr>
          <w:rFonts w:cs="Arial"/>
        </w:rPr>
        <w:t>ndividueel perceel in te dienen</w:t>
      </w:r>
      <w:r w:rsidR="006633FA">
        <w:rPr>
          <w:rFonts w:cs="Arial"/>
        </w:rPr>
        <w:t xml:space="preserve">. </w:t>
      </w:r>
      <w:bookmarkStart w:id="12" w:name="_Toc415296638"/>
      <w:bookmarkStart w:id="13" w:name="_Toc48642887"/>
      <w:bookmarkStart w:id="14" w:name="_Toc75172237"/>
      <w:r w:rsidR="004533E0">
        <w:br w:type="page"/>
      </w:r>
    </w:p>
    <w:p w:rsidR="00E778E1" w:rsidRDefault="00E778E1" w:rsidP="00E778E1">
      <w:pPr>
        <w:pStyle w:val="Kop1"/>
        <w:tabs>
          <w:tab w:val="clear" w:pos="432"/>
          <w:tab w:val="num" w:pos="709"/>
        </w:tabs>
        <w:ind w:left="709" w:hanging="709"/>
      </w:pPr>
      <w:bookmarkStart w:id="15" w:name="_Toc493686440"/>
      <w:r>
        <w:lastRenderedPageBreak/>
        <w:t>Aanbestedingsprocedure</w:t>
      </w:r>
      <w:bookmarkEnd w:id="15"/>
    </w:p>
    <w:p w:rsidR="00E778E1" w:rsidRPr="00E778E1" w:rsidRDefault="001A0B4F" w:rsidP="00E778E1">
      <w:pPr>
        <w:pStyle w:val="Kop2"/>
        <w:ind w:left="851" w:hanging="851"/>
      </w:pPr>
      <w:bookmarkStart w:id="16" w:name="_Toc304905465"/>
      <w:bookmarkStart w:id="17" w:name="_Toc304905511"/>
      <w:bookmarkStart w:id="18" w:name="_Toc304961988"/>
      <w:bookmarkStart w:id="19" w:name="_Toc304962118"/>
      <w:bookmarkStart w:id="20" w:name="_Toc304905466"/>
      <w:bookmarkStart w:id="21" w:name="_Toc304905512"/>
      <w:bookmarkStart w:id="22" w:name="_Toc304961989"/>
      <w:bookmarkStart w:id="23" w:name="_Toc304962119"/>
      <w:bookmarkStart w:id="24" w:name="_Toc304905467"/>
      <w:bookmarkStart w:id="25" w:name="_Toc304905513"/>
      <w:bookmarkStart w:id="26" w:name="_Toc304961990"/>
      <w:bookmarkStart w:id="27" w:name="_Toc304962120"/>
      <w:bookmarkStart w:id="28" w:name="_Toc304905468"/>
      <w:bookmarkStart w:id="29" w:name="_Toc304905514"/>
      <w:bookmarkStart w:id="30" w:name="_Toc304961991"/>
      <w:bookmarkStart w:id="31" w:name="_Toc304962121"/>
      <w:bookmarkStart w:id="32" w:name="_Toc493686441"/>
      <w:bookmarkEnd w:id="12"/>
      <w:bookmarkEnd w:id="13"/>
      <w:bookmarkEnd w:id="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Voorwaarden</w:t>
      </w:r>
      <w:bookmarkEnd w:id="32"/>
      <w:r>
        <w:t xml:space="preserve"> </w:t>
      </w:r>
    </w:p>
    <w:p w:rsidR="001A0B4F" w:rsidRPr="001A0B4F" w:rsidRDefault="001A0B4F" w:rsidP="001A0B4F">
      <w:pPr>
        <w:rPr>
          <w:rFonts w:cs="Arial"/>
        </w:rPr>
      </w:pPr>
      <w:r w:rsidRPr="001A0B4F">
        <w:rPr>
          <w:rFonts w:cs="Arial"/>
        </w:rPr>
        <w:t>Op de aanbestedingsprocedure is het Aanbestedingsreglement Nutssectoren 201</w:t>
      </w:r>
      <w:r w:rsidR="001777FC">
        <w:rPr>
          <w:rFonts w:cs="Arial"/>
        </w:rPr>
        <w:t>6</w:t>
      </w:r>
      <w:r w:rsidRPr="001A0B4F">
        <w:rPr>
          <w:rFonts w:cs="Arial"/>
        </w:rPr>
        <w:t xml:space="preserve"> (ARN</w:t>
      </w:r>
      <w:r w:rsidRPr="00662648">
        <w:rPr>
          <w:rFonts w:cs="Arial"/>
          <w:vertAlign w:val="superscript"/>
        </w:rPr>
        <w:t>201</w:t>
      </w:r>
      <w:r w:rsidR="00580D99">
        <w:rPr>
          <w:rFonts w:cs="Arial"/>
          <w:vertAlign w:val="superscript"/>
        </w:rPr>
        <w:t>6</w:t>
      </w:r>
      <w:r w:rsidRPr="001A0B4F">
        <w:rPr>
          <w:rFonts w:cs="Arial"/>
        </w:rPr>
        <w:t>) van</w:t>
      </w:r>
    </w:p>
    <w:p w:rsidR="001A0B4F" w:rsidRPr="001A0B4F" w:rsidRDefault="001A0B4F" w:rsidP="001A0B4F">
      <w:pPr>
        <w:rPr>
          <w:rFonts w:cs="Arial"/>
        </w:rPr>
      </w:pPr>
      <w:r w:rsidRPr="001A0B4F">
        <w:rPr>
          <w:rFonts w:cs="Arial"/>
        </w:rPr>
        <w:t>toepassing.</w:t>
      </w:r>
      <w:r w:rsidR="005B59D5">
        <w:rPr>
          <w:rFonts w:cs="Arial"/>
        </w:rPr>
        <w:t xml:space="preserve"> </w:t>
      </w:r>
      <w:r w:rsidRPr="001A0B4F">
        <w:rPr>
          <w:rFonts w:cs="Arial"/>
        </w:rPr>
        <w:t>Het ARN</w:t>
      </w:r>
      <w:r w:rsidR="00662648" w:rsidRPr="00662648">
        <w:rPr>
          <w:rFonts w:cs="Arial"/>
          <w:vertAlign w:val="superscript"/>
        </w:rPr>
        <w:t>201</w:t>
      </w:r>
      <w:r w:rsidR="00580D99">
        <w:rPr>
          <w:rFonts w:cs="Arial"/>
          <w:vertAlign w:val="superscript"/>
        </w:rPr>
        <w:t>6</w:t>
      </w:r>
      <w:r w:rsidRPr="001A0B4F">
        <w:rPr>
          <w:rFonts w:cs="Arial"/>
        </w:rPr>
        <w:t xml:space="preserve"> is vindbaar op http://www.prorail.nl/leveranciers/aanbesteden-eninkoop/</w:t>
      </w:r>
    </w:p>
    <w:p w:rsidR="001A0B4F" w:rsidRDefault="001A0B4F" w:rsidP="001A0B4F">
      <w:pPr>
        <w:rPr>
          <w:rFonts w:cs="Arial"/>
        </w:rPr>
      </w:pPr>
      <w:r w:rsidRPr="001A0B4F">
        <w:rPr>
          <w:rFonts w:cs="Arial"/>
        </w:rPr>
        <w:t>documenten-en-juridische-voorwaarden.</w:t>
      </w:r>
      <w:r>
        <w:rPr>
          <w:rFonts w:cs="Arial"/>
        </w:rPr>
        <w:t xml:space="preserve"> </w:t>
      </w:r>
    </w:p>
    <w:p w:rsidR="001A0B4F" w:rsidRDefault="001A0B4F" w:rsidP="00543985">
      <w:pPr>
        <w:rPr>
          <w:rFonts w:cs="Arial"/>
        </w:rPr>
      </w:pPr>
    </w:p>
    <w:p w:rsidR="00AD05A0" w:rsidRDefault="00677FCA" w:rsidP="00AD05A0">
      <w:pPr>
        <w:rPr>
          <w:rFonts w:cs="Arial"/>
        </w:rPr>
      </w:pPr>
      <w:r>
        <w:t>De aanbestedingsprocedure verloopt via TenderNed</w:t>
      </w:r>
      <w:r w:rsidR="00AD05A0" w:rsidRPr="00BC7A4B">
        <w:t xml:space="preserve">. </w:t>
      </w:r>
      <w:r w:rsidR="00AD05A0">
        <w:rPr>
          <w:rFonts w:cs="Arial"/>
        </w:rPr>
        <w:t>Alle correspondentie met betrekking tot deze aanbestedingsprocedure dient te verlopen via de module “Berichten” in TenderNed (gebruik hiervoor de optie “Verstuur een bericht over deze aanbesteding naar ProRail B.V.”).</w:t>
      </w:r>
    </w:p>
    <w:p w:rsidR="00ED4543" w:rsidRDefault="00ED4543" w:rsidP="00AD05A0">
      <w:pPr>
        <w:rPr>
          <w:rFonts w:cs="Arial"/>
        </w:rPr>
      </w:pPr>
    </w:p>
    <w:p w:rsidR="00AD05A0" w:rsidRPr="00BC7A4B" w:rsidRDefault="00AD05A0" w:rsidP="00AD05A0">
      <w:r w:rsidRPr="00BC7A4B">
        <w:t xml:space="preserve">In het geval van verschillen tussen de informatie uit het systeem TenderNed en deze leidraad, prevaleert de tekst </w:t>
      </w:r>
      <w:r w:rsidR="005B59D5">
        <w:t xml:space="preserve">in </w:t>
      </w:r>
      <w:r w:rsidR="00ED4543">
        <w:t>deze leidraad</w:t>
      </w:r>
      <w:r w:rsidRPr="00BC7A4B">
        <w:t>. Partijen worden verzocht verschillen per ommegaande te melden aan Pro</w:t>
      </w:r>
      <w:r>
        <w:t>R</w:t>
      </w:r>
      <w:r w:rsidRPr="00BC7A4B">
        <w:t xml:space="preserve">ail via </w:t>
      </w:r>
      <w:r>
        <w:t>de module “</w:t>
      </w:r>
      <w:r w:rsidRPr="000C0BCD">
        <w:t>Berichten” van TenderNed</w:t>
      </w:r>
      <w:r w:rsidRPr="00BC7A4B">
        <w:t>.</w:t>
      </w:r>
    </w:p>
    <w:p w:rsidR="001A0B4F" w:rsidRDefault="001A0B4F" w:rsidP="001A0B4F">
      <w:pPr>
        <w:rPr>
          <w:rFonts w:cs="Arial"/>
        </w:rPr>
      </w:pPr>
      <w:r>
        <w:rPr>
          <w:rFonts w:cs="Arial"/>
        </w:rPr>
        <w:t xml:space="preserve">Het aanbestedingsdossier is </w:t>
      </w:r>
      <w:r w:rsidRPr="00CA6F5E">
        <w:rPr>
          <w:rFonts w:cs="Arial"/>
        </w:rPr>
        <w:t>digitaal</w:t>
      </w:r>
      <w:r>
        <w:rPr>
          <w:rFonts w:cs="Arial"/>
        </w:rPr>
        <w:t xml:space="preserve"> verstrekt. Indien van een bestand zowel een pdf-versie als </w:t>
      </w:r>
      <w:r w:rsidRPr="00615038">
        <w:rPr>
          <w:rFonts w:cs="Arial"/>
        </w:rPr>
        <w:t xml:space="preserve">een </w:t>
      </w:r>
      <w:r>
        <w:rPr>
          <w:rFonts w:cs="Arial"/>
        </w:rPr>
        <w:t>oorspronkelijke (‘native’)-versie is geleverd, prevaleert de pdf-versie boven de oorspronkelijke versie.</w:t>
      </w:r>
    </w:p>
    <w:p w:rsidR="00692550" w:rsidRDefault="00692550" w:rsidP="001A0B4F">
      <w:pPr>
        <w:rPr>
          <w:rFonts w:cs="Arial"/>
        </w:rPr>
      </w:pPr>
    </w:p>
    <w:p w:rsidR="001A0B4F" w:rsidRPr="005E192F" w:rsidRDefault="001A0B4F" w:rsidP="001A0B4F">
      <w:pPr>
        <w:rPr>
          <w:rFonts w:cs="Arial"/>
        </w:rPr>
      </w:pPr>
      <w:r w:rsidRPr="005E192F">
        <w:rPr>
          <w:rFonts w:cs="Arial"/>
        </w:rPr>
        <w:t xml:space="preserve">Door ProRail wordt aan de </w:t>
      </w:r>
      <w:r w:rsidR="00CF41AE">
        <w:rPr>
          <w:rFonts w:cs="Arial"/>
        </w:rPr>
        <w:t>inschrijvers</w:t>
      </w:r>
      <w:r w:rsidRPr="005E192F">
        <w:rPr>
          <w:rFonts w:cs="Arial"/>
        </w:rPr>
        <w:t xml:space="preserve"> geen tegemoetkoming in d</w:t>
      </w:r>
      <w:r w:rsidR="00677FCA">
        <w:rPr>
          <w:rFonts w:cs="Arial"/>
        </w:rPr>
        <w:t>e</w:t>
      </w:r>
      <w:r w:rsidR="00CF41AE">
        <w:rPr>
          <w:rFonts w:cs="Arial"/>
        </w:rPr>
        <w:t xml:space="preserve"> aanbestedingskosten verstrekt.</w:t>
      </w:r>
    </w:p>
    <w:p w:rsidR="00CF41AE" w:rsidRDefault="00CF41AE" w:rsidP="00543985">
      <w:pPr>
        <w:rPr>
          <w:rFonts w:cs="Arial"/>
        </w:rPr>
      </w:pPr>
    </w:p>
    <w:p w:rsidR="001A0B4F" w:rsidRDefault="001A0B4F" w:rsidP="00543985">
      <w:pPr>
        <w:rPr>
          <w:rFonts w:cs="Arial"/>
        </w:rPr>
      </w:pPr>
    </w:p>
    <w:p w:rsidR="004D6B4E" w:rsidRPr="004D6B4E" w:rsidRDefault="004D6B4E" w:rsidP="004D6B4E">
      <w:pPr>
        <w:pStyle w:val="Kop2"/>
        <w:ind w:left="851" w:hanging="851"/>
      </w:pPr>
      <w:bookmarkStart w:id="33" w:name="_Toc493686442"/>
      <w:r w:rsidRPr="004D6B4E">
        <w:t>Procedure</w:t>
      </w:r>
      <w:bookmarkEnd w:id="33"/>
    </w:p>
    <w:p w:rsidR="0040515F" w:rsidRDefault="00AC37D1" w:rsidP="0040515F">
      <w:pPr>
        <w:rPr>
          <w:rFonts w:eastAsia="Arial Unicode MS" w:hAnsi="Arial Unicode MS" w:cs="Arial Unicode MS"/>
        </w:rPr>
      </w:pPr>
      <w:r>
        <w:rPr>
          <w:rFonts w:eastAsia="Arial Unicode MS" w:hAnsi="Arial Unicode MS" w:cs="Arial Unicode MS"/>
        </w:rPr>
        <w:t xml:space="preserve">Deze aanbesteding verloopt conform de openbare procedure. </w:t>
      </w:r>
      <w:r w:rsidR="0040515F">
        <w:rPr>
          <w:rFonts w:eastAsia="Arial Unicode MS" w:hAnsi="Arial Unicode MS" w:cs="Arial Unicode MS"/>
        </w:rPr>
        <w:t>Dit hoofdstuk beschrijft het verloop de</w:t>
      </w:r>
      <w:r>
        <w:rPr>
          <w:rFonts w:eastAsia="Arial Unicode MS" w:hAnsi="Arial Unicode MS" w:cs="Arial Unicode MS"/>
        </w:rPr>
        <w:t>ze</w:t>
      </w:r>
      <w:r w:rsidR="0040515F">
        <w:rPr>
          <w:rFonts w:eastAsia="Arial Unicode MS" w:hAnsi="Arial Unicode MS" w:cs="Arial Unicode MS"/>
        </w:rPr>
        <w:t xml:space="preserve"> aanbestedingsprocedure. </w:t>
      </w:r>
    </w:p>
    <w:p w:rsidR="00C92F67" w:rsidRDefault="00C92F67" w:rsidP="0040515F">
      <w:pPr>
        <w:rPr>
          <w:rFonts w:eastAsia="Arial Unicode MS" w:hAnsi="Arial Unicode MS" w:cs="Arial Unicode MS"/>
        </w:rPr>
      </w:pPr>
    </w:p>
    <w:p w:rsidR="00BB0454" w:rsidRDefault="00C92F67" w:rsidP="00BB0454">
      <w:pPr>
        <w:rPr>
          <w:rFonts w:eastAsia="Arial Unicode MS" w:hAnsi="Arial Unicode MS" w:cs="Arial Unicode MS"/>
        </w:rPr>
      </w:pPr>
      <w:r w:rsidRPr="00C92F67">
        <w:rPr>
          <w:rFonts w:eastAsia="Arial Unicode MS" w:hAnsi="Arial Unicode MS" w:cs="Arial Unicode MS"/>
        </w:rPr>
        <w:t xml:space="preserve">Deze aanbesteding verloopt conform de </w:t>
      </w:r>
      <w:r>
        <w:rPr>
          <w:rFonts w:eastAsia="Arial Unicode MS" w:hAnsi="Arial Unicode MS" w:cs="Arial Unicode MS"/>
        </w:rPr>
        <w:t xml:space="preserve">Europese openbare </w:t>
      </w:r>
      <w:r w:rsidRPr="00C92F67">
        <w:rPr>
          <w:rFonts w:eastAsia="Arial Unicode MS" w:hAnsi="Arial Unicode MS" w:cs="Arial Unicode MS"/>
        </w:rPr>
        <w:t xml:space="preserve"> procedure. In deze procedure worden </w:t>
      </w:r>
      <w:r w:rsidR="00BB0454">
        <w:rPr>
          <w:rFonts w:eastAsia="Arial Unicode MS" w:hAnsi="Arial Unicode MS" w:cs="Arial Unicode MS"/>
        </w:rPr>
        <w:t>drie</w:t>
      </w:r>
      <w:r w:rsidRPr="00C92F67">
        <w:rPr>
          <w:rFonts w:eastAsia="Arial Unicode MS" w:hAnsi="Arial Unicode MS" w:cs="Arial Unicode MS"/>
        </w:rPr>
        <w:t xml:space="preserve">  percelen gelijktijdig aanbesteed. </w:t>
      </w:r>
    </w:p>
    <w:p w:rsidR="00BB0454" w:rsidRDefault="00BB0454" w:rsidP="00C92F67">
      <w:pPr>
        <w:rPr>
          <w:rFonts w:eastAsia="Arial Unicode MS" w:hAnsi="Arial Unicode MS" w:cs="Arial Unicode MS"/>
        </w:rPr>
      </w:pP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 xml:space="preserve">Deze paragraaf beschrijft het verloop van deze aanbestedingsprocedure. </w:t>
      </w:r>
    </w:p>
    <w:p w:rsidR="00C92F67" w:rsidRPr="00C92F67" w:rsidRDefault="00C92F67" w:rsidP="00C92F67">
      <w:pPr>
        <w:rPr>
          <w:rFonts w:eastAsia="Arial Unicode MS" w:hAnsi="Arial Unicode MS" w:cs="Arial Unicode MS"/>
        </w:rPr>
      </w:pP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De volgende fasen worden onderscheiden</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a) inlichtingen (paragraaf 2.2.1)</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b) inschrijving (paragraaf 2.2.2) en</w:t>
      </w:r>
    </w:p>
    <w:p w:rsidR="00C92F67" w:rsidRPr="00C92F67" w:rsidRDefault="00C92F67" w:rsidP="00C92F67">
      <w:pPr>
        <w:rPr>
          <w:rFonts w:eastAsia="Arial Unicode MS" w:hAnsi="Arial Unicode MS" w:cs="Arial Unicode MS"/>
        </w:rPr>
      </w:pPr>
      <w:r w:rsidRPr="00C92F67">
        <w:rPr>
          <w:rFonts w:eastAsia="Arial Unicode MS" w:hAnsi="Arial Unicode MS" w:cs="Arial Unicode MS"/>
        </w:rPr>
        <w:t>c) na de aanbesteding (paragraaf 2.2.3).</w:t>
      </w:r>
    </w:p>
    <w:p w:rsidR="00C92F67" w:rsidRDefault="00C92F67" w:rsidP="0040515F">
      <w:pPr>
        <w:rPr>
          <w:rFonts w:eastAsia="Arial Unicode MS" w:hAnsi="Arial Unicode MS" w:cs="Arial Unicode MS"/>
        </w:rPr>
      </w:pPr>
    </w:p>
    <w:p w:rsidR="0040515F" w:rsidRDefault="0040515F" w:rsidP="0040515F">
      <w:pPr>
        <w:rPr>
          <w:rFonts w:eastAsia="Arial Unicode MS" w:hAnsi="Arial Unicode MS" w:cs="Arial Unicode MS"/>
        </w:rPr>
      </w:pPr>
      <w:r>
        <w:rPr>
          <w:rFonts w:eastAsia="Arial Unicode MS" w:hAnsi="Arial Unicode MS" w:cs="Arial Unicode MS"/>
        </w:rPr>
        <w:t>In de navolgende paragrafen wordt elke fase nader beschreven.</w:t>
      </w:r>
    </w:p>
    <w:p w:rsidR="004D6B4E" w:rsidRDefault="004D6B4E" w:rsidP="00543985">
      <w:pPr>
        <w:rPr>
          <w:rFonts w:cs="Arial"/>
        </w:rPr>
      </w:pPr>
    </w:p>
    <w:p w:rsidR="0067326C" w:rsidRPr="0067326C" w:rsidRDefault="0067326C" w:rsidP="004D6B4E">
      <w:pPr>
        <w:pStyle w:val="Kop3"/>
      </w:pPr>
      <w:bookmarkStart w:id="34" w:name="_Toc493686443"/>
      <w:r w:rsidRPr="0067326C">
        <w:t>Inlichtingen</w:t>
      </w:r>
      <w:bookmarkEnd w:id="34"/>
    </w:p>
    <w:p w:rsidR="00D952D7" w:rsidRDefault="00D952D7" w:rsidP="0067326C">
      <w:pPr>
        <w:rPr>
          <w:szCs w:val="17"/>
        </w:rPr>
      </w:pPr>
    </w:p>
    <w:p w:rsidR="0067326C" w:rsidRDefault="0067326C" w:rsidP="004D6B4E">
      <w:pPr>
        <w:pStyle w:val="Kop4"/>
      </w:pPr>
      <w:r>
        <w:t>Nota van i</w:t>
      </w:r>
      <w:r w:rsidRPr="007573EC">
        <w:t>nlichtingen</w:t>
      </w:r>
    </w:p>
    <w:p w:rsidR="0067326C" w:rsidRPr="00F23A44" w:rsidRDefault="0067326C" w:rsidP="0067326C">
      <w:r w:rsidRPr="00F23A44">
        <w:t xml:space="preserve">Gegadigden kunnen schriftelijk vragen stellen over het project, het aanbestedingsdossier en de aanbestedingsprocedure. Vragen dienen helder en eenduidig geformuleerd te worden met een verwijzing naar het onderdeel van het aanbestedingsdossier </w:t>
      </w:r>
      <w:r w:rsidR="0013589F">
        <w:t xml:space="preserve">en het aanbestedingsperceel </w:t>
      </w:r>
      <w:r w:rsidRPr="00F23A44">
        <w:t xml:space="preserve">waarop de vraag betrekking heeft.  </w:t>
      </w:r>
    </w:p>
    <w:p w:rsidR="0067326C" w:rsidRPr="00F23A44" w:rsidRDefault="0067326C" w:rsidP="0067326C">
      <w:r w:rsidRPr="00F23A44">
        <w:t xml:space="preserve">De gestelde vragen worden door ProRail </w:t>
      </w:r>
      <w:r w:rsidR="0013589F">
        <w:t xml:space="preserve">per perceel </w:t>
      </w:r>
      <w:r w:rsidRPr="00F23A44">
        <w:t xml:space="preserve">samengevoegd tot één algemene vragenlijst. Deze lijst wordt </w:t>
      </w:r>
      <w:r w:rsidR="00A723DC">
        <w:t>inclusief de</w:t>
      </w:r>
      <w:r w:rsidRPr="00F23A44">
        <w:t xml:space="preserve"> beantwoording verstrekt als bijlage bij de nota van inlichtingen. </w:t>
      </w:r>
      <w:r w:rsidR="009E79D2">
        <w:t>Deze nota van inlichtingen wordt op TenderNed gepubliceerd.</w:t>
      </w:r>
    </w:p>
    <w:p w:rsidR="0067326C" w:rsidRPr="00F23A44" w:rsidRDefault="0067326C" w:rsidP="00FA47C3">
      <w:pPr>
        <w:spacing w:line="240" w:lineRule="auto"/>
        <w:ind w:left="0"/>
      </w:pPr>
    </w:p>
    <w:p w:rsidR="0067326C" w:rsidRPr="00F23A44" w:rsidRDefault="0067326C" w:rsidP="0067326C">
      <w:pPr>
        <w:rPr>
          <w:rFonts w:cs="Arial"/>
        </w:rPr>
      </w:pPr>
      <w:r w:rsidRPr="00C152C8">
        <w:rPr>
          <w:rFonts w:cs="Arial"/>
          <w:b/>
          <w:lang w:eastAsia="en-US"/>
        </w:rPr>
        <w:t xml:space="preserve">Vragen dienen te worden gesteld via </w:t>
      </w:r>
      <w:r>
        <w:rPr>
          <w:rFonts w:cs="Arial"/>
          <w:b/>
          <w:lang w:eastAsia="en-US"/>
        </w:rPr>
        <w:t>de module “Berichten”</w:t>
      </w:r>
      <w:r w:rsidRPr="00C152C8">
        <w:rPr>
          <w:rFonts w:cs="Arial"/>
          <w:b/>
          <w:lang w:eastAsia="en-US"/>
        </w:rPr>
        <w:t xml:space="preserve"> van TenderNed (hier kunt u uw vragenlijst als bijlage toevoegen)</w:t>
      </w:r>
      <w:r w:rsidRPr="0010387B">
        <w:rPr>
          <w:szCs w:val="17"/>
        </w:rPr>
        <w:t>.</w:t>
      </w:r>
      <w:r w:rsidRPr="0010387B">
        <w:rPr>
          <w:rFonts w:cs="Arial"/>
        </w:rPr>
        <w:t xml:space="preserve"> </w:t>
      </w:r>
      <w:r w:rsidRPr="00F23A44">
        <w:rPr>
          <w:rFonts w:cs="Arial"/>
        </w:rPr>
        <w:t xml:space="preserve">Vragen dienen gesteld te zijn in bijgevoegd format (bijlage </w:t>
      </w:r>
      <w:r w:rsidR="007C0331">
        <w:rPr>
          <w:rFonts w:cs="Arial"/>
        </w:rPr>
        <w:t>2</w:t>
      </w:r>
      <w:r w:rsidR="00725C70">
        <w:rPr>
          <w:rFonts w:cs="Arial"/>
        </w:rPr>
        <w:t>, één vraag per cel</w:t>
      </w:r>
      <w:r w:rsidR="00206A4C">
        <w:rPr>
          <w:rFonts w:cs="Arial"/>
        </w:rPr>
        <w:t>, indienen in Excel format</w:t>
      </w:r>
      <w:r w:rsidRPr="00F23A44">
        <w:rPr>
          <w:rFonts w:cs="Arial"/>
        </w:rPr>
        <w:t xml:space="preserve">). </w:t>
      </w:r>
      <w:r w:rsidR="009814F5">
        <w:rPr>
          <w:rFonts w:cs="Arial"/>
        </w:rPr>
        <w:t xml:space="preserve">De uiterste datum </w:t>
      </w:r>
      <w:r>
        <w:rPr>
          <w:rFonts w:cs="Arial"/>
        </w:rPr>
        <w:t xml:space="preserve">voor </w:t>
      </w:r>
      <w:r w:rsidRPr="00F23A44">
        <w:rPr>
          <w:rFonts w:cs="Arial"/>
        </w:rPr>
        <w:t xml:space="preserve"> het stellen van vragen is vermeld </w:t>
      </w:r>
      <w:r>
        <w:rPr>
          <w:rFonts w:cs="Arial"/>
        </w:rPr>
        <w:t>op TenderNed</w:t>
      </w:r>
      <w:r w:rsidRPr="00F23A44">
        <w:rPr>
          <w:rFonts w:cs="Arial"/>
        </w:rPr>
        <w:t>.</w:t>
      </w:r>
      <w:r>
        <w:rPr>
          <w:rFonts w:cs="Arial"/>
        </w:rPr>
        <w:t xml:space="preserve"> </w:t>
      </w:r>
      <w:r w:rsidR="002D34AA">
        <w:rPr>
          <w:rFonts w:cs="Arial"/>
        </w:rPr>
        <w:t xml:space="preserve">Indien er meerdere vragenrondes zijn ingepland, wordt dit in </w:t>
      </w:r>
      <w:r w:rsidR="004B5775" w:rsidRPr="007C0331">
        <w:rPr>
          <w:rFonts w:cs="Arial"/>
        </w:rPr>
        <w:t xml:space="preserve">bijlage </w:t>
      </w:r>
      <w:r w:rsidR="007C0331" w:rsidRPr="007C0331">
        <w:rPr>
          <w:rFonts w:cs="Arial"/>
        </w:rPr>
        <w:t>1</w:t>
      </w:r>
      <w:r w:rsidR="007C0331">
        <w:rPr>
          <w:rFonts w:cs="Arial"/>
        </w:rPr>
        <w:t xml:space="preserve"> </w:t>
      </w:r>
      <w:r w:rsidR="002D34AA">
        <w:rPr>
          <w:rFonts w:cs="Arial"/>
        </w:rPr>
        <w:t>vermeld.</w:t>
      </w:r>
    </w:p>
    <w:p w:rsidR="0067326C" w:rsidRDefault="0067326C" w:rsidP="0067326C"/>
    <w:p w:rsidR="0067326C" w:rsidRDefault="0067326C" w:rsidP="004D6B4E">
      <w:pPr>
        <w:pStyle w:val="Kop4"/>
      </w:pPr>
      <w:r>
        <w:t>Individuele inlichtingen</w:t>
      </w:r>
    </w:p>
    <w:p w:rsidR="006B4C9B" w:rsidRPr="00532323" w:rsidRDefault="006B4C9B" w:rsidP="006B4C9B">
      <w:pPr>
        <w:shd w:val="clear" w:color="auto" w:fill="FFFFFF"/>
      </w:pPr>
      <w:r w:rsidRPr="00532323">
        <w:t xml:space="preserve">Overeenkomstig het bepaalde in artikel 3.50 jo 2.53 Aanbestedingswet 2012 kan een gegadigde verzoeken om inlichtingen individueel te verstrekken, indien openbaarmaking van de informatie schade zou toebrengen aan de gerechtvaardigde economische belangen van desbetreffende gegadigde. </w:t>
      </w:r>
    </w:p>
    <w:p w:rsidR="006B4C9B" w:rsidRPr="00532323" w:rsidRDefault="006B4C9B" w:rsidP="006B4C9B">
      <w:pPr>
        <w:shd w:val="clear" w:color="auto" w:fill="FFFFFF"/>
        <w:tabs>
          <w:tab w:val="left" w:pos="1140"/>
        </w:tabs>
      </w:pPr>
      <w:r w:rsidRPr="00532323">
        <w:t> </w:t>
      </w:r>
      <w:r>
        <w:tab/>
      </w:r>
    </w:p>
    <w:p w:rsidR="006B4C9B" w:rsidRPr="00532323" w:rsidRDefault="006B4C9B" w:rsidP="006B4C9B">
      <w:pPr>
        <w:shd w:val="clear" w:color="auto" w:fill="FFFFFF"/>
      </w:pPr>
      <w:r w:rsidRPr="00532323">
        <w:t>Het verstrekken van individuele inlichtingen mag niet leiden tot een ongeoorloofde kennisvoorsprong, waarmee strijdigheid kan ontstaan met het gelijkheidsbeginsel. In dat geval zal ProRail de gegadigde de keuze bieden om de vraag in te trekken, dan wel algemeen te laten beantwoorden.</w:t>
      </w:r>
    </w:p>
    <w:p w:rsidR="006B4C9B" w:rsidRPr="00532323" w:rsidRDefault="006B4C9B" w:rsidP="006B4C9B">
      <w:pPr>
        <w:shd w:val="clear" w:color="auto" w:fill="FFFFFF"/>
      </w:pPr>
      <w:r w:rsidRPr="00532323">
        <w:rPr>
          <w:rFonts w:ascii="Calibri" w:hAnsi="Calibri"/>
          <w:sz w:val="22"/>
          <w:szCs w:val="22"/>
        </w:rPr>
        <w:t> </w:t>
      </w:r>
    </w:p>
    <w:p w:rsidR="006B4C9B" w:rsidRPr="00532323" w:rsidRDefault="006B4C9B" w:rsidP="006B4C9B">
      <w:pPr>
        <w:shd w:val="clear" w:color="auto" w:fill="FFFFFF"/>
      </w:pPr>
      <w:r w:rsidRPr="00532323">
        <w:t>Vragen dienen te worden gesteld via de module “Berichten” van TenderNed (hier kunt u uw vragenlijst als bijlage toevoegen). Vragen dienen gesteld te zijn in het bijgevoegde format (bijlage 3).</w:t>
      </w:r>
    </w:p>
    <w:p w:rsidR="0067326C" w:rsidRDefault="0067326C" w:rsidP="00543985">
      <w:pPr>
        <w:rPr>
          <w:rFonts w:cs="Arial"/>
        </w:rPr>
      </w:pPr>
    </w:p>
    <w:p w:rsidR="00E778E1" w:rsidRPr="00C81DA7" w:rsidRDefault="004D6B4E" w:rsidP="004D6B4E">
      <w:pPr>
        <w:pStyle w:val="Kop3"/>
      </w:pPr>
      <w:bookmarkStart w:id="35" w:name="_Toc493686444"/>
      <w:r>
        <w:t>Inschrijving</w:t>
      </w:r>
      <w:bookmarkEnd w:id="35"/>
    </w:p>
    <w:p w:rsidR="00E778E1" w:rsidRDefault="00E778E1" w:rsidP="001103CF">
      <w:bookmarkStart w:id="36" w:name="OLE_LINK2"/>
      <w:bookmarkEnd w:id="36"/>
      <w:r>
        <w:rPr>
          <w:szCs w:val="17"/>
        </w:rPr>
        <w:t>Uw aanbieding dient volledig en rechtsgeldig ondertekend vóór</w:t>
      </w:r>
      <w:r w:rsidRPr="00701EDF">
        <w:rPr>
          <w:szCs w:val="17"/>
        </w:rPr>
        <w:t xml:space="preserve"> de in TenderNed genoemde datum  </w:t>
      </w:r>
      <w:r>
        <w:rPr>
          <w:szCs w:val="17"/>
        </w:rPr>
        <w:t>en</w:t>
      </w:r>
      <w:r>
        <w:t xml:space="preserve"> </w:t>
      </w:r>
      <w:r w:rsidRPr="00CA621B">
        <w:t>tijdstip</w:t>
      </w:r>
      <w:r>
        <w:rPr>
          <w:szCs w:val="17"/>
        </w:rPr>
        <w:t xml:space="preserve"> te zijn ingediend via TenderNed. </w:t>
      </w:r>
      <w:r w:rsidR="001103CF" w:rsidRPr="00C86972">
        <w:t xml:space="preserve">Het </w:t>
      </w:r>
      <w:r w:rsidR="001103CF">
        <w:t>in TenderNed genoemde</w:t>
      </w:r>
      <w:r w:rsidR="001103CF" w:rsidRPr="00C86972">
        <w:t xml:space="preserve"> uiterste </w:t>
      </w:r>
      <w:r w:rsidR="001103CF">
        <w:t xml:space="preserve">datum en </w:t>
      </w:r>
      <w:r w:rsidR="001103CF" w:rsidRPr="00C86972">
        <w:t>tijdstip</w:t>
      </w:r>
      <w:r w:rsidR="001103CF">
        <w:t xml:space="preserve"> </w:t>
      </w:r>
      <w:r w:rsidR="001103CF" w:rsidRPr="00C86972">
        <w:t>geldt als een fatale termijn. Te la</w:t>
      </w:r>
      <w:r w:rsidR="001103CF">
        <w:t xml:space="preserve">te of op andere wijze dan voorgeschreven in deze leidraad ingediende </w:t>
      </w:r>
      <w:r w:rsidR="001103CF" w:rsidRPr="00C86972">
        <w:t>aanmeldingen worden niet beoordeeld</w:t>
      </w:r>
      <w:r w:rsidR="001103CF">
        <w:t xml:space="preserve"> en zullen als niet gedaan worden beschouwd.</w:t>
      </w:r>
      <w:r w:rsidR="001103CF" w:rsidRPr="00C86972">
        <w:t xml:space="preserve"> De overig</w:t>
      </w:r>
      <w:r w:rsidR="001103CF">
        <w:t xml:space="preserve"> genoemde </w:t>
      </w:r>
      <w:r w:rsidR="001103CF" w:rsidRPr="00C86972">
        <w:t xml:space="preserve">termijnen </w:t>
      </w:r>
      <w:r w:rsidR="001103CF">
        <w:t xml:space="preserve">in TenderNed </w:t>
      </w:r>
      <w:r w:rsidR="001103CF" w:rsidRPr="00C86972">
        <w:t>zijn indicatief</w:t>
      </w:r>
      <w:r w:rsidR="001103CF">
        <w:t xml:space="preserve">. </w:t>
      </w:r>
      <w:r>
        <w:rPr>
          <w:szCs w:val="17"/>
        </w:rPr>
        <w:t xml:space="preserve">Het </w:t>
      </w:r>
      <w:r w:rsidR="0040515F">
        <w:rPr>
          <w:szCs w:val="17"/>
        </w:rPr>
        <w:t>is niet toegestaan om uw aanbieding op een andere wijze in te dienen</w:t>
      </w:r>
      <w:r>
        <w:rPr>
          <w:szCs w:val="17"/>
        </w:rPr>
        <w:t>.</w:t>
      </w:r>
      <w:r w:rsidR="00D804BC">
        <w:rPr>
          <w:szCs w:val="17"/>
        </w:rPr>
        <w:t xml:space="preserve"> </w:t>
      </w:r>
    </w:p>
    <w:p w:rsidR="00AC37D1" w:rsidRDefault="00AC37D1" w:rsidP="00AC37D1">
      <w:pPr>
        <w:rPr>
          <w:rFonts w:cs="Arial"/>
        </w:rPr>
      </w:pPr>
    </w:p>
    <w:p w:rsidR="00AC37D1" w:rsidRDefault="00AC37D1" w:rsidP="00AC37D1">
      <w:pPr>
        <w:rPr>
          <w:rFonts w:cs="Arial"/>
        </w:rPr>
      </w:pPr>
      <w:r>
        <w:rPr>
          <w:rFonts w:cs="Arial"/>
        </w:rPr>
        <w:t>Voor het indienen van uw aanbieding gaat u in TenderNed naar “Mijn inschrijving”. Bij het o</w:t>
      </w:r>
      <w:r w:rsidRPr="00BF3F8D">
        <w:rPr>
          <w:rFonts w:cs="Arial"/>
        </w:rPr>
        <w:t xml:space="preserve">nderdeel “Eisen beantwoorden” kunnen de gevraagde stukken met betrekking tot de </w:t>
      </w:r>
      <w:r w:rsidR="009E79D2" w:rsidRPr="00BF3F8D">
        <w:rPr>
          <w:rFonts w:cs="Arial"/>
        </w:rPr>
        <w:t>uitsluitingsgronden en</w:t>
      </w:r>
      <w:r w:rsidR="009E79D2">
        <w:rPr>
          <w:rFonts w:cs="Arial"/>
        </w:rPr>
        <w:t xml:space="preserve"> geschiktheidseisen</w:t>
      </w:r>
      <w:r>
        <w:rPr>
          <w:rFonts w:cs="Arial"/>
        </w:rPr>
        <w:t xml:space="preserve"> worden ingediend (UEA en bewijsstukken indien van toepassing). Bij het onderdeel “Gunningscriteria beantwoorden” kunnen onder het tabblad “Criteria” de stukken ten behoeve van de aanbieding worden ingevuld. U dient bij</w:t>
      </w:r>
      <w:r w:rsidRPr="00FD58D8">
        <w:rPr>
          <w:rFonts w:cs="Arial"/>
          <w:i/>
        </w:rPr>
        <w:t xml:space="preserve"> alle</w:t>
      </w:r>
      <w:r>
        <w:rPr>
          <w:rFonts w:cs="Arial"/>
        </w:rPr>
        <w:t xml:space="preserve"> criteria het hokje aan te vinken bij “Dit criterium is beantwoord”. Na het beantwoorden van alle gunningscriteria dient de stap “Inschrijving op de aanbesteding” te worden doorlopen om uw aanbieding in te dienen.</w:t>
      </w:r>
    </w:p>
    <w:p w:rsidR="0040515F" w:rsidRDefault="0040515F" w:rsidP="00E778E1">
      <w:pPr>
        <w:numPr>
          <w:ilvl w:val="12"/>
          <w:numId w:val="0"/>
        </w:numPr>
        <w:spacing w:line="260" w:lineRule="exact"/>
        <w:ind w:left="851"/>
      </w:pPr>
    </w:p>
    <w:p w:rsidR="0040515F" w:rsidRDefault="00E778E1" w:rsidP="0040515F">
      <w:pPr>
        <w:rPr>
          <w:rFonts w:eastAsia="Arial Unicode MS" w:hAnsi="Arial Unicode MS" w:cs="Arial Unicode MS"/>
        </w:rPr>
      </w:pPr>
      <w:r w:rsidRPr="00144C4D">
        <w:rPr>
          <w:szCs w:val="17"/>
        </w:rPr>
        <w:t>H</w:t>
      </w:r>
      <w:r w:rsidR="00163956">
        <w:rPr>
          <w:szCs w:val="17"/>
        </w:rPr>
        <w:t>et</w:t>
      </w:r>
      <w:r w:rsidR="00AC37D1">
        <w:rPr>
          <w:szCs w:val="17"/>
        </w:rPr>
        <w:t xml:space="preserve"> Uniform Europees Aanbestedingsdocument (UEA) en het</w:t>
      </w:r>
      <w:r w:rsidR="00163956">
        <w:rPr>
          <w:szCs w:val="17"/>
        </w:rPr>
        <w:t xml:space="preserve"> inschrijvingsformulier </w:t>
      </w:r>
      <w:r w:rsidRPr="00144C4D">
        <w:rPr>
          <w:szCs w:val="17"/>
        </w:rPr>
        <w:t xml:space="preserve">(conform bijlage </w:t>
      </w:r>
      <w:r w:rsidR="007B4E0F">
        <w:rPr>
          <w:szCs w:val="17"/>
        </w:rPr>
        <w:t>3</w:t>
      </w:r>
      <w:r w:rsidRPr="00144C4D">
        <w:rPr>
          <w:szCs w:val="17"/>
        </w:rPr>
        <w:t xml:space="preserve">) </w:t>
      </w:r>
      <w:r w:rsidR="00AC37D1">
        <w:rPr>
          <w:szCs w:val="17"/>
        </w:rPr>
        <w:t>dienen</w:t>
      </w:r>
      <w:r w:rsidR="00163956">
        <w:rPr>
          <w:szCs w:val="17"/>
        </w:rPr>
        <w:t xml:space="preserve"> </w:t>
      </w:r>
      <w:r w:rsidRPr="00144C4D">
        <w:rPr>
          <w:szCs w:val="17"/>
        </w:rPr>
        <w:t xml:space="preserve">direct bij de </w:t>
      </w:r>
      <w:r w:rsidR="0040515F">
        <w:rPr>
          <w:szCs w:val="17"/>
        </w:rPr>
        <w:t>aanbieding</w:t>
      </w:r>
      <w:r w:rsidRPr="00144C4D">
        <w:rPr>
          <w:szCs w:val="17"/>
        </w:rPr>
        <w:t xml:space="preserve"> te worden ingediend. </w:t>
      </w:r>
      <w:r w:rsidR="0040515F">
        <w:rPr>
          <w:rFonts w:eastAsia="Arial Unicode MS" w:hAnsi="Arial Unicode MS" w:cs="Arial Unicode MS"/>
        </w:rPr>
        <w:t xml:space="preserve">Indien andere documenten reeds direct bij de aanbieding moeten worden ingediend, zal dat in </w:t>
      </w:r>
      <w:r w:rsidR="00ED4543">
        <w:rPr>
          <w:rFonts w:eastAsia="Arial Unicode MS" w:hAnsi="Arial Unicode MS" w:cs="Arial Unicode MS"/>
        </w:rPr>
        <w:t>deze leidraad in hoofdstuk 3 en 4 worden vermeld</w:t>
      </w:r>
      <w:r w:rsidR="0040515F">
        <w:rPr>
          <w:rFonts w:eastAsia="Arial Unicode MS" w:hAnsi="Arial Unicode MS" w:cs="Arial Unicode MS"/>
        </w:rPr>
        <w:t>.</w:t>
      </w:r>
    </w:p>
    <w:p w:rsidR="00E778E1" w:rsidRPr="00144C4D" w:rsidRDefault="00E778E1" w:rsidP="00144C4D">
      <w:pPr>
        <w:rPr>
          <w:szCs w:val="17"/>
        </w:rPr>
      </w:pPr>
      <w:r w:rsidRPr="00D804BC">
        <w:rPr>
          <w:szCs w:val="17"/>
        </w:rPr>
        <w:t xml:space="preserve">Alle overige in TenderNed onder </w:t>
      </w:r>
      <w:r w:rsidR="00AC37D1">
        <w:rPr>
          <w:szCs w:val="17"/>
        </w:rPr>
        <w:t>‘Eisen’ en ‘G</w:t>
      </w:r>
      <w:r w:rsidRPr="00D804BC">
        <w:rPr>
          <w:szCs w:val="17"/>
        </w:rPr>
        <w:t>unningscriteria</w:t>
      </w:r>
      <w:r w:rsidR="00AC37D1">
        <w:rPr>
          <w:szCs w:val="17"/>
        </w:rPr>
        <w:t>’</w:t>
      </w:r>
      <w:r w:rsidRPr="00D804BC">
        <w:rPr>
          <w:szCs w:val="17"/>
        </w:rPr>
        <w:t xml:space="preserve"> genoemde documenten dienen op grond van het bepaalde in artikel </w:t>
      </w:r>
      <w:r w:rsidR="00D804BC" w:rsidRPr="00D804BC">
        <w:rPr>
          <w:szCs w:val="17"/>
        </w:rPr>
        <w:t>14</w:t>
      </w:r>
      <w:r w:rsidRPr="00D804BC">
        <w:rPr>
          <w:szCs w:val="17"/>
        </w:rPr>
        <w:t xml:space="preserve">, lid </w:t>
      </w:r>
      <w:r w:rsidR="00D804BC" w:rsidRPr="00D804BC">
        <w:rPr>
          <w:szCs w:val="17"/>
        </w:rPr>
        <w:t>3</w:t>
      </w:r>
      <w:r w:rsidRPr="00D804BC">
        <w:rPr>
          <w:szCs w:val="17"/>
        </w:rPr>
        <w:t xml:space="preserve">  ARN</w:t>
      </w:r>
      <w:r w:rsidRPr="00D804BC">
        <w:rPr>
          <w:szCs w:val="17"/>
          <w:vertAlign w:val="superscript"/>
        </w:rPr>
        <w:t>201</w:t>
      </w:r>
      <w:r w:rsidR="00D804BC" w:rsidRPr="00D804BC">
        <w:rPr>
          <w:szCs w:val="17"/>
          <w:vertAlign w:val="superscript"/>
        </w:rPr>
        <w:t>6</w:t>
      </w:r>
      <w:r w:rsidRPr="00D804BC">
        <w:rPr>
          <w:szCs w:val="17"/>
        </w:rPr>
        <w:t xml:space="preserve"> binnen 48 uur (op werkdagen) na het verzoek daartoe van ProRail via “Berichten” in TenderNed </w:t>
      </w:r>
      <w:r w:rsidR="00E53891" w:rsidRPr="00D804BC">
        <w:rPr>
          <w:szCs w:val="17"/>
        </w:rPr>
        <w:t>te</w:t>
      </w:r>
      <w:r w:rsidRPr="00D804BC">
        <w:rPr>
          <w:szCs w:val="17"/>
        </w:rPr>
        <w:t xml:space="preserve"> worden ingediend.</w:t>
      </w:r>
    </w:p>
    <w:p w:rsidR="00E778E1" w:rsidRDefault="00E778E1" w:rsidP="00E778E1">
      <w:pPr>
        <w:numPr>
          <w:ilvl w:val="12"/>
          <w:numId w:val="0"/>
        </w:numPr>
        <w:spacing w:line="260" w:lineRule="exact"/>
        <w:ind w:left="851"/>
      </w:pPr>
    </w:p>
    <w:p w:rsidR="00E778E1" w:rsidRPr="00BF09A6" w:rsidRDefault="0040515F" w:rsidP="00E778E1">
      <w:pPr>
        <w:rPr>
          <w:rFonts w:cs="Arial"/>
        </w:rPr>
      </w:pPr>
      <w:r>
        <w:rPr>
          <w:rFonts w:cs="Arial"/>
        </w:rPr>
        <w:t>Alle documenten dienen te voldoen aan de eisen zoals gesteld in</w:t>
      </w:r>
      <w:r w:rsidR="001103CF">
        <w:rPr>
          <w:rFonts w:cs="Arial"/>
        </w:rPr>
        <w:t xml:space="preserve"> hoofdstuk 3 en 4 van deze leidraad</w:t>
      </w:r>
      <w:r>
        <w:rPr>
          <w:rFonts w:cs="Arial"/>
        </w:rPr>
        <w:t xml:space="preserve">. </w:t>
      </w:r>
      <w:r w:rsidR="003F172A" w:rsidRPr="003F172A">
        <w:t xml:space="preserve">Het </w:t>
      </w:r>
      <w:r w:rsidR="009E79D2">
        <w:t xml:space="preserve">is </w:t>
      </w:r>
      <w:r w:rsidR="003F172A" w:rsidRPr="003F172A">
        <w:t>niet toegestaan om alternatieve aanbiedingen te doen.</w:t>
      </w:r>
      <w:r w:rsidR="003F172A">
        <w:t xml:space="preserve"> </w:t>
      </w:r>
      <w:r w:rsidR="00E778E1">
        <w:rPr>
          <w:rFonts w:cs="Arial"/>
        </w:rPr>
        <w:t>Alle documenten dienen in algemeen toegankelijk format (bijvoorbeeld PDF of MS-office) te worden ingediend</w:t>
      </w:r>
      <w:r w:rsidR="007C0331">
        <w:rPr>
          <w:rFonts w:cs="Arial"/>
        </w:rPr>
        <w:t>, tenzij anders aangegeven in de toel</w:t>
      </w:r>
      <w:r w:rsidR="00E91A8F">
        <w:rPr>
          <w:rFonts w:cs="Arial"/>
        </w:rPr>
        <w:t>ichting bij de gunningscriteria</w:t>
      </w:r>
      <w:r w:rsidR="00E778E1">
        <w:rPr>
          <w:rFonts w:cs="Arial"/>
        </w:rPr>
        <w:t>.</w:t>
      </w:r>
      <w:r w:rsidR="007C0331">
        <w:rPr>
          <w:rFonts w:cs="Arial"/>
        </w:rPr>
        <w:t xml:space="preserve"> </w:t>
      </w:r>
      <w:r w:rsidR="00E778E1">
        <w:rPr>
          <w:rFonts w:cs="Arial"/>
        </w:rPr>
        <w:t xml:space="preserve"> </w:t>
      </w:r>
      <w:r w:rsidR="00E778E1" w:rsidRPr="00BF09A6">
        <w:t xml:space="preserve">Bestanden dienen op verzoek van ProRail digitaal nagezonden </w:t>
      </w:r>
      <w:r w:rsidR="00E778E1">
        <w:t xml:space="preserve">te </w:t>
      </w:r>
      <w:r w:rsidR="00E778E1" w:rsidRPr="00BF09A6">
        <w:t xml:space="preserve">worden </w:t>
      </w:r>
      <w:r w:rsidR="00E778E1">
        <w:t>als</w:t>
      </w:r>
      <w:r w:rsidR="00E778E1" w:rsidRPr="00BF09A6">
        <w:t xml:space="preserve"> </w:t>
      </w:r>
      <w:r w:rsidR="00E778E1">
        <w:t>bewerkbaar bestand</w:t>
      </w:r>
      <w:r w:rsidR="00E778E1" w:rsidRPr="00BF09A6">
        <w:t>.</w:t>
      </w:r>
    </w:p>
    <w:p w:rsidR="00E778E1" w:rsidRDefault="00E778E1" w:rsidP="00E778E1">
      <w:pPr>
        <w:numPr>
          <w:ilvl w:val="12"/>
          <w:numId w:val="0"/>
        </w:numPr>
        <w:spacing w:line="260" w:lineRule="exact"/>
        <w:ind w:left="851"/>
      </w:pPr>
    </w:p>
    <w:p w:rsidR="0065537A" w:rsidRPr="001103CF" w:rsidRDefault="001103CF" w:rsidP="0065537A">
      <w:pPr>
        <w:rPr>
          <w:b/>
        </w:rPr>
      </w:pPr>
      <w:r w:rsidRPr="001103CF">
        <w:rPr>
          <w:b/>
        </w:rPr>
        <w:t>Toelichting Uniform Europees Aanbestedingsdocument</w:t>
      </w:r>
    </w:p>
    <w:p w:rsidR="0065537A" w:rsidRDefault="0065537A" w:rsidP="0065537A">
      <w:r>
        <w:t xml:space="preserve">Bij de </w:t>
      </w:r>
      <w:r w:rsidR="001103CF">
        <w:t>inschrijving</w:t>
      </w:r>
      <w:r>
        <w:t xml:space="preserve"> in TenderNed dient de UEA ingediend te worden door de gegadigde. De UEA dient te worden geüpload bij de eis “</w:t>
      </w:r>
      <w:r w:rsidRPr="00A25DEC">
        <w:rPr>
          <w:i/>
        </w:rPr>
        <w:t>Uniform Europees Aanbestedingsdocument</w:t>
      </w:r>
      <w:r>
        <w:t xml:space="preserve">”. </w:t>
      </w:r>
    </w:p>
    <w:p w:rsidR="00581D78" w:rsidRDefault="00581D78" w:rsidP="0065537A">
      <w:pPr>
        <w:rPr>
          <w:b/>
        </w:rPr>
      </w:pPr>
    </w:p>
    <w:p w:rsidR="0065537A" w:rsidRPr="000339A8" w:rsidRDefault="0065537A" w:rsidP="0065537A">
      <w:pPr>
        <w:rPr>
          <w:b/>
        </w:rPr>
      </w:pPr>
      <w:r w:rsidRPr="00A855FC">
        <w:rPr>
          <w:b/>
        </w:rPr>
        <w:t xml:space="preserve">Het ontbreken van de </w:t>
      </w:r>
      <w:r>
        <w:rPr>
          <w:b/>
        </w:rPr>
        <w:t>UEA</w:t>
      </w:r>
      <w:r w:rsidR="00852DE9">
        <w:rPr>
          <w:b/>
        </w:rPr>
        <w:t xml:space="preserve"> of het Inschrijvingsformulier</w:t>
      </w:r>
      <w:r w:rsidRPr="00A855FC">
        <w:rPr>
          <w:b/>
        </w:rPr>
        <w:t xml:space="preserve"> bij </w:t>
      </w:r>
      <w:r w:rsidR="009E79D2">
        <w:rPr>
          <w:b/>
        </w:rPr>
        <w:t>inschrijving</w:t>
      </w:r>
      <w:r w:rsidRPr="00A855FC">
        <w:rPr>
          <w:b/>
        </w:rPr>
        <w:t xml:space="preserve"> leidt</w:t>
      </w:r>
      <w:r w:rsidRPr="000339A8">
        <w:rPr>
          <w:b/>
        </w:rPr>
        <w:t xml:space="preserve"> tot een ongeldige </w:t>
      </w:r>
      <w:r w:rsidR="001103CF">
        <w:rPr>
          <w:b/>
        </w:rPr>
        <w:t>inschrijving</w:t>
      </w:r>
      <w:r w:rsidRPr="000339A8">
        <w:rPr>
          <w:b/>
        </w:rPr>
        <w:t xml:space="preserve">. Een </w:t>
      </w:r>
      <w:r w:rsidR="001103CF">
        <w:rPr>
          <w:b/>
        </w:rPr>
        <w:t>inschrijving</w:t>
      </w:r>
      <w:r w:rsidRPr="000339A8">
        <w:rPr>
          <w:b/>
        </w:rPr>
        <w:t xml:space="preserve">, die anders dan via TenderNed wordt ingediend is </w:t>
      </w:r>
      <w:r>
        <w:rPr>
          <w:b/>
        </w:rPr>
        <w:t xml:space="preserve">eveneens </w:t>
      </w:r>
      <w:r w:rsidRPr="000339A8">
        <w:rPr>
          <w:b/>
        </w:rPr>
        <w:t>ongeldig.</w:t>
      </w:r>
    </w:p>
    <w:p w:rsidR="0065537A" w:rsidRDefault="0065537A" w:rsidP="0065537A">
      <w:pPr>
        <w:pStyle w:val="Tekstzonderopmaak"/>
        <w:rPr>
          <w:rFonts w:ascii="Arial" w:eastAsiaTheme="minorHAnsi" w:hAnsi="Arial"/>
          <w:color w:val="000000"/>
          <w:spacing w:val="0"/>
          <w:sz w:val="20"/>
          <w:szCs w:val="20"/>
          <w:lang w:eastAsia="en-US"/>
        </w:rPr>
      </w:pPr>
    </w:p>
    <w:p w:rsidR="0065537A" w:rsidRPr="00482F3A" w:rsidRDefault="0065537A" w:rsidP="0065537A">
      <w:pPr>
        <w:rPr>
          <w:spacing w:val="1"/>
        </w:rPr>
      </w:pPr>
      <w:r w:rsidRPr="00482F3A">
        <w:rPr>
          <w:spacing w:val="1"/>
        </w:rPr>
        <w:t xml:space="preserve">Er wordt met klem op gewezen dat verklaringen, die achteraf (al dan niet na verificatie) onjuistheden </w:t>
      </w:r>
      <w:r w:rsidRPr="00482F3A">
        <w:rPr>
          <w:spacing w:val="-3"/>
        </w:rPr>
        <w:t xml:space="preserve">blijken te bevatten, of toezeggingen die niet (kunnen) worden waargemaakt, door ProRail kunnen </w:t>
      </w:r>
      <w:r w:rsidRPr="00482F3A">
        <w:rPr>
          <w:spacing w:val="1"/>
        </w:rPr>
        <w:t>worden opgevat als valse verklaringen. Dit kan uitsluiting van verdere aanbestedingsprocedures</w:t>
      </w:r>
      <w:r>
        <w:rPr>
          <w:spacing w:val="1"/>
        </w:rPr>
        <w:t xml:space="preserve"> </w:t>
      </w:r>
      <w:r w:rsidRPr="00482F3A">
        <w:rPr>
          <w:spacing w:val="1"/>
        </w:rPr>
        <w:t>van ProRail tot gevolg hebben.</w:t>
      </w:r>
    </w:p>
    <w:p w:rsidR="0065537A" w:rsidRDefault="0065537A" w:rsidP="0065537A"/>
    <w:p w:rsidR="0065537A" w:rsidRDefault="0065537A" w:rsidP="0065537A">
      <w:pPr>
        <w:rPr>
          <w:b/>
        </w:rPr>
      </w:pPr>
      <w:r>
        <w:rPr>
          <w:b/>
        </w:rPr>
        <w:t>UEA bij a</w:t>
      </w:r>
      <w:r w:rsidRPr="00524B90">
        <w:rPr>
          <w:b/>
        </w:rPr>
        <w:t xml:space="preserve">anmelding door een </w:t>
      </w:r>
      <w:r>
        <w:rPr>
          <w:b/>
        </w:rPr>
        <w:t>combinatie</w:t>
      </w:r>
      <w:r w:rsidRPr="00524B90">
        <w:rPr>
          <w:b/>
        </w:rPr>
        <w:t xml:space="preserve"> / beroep op </w:t>
      </w:r>
      <w:r>
        <w:rPr>
          <w:b/>
        </w:rPr>
        <w:t>natuurlijke personen of rechtspersonen</w:t>
      </w:r>
    </w:p>
    <w:p w:rsidR="0065537A" w:rsidRDefault="0065537A" w:rsidP="0065537A">
      <w:pPr>
        <w:rPr>
          <w:b/>
        </w:rPr>
      </w:pPr>
    </w:p>
    <w:p w:rsidR="0065537A" w:rsidRDefault="0065537A" w:rsidP="0065537A">
      <w:pPr>
        <w:rPr>
          <w:b/>
        </w:rPr>
      </w:pPr>
      <w:r w:rsidRPr="00571D71">
        <w:rPr>
          <w:spacing w:val="-3"/>
        </w:rPr>
        <w:t>Een ondernemer die zelfstandig deelneemt en zich niet beroept op de draagkracht van andere entiteiten, moet een UEA invullen.</w:t>
      </w:r>
    </w:p>
    <w:p w:rsidR="0065537A" w:rsidRDefault="0065537A" w:rsidP="0065537A">
      <w:pPr>
        <w:rPr>
          <w:b/>
        </w:rPr>
      </w:pPr>
    </w:p>
    <w:p w:rsidR="0065537A" w:rsidRDefault="0065537A" w:rsidP="0065537A">
      <w:pPr>
        <w:rPr>
          <w:b/>
        </w:rPr>
      </w:pPr>
      <w:r w:rsidRPr="00571D71">
        <w:rPr>
          <w:spacing w:val="-3"/>
        </w:rPr>
        <w:t>Een ondernemer die zelfstandig deelneemt, maar zich beroept op de draagkracht van één of meer andere entiteiten, moet</w:t>
      </w:r>
      <w:r>
        <w:rPr>
          <w:spacing w:val="-3"/>
        </w:rPr>
        <w:t xml:space="preserve"> </w:t>
      </w:r>
      <w:r w:rsidRPr="00571D71">
        <w:rPr>
          <w:spacing w:val="-3"/>
        </w:rPr>
        <w:t>ervoor zorgen dat de aanbestedende dienst of aanbestedende entiteit zijn eigen UEA samen met een afzonderlijk UEA</w:t>
      </w:r>
      <w:r>
        <w:rPr>
          <w:spacing w:val="-3"/>
        </w:rPr>
        <w:t xml:space="preserve"> </w:t>
      </w:r>
      <w:r w:rsidRPr="00571D71">
        <w:rPr>
          <w:spacing w:val="-3"/>
        </w:rPr>
        <w:t>met de rel</w:t>
      </w:r>
      <w:r>
        <w:rPr>
          <w:spacing w:val="-3"/>
        </w:rPr>
        <w:t xml:space="preserve">evante informatie </w:t>
      </w:r>
      <w:r w:rsidRPr="00571D71">
        <w:rPr>
          <w:spacing w:val="-3"/>
        </w:rPr>
        <w:t>voor elk van de entiteiten waarop hij steunt, ontvangt.</w:t>
      </w:r>
    </w:p>
    <w:p w:rsidR="0065537A" w:rsidRDefault="0065537A" w:rsidP="0065537A">
      <w:pPr>
        <w:rPr>
          <w:b/>
        </w:rPr>
      </w:pPr>
    </w:p>
    <w:p w:rsidR="0065537A" w:rsidRPr="00571D71" w:rsidRDefault="0065537A" w:rsidP="0065537A">
      <w:pPr>
        <w:rPr>
          <w:b/>
        </w:rPr>
      </w:pPr>
      <w:r w:rsidRPr="00571D71">
        <w:rPr>
          <w:spacing w:val="-3"/>
        </w:rPr>
        <w:t>Ten slotte moet, als combinaties van ondernemers — waaronder tijdelijke samenwerkingsverbanden — samen</w:t>
      </w:r>
      <w:r>
        <w:rPr>
          <w:spacing w:val="-3"/>
        </w:rPr>
        <w:t xml:space="preserve"> </w:t>
      </w:r>
      <w:r w:rsidRPr="00571D71">
        <w:rPr>
          <w:spacing w:val="-3"/>
        </w:rPr>
        <w:t>deelnemen aan een aanbestedingsprocedure, voor elk van de deelnemende ondernemers een afzonderlijk UEA worden</w:t>
      </w:r>
      <w:r>
        <w:rPr>
          <w:spacing w:val="-3"/>
        </w:rPr>
        <w:t xml:space="preserve"> </w:t>
      </w:r>
      <w:r w:rsidRPr="00571D71">
        <w:rPr>
          <w:spacing w:val="-3"/>
        </w:rPr>
        <w:t xml:space="preserve">ingediend met daarin de in de delen II tot en met V gevraagde gegevens. De UEA-formulieren dienen naar behoren te worden ingevuld en te worden ondertekend. </w:t>
      </w:r>
    </w:p>
    <w:p w:rsidR="0065537A" w:rsidRPr="00571D71" w:rsidRDefault="0065537A" w:rsidP="0065537A">
      <w:pPr>
        <w:rPr>
          <w:spacing w:val="-3"/>
        </w:rPr>
      </w:pPr>
    </w:p>
    <w:p w:rsidR="0065537A" w:rsidRDefault="0065537A" w:rsidP="0065537A">
      <w:pPr>
        <w:rPr>
          <w:b/>
        </w:rPr>
      </w:pPr>
      <w:r w:rsidRPr="00524B90">
        <w:rPr>
          <w:b/>
        </w:rPr>
        <w:t>Facu</w:t>
      </w:r>
      <w:r>
        <w:rPr>
          <w:b/>
        </w:rPr>
        <w:t>ltatief: direct up</w:t>
      </w:r>
      <w:r w:rsidRPr="00524B90">
        <w:rPr>
          <w:b/>
        </w:rPr>
        <w:t>loaden overige bewijsstukken</w:t>
      </w:r>
    </w:p>
    <w:p w:rsidR="0065537A" w:rsidRDefault="0065537A" w:rsidP="0065537A">
      <w:pPr>
        <w:rPr>
          <w:b/>
        </w:rPr>
      </w:pPr>
    </w:p>
    <w:p w:rsidR="0065537A" w:rsidRPr="007B7B4A" w:rsidRDefault="0065537A" w:rsidP="0065537A">
      <w:r w:rsidRPr="00482F3A">
        <w:t xml:space="preserve">Desgewenst </w:t>
      </w:r>
      <w:r>
        <w:t>(niet verplicht) kan de gegadigde</w:t>
      </w:r>
      <w:r w:rsidRPr="00482F3A">
        <w:t xml:space="preserve"> gelijktijdig met </w:t>
      </w:r>
      <w:r>
        <w:t>de</w:t>
      </w:r>
      <w:r w:rsidRPr="00482F3A">
        <w:t xml:space="preserve"> </w:t>
      </w:r>
      <w:r w:rsidR="009E79D2">
        <w:t>inschrijving</w:t>
      </w:r>
      <w:r w:rsidRPr="00482F3A">
        <w:t xml:space="preserve"> in TenderNed </w:t>
      </w:r>
      <w:r>
        <w:t>o</w:t>
      </w:r>
      <w:r w:rsidRPr="00482F3A">
        <w:t>ok de overige bewijsstukken indienen via TenderNed bij de stap “</w:t>
      </w:r>
      <w:r w:rsidRPr="00524B90">
        <w:rPr>
          <w:i/>
        </w:rPr>
        <w:t>Eisen en selectiecriteria beantwoorden</w:t>
      </w:r>
      <w:r w:rsidRPr="00482F3A">
        <w:t xml:space="preserve">”. Later indienen van de overige bewijsstukken </w:t>
      </w:r>
      <w:r>
        <w:t>dient binnen de daarvoor gestelde termijn te geschieden</w:t>
      </w:r>
      <w:r w:rsidRPr="00482F3A">
        <w:t xml:space="preserve"> via </w:t>
      </w:r>
      <w:r>
        <w:t>de module “Berichten”</w:t>
      </w:r>
      <w:r w:rsidR="001103CF">
        <w:t xml:space="preserve"> in TenderNed</w:t>
      </w:r>
      <w:r w:rsidRPr="00482F3A">
        <w:t>.</w:t>
      </w:r>
    </w:p>
    <w:p w:rsidR="0065537A" w:rsidRDefault="0065537A" w:rsidP="00E778E1">
      <w:pPr>
        <w:numPr>
          <w:ilvl w:val="12"/>
          <w:numId w:val="0"/>
        </w:numPr>
        <w:spacing w:line="260" w:lineRule="exact"/>
        <w:ind w:left="851"/>
      </w:pPr>
    </w:p>
    <w:p w:rsidR="00E53891" w:rsidRPr="004B5284" w:rsidRDefault="00E53891" w:rsidP="00EA5F73"/>
    <w:p w:rsidR="00EA5748" w:rsidRPr="0067326C" w:rsidRDefault="0067326C" w:rsidP="0097607B">
      <w:pPr>
        <w:pStyle w:val="Kop3"/>
      </w:pPr>
      <w:bookmarkStart w:id="37" w:name="_Toc493686445"/>
      <w:r w:rsidRPr="0067326C">
        <w:t>Na de aanbesteding</w:t>
      </w:r>
      <w:bookmarkEnd w:id="37"/>
      <w:r w:rsidRPr="0067326C">
        <w:t xml:space="preserve"> </w:t>
      </w:r>
    </w:p>
    <w:p w:rsidR="00F0050F" w:rsidRDefault="00F0050F" w:rsidP="00F0050F"/>
    <w:p w:rsidR="005840BC" w:rsidRDefault="005840BC" w:rsidP="00F0050F">
      <w:r>
        <w:t xml:space="preserve">Nadat de inschrijvingen zijn ontvangen en de kluis in TenderNed is geopend worden </w:t>
      </w:r>
      <w:r w:rsidR="0013589F">
        <w:t xml:space="preserve">per aanbestedingsperceel </w:t>
      </w:r>
      <w:r>
        <w:t>de volgende stappen doorlopen:</w:t>
      </w:r>
    </w:p>
    <w:p w:rsidR="0065537A" w:rsidRDefault="0065537A" w:rsidP="00F0050F"/>
    <w:p w:rsidR="005F251D" w:rsidRDefault="005F251D" w:rsidP="005F251D">
      <w:r>
        <w:t>Stap 1: Verstrekken Proces Verbaal van Aanbesteding</w:t>
      </w:r>
    </w:p>
    <w:p w:rsidR="005F251D" w:rsidRDefault="005F251D" w:rsidP="005F251D">
      <w:r>
        <w:t>Stap 2: Beoordelen UEA en insch</w:t>
      </w:r>
      <w:r w:rsidR="003954E8">
        <w:t>rijvingsformulier</w:t>
      </w:r>
    </w:p>
    <w:p w:rsidR="005F251D" w:rsidRDefault="001103CF" w:rsidP="005F251D">
      <w:r>
        <w:t>Stap 3: Beoordelen kwaliteitscriteria (indien van toepassing)</w:t>
      </w:r>
    </w:p>
    <w:p w:rsidR="005F251D" w:rsidRDefault="005F251D" w:rsidP="005F251D">
      <w:r>
        <w:t>Stap 4: Bepalen rangorde</w:t>
      </w:r>
    </w:p>
    <w:p w:rsidR="005F251D" w:rsidRDefault="005F251D" w:rsidP="005F251D">
      <w:r>
        <w:t>St</w:t>
      </w:r>
      <w:r w:rsidR="003954E8">
        <w:t xml:space="preserve">ap 5: Indienen bewijsstukken </w:t>
      </w:r>
    </w:p>
    <w:p w:rsidR="005F251D" w:rsidRDefault="005F251D" w:rsidP="005F251D">
      <w:r>
        <w:t>Stap 6: Beoordele</w:t>
      </w:r>
      <w:r w:rsidR="003954E8">
        <w:t xml:space="preserve">n bewijsstukken </w:t>
      </w:r>
    </w:p>
    <w:p w:rsidR="003954E8" w:rsidRDefault="003954E8" w:rsidP="005F251D">
      <w:r>
        <w:t>Stap 7: Mededeling gunningsbeslissing</w:t>
      </w:r>
    </w:p>
    <w:p w:rsidR="005840BC" w:rsidRDefault="005840BC" w:rsidP="00F0050F"/>
    <w:p w:rsidR="005840BC" w:rsidRDefault="005840BC" w:rsidP="00F0050F"/>
    <w:p w:rsidR="008E1454" w:rsidRDefault="0065537A" w:rsidP="0097607B">
      <w:pPr>
        <w:pStyle w:val="Kop4"/>
      </w:pPr>
      <w:r>
        <w:t xml:space="preserve">Stap 1: </w:t>
      </w:r>
      <w:r w:rsidR="003954E8">
        <w:t>Proces-v</w:t>
      </w:r>
      <w:r w:rsidR="008E1454">
        <w:t>erbaal</w:t>
      </w:r>
      <w:r w:rsidR="00FB1392">
        <w:t xml:space="preserve"> van Aanbesteding</w:t>
      </w:r>
    </w:p>
    <w:p w:rsidR="003D2CA8" w:rsidRDefault="003D2CA8" w:rsidP="008E1454">
      <w:pPr>
        <w:rPr>
          <w:rFonts w:cs="Arial"/>
        </w:rPr>
      </w:pPr>
    </w:p>
    <w:p w:rsidR="009E79D2" w:rsidRDefault="00C9051F" w:rsidP="0013589F">
      <w:pPr>
        <w:rPr>
          <w:rFonts w:cs="Arial"/>
        </w:rPr>
      </w:pPr>
      <w:r w:rsidRPr="00D804BC">
        <w:rPr>
          <w:rFonts w:cs="Arial"/>
        </w:rPr>
        <w:t>Conform artikel 16 lid 1 van het ARN</w:t>
      </w:r>
      <w:r w:rsidRPr="00D804BC">
        <w:rPr>
          <w:rFonts w:cs="Arial"/>
          <w:vertAlign w:val="superscript"/>
        </w:rPr>
        <w:t>2016</w:t>
      </w:r>
      <w:r w:rsidRPr="00D804BC">
        <w:rPr>
          <w:rFonts w:cs="Arial"/>
        </w:rPr>
        <w:t xml:space="preserve"> </w:t>
      </w:r>
      <w:r>
        <w:rPr>
          <w:rFonts w:cs="Arial"/>
        </w:rPr>
        <w:t>zal</w:t>
      </w:r>
      <w:r w:rsidRPr="00D804BC">
        <w:rPr>
          <w:rFonts w:cs="Arial"/>
        </w:rPr>
        <w:t xml:space="preserve"> na aanbesteding een </w:t>
      </w:r>
      <w:r>
        <w:rPr>
          <w:rFonts w:cs="Arial"/>
        </w:rPr>
        <w:t>P</w:t>
      </w:r>
      <w:r w:rsidRPr="00D804BC">
        <w:rPr>
          <w:rFonts w:cs="Arial"/>
        </w:rPr>
        <w:t>roces</w:t>
      </w:r>
      <w:r>
        <w:rPr>
          <w:rFonts w:cs="Arial"/>
        </w:rPr>
        <w:t>-</w:t>
      </w:r>
      <w:r w:rsidRPr="00D804BC">
        <w:rPr>
          <w:rFonts w:cs="Arial"/>
        </w:rPr>
        <w:t xml:space="preserve">verbaal </w:t>
      </w:r>
      <w:r>
        <w:rPr>
          <w:rFonts w:cs="Arial"/>
        </w:rPr>
        <w:t xml:space="preserve">van aanbesteding </w:t>
      </w:r>
      <w:r w:rsidRPr="00D804BC">
        <w:rPr>
          <w:rFonts w:cs="Arial"/>
        </w:rPr>
        <w:t>via TenderNed aan d</w:t>
      </w:r>
      <w:r>
        <w:rPr>
          <w:rFonts w:cs="Arial"/>
        </w:rPr>
        <w:t>e inschrijvers worden verstrekt</w:t>
      </w:r>
      <w:r w:rsidRPr="00D804BC">
        <w:rPr>
          <w:rFonts w:cs="Arial"/>
        </w:rPr>
        <w:t>.</w:t>
      </w:r>
      <w:r w:rsidR="009E79D2">
        <w:rPr>
          <w:rFonts w:cs="Arial"/>
        </w:rPr>
        <w:t xml:space="preserve"> </w:t>
      </w:r>
      <w:r>
        <w:rPr>
          <w:rFonts w:cs="Arial"/>
        </w:rPr>
        <w:t xml:space="preserve">Hierop worden </w:t>
      </w:r>
      <w:r w:rsidRPr="003D2CA8">
        <w:rPr>
          <w:rFonts w:cs="Arial"/>
        </w:rPr>
        <w:t xml:space="preserve">geen inschrijfsommen vermeld. </w:t>
      </w:r>
    </w:p>
    <w:p w:rsidR="0013589F" w:rsidRPr="009E79D2" w:rsidRDefault="0013589F" w:rsidP="0013589F">
      <w:pPr>
        <w:rPr>
          <w:rFonts w:cs="Arial"/>
          <w:i/>
          <w:color w:val="00B0F0"/>
        </w:rPr>
      </w:pPr>
    </w:p>
    <w:p w:rsidR="0065537A" w:rsidRDefault="0065537A" w:rsidP="0065537A">
      <w:pPr>
        <w:pStyle w:val="Kop4"/>
      </w:pPr>
      <w:r>
        <w:lastRenderedPageBreak/>
        <w:t>Stap 2: Beoordelen UEA</w:t>
      </w:r>
      <w:r w:rsidR="005F251D">
        <w:t xml:space="preserve"> en inschrijvingsformulier</w:t>
      </w:r>
    </w:p>
    <w:p w:rsidR="0065537A" w:rsidRDefault="0065537A" w:rsidP="008E1454">
      <w:pPr>
        <w:tabs>
          <w:tab w:val="left" w:pos="2309"/>
        </w:tabs>
      </w:pPr>
    </w:p>
    <w:p w:rsidR="0065537A" w:rsidRPr="00AB1134" w:rsidRDefault="0065537A" w:rsidP="0065537A">
      <w:pPr>
        <w:rPr>
          <w:b/>
        </w:rPr>
      </w:pPr>
      <w:r w:rsidRPr="00AB1134">
        <w:t xml:space="preserve">Nadat </w:t>
      </w:r>
      <w:r>
        <w:t>de inschrijvingen ontvangen zijn</w:t>
      </w:r>
      <w:r w:rsidRPr="00AB1134">
        <w:t xml:space="preserve">, zal ProRail </w:t>
      </w:r>
      <w:r>
        <w:t>deze</w:t>
      </w:r>
      <w:r w:rsidRPr="00AB1134">
        <w:t xml:space="preserve"> beoordelen. De beoordeling vindt plaa</w:t>
      </w:r>
      <w:r>
        <w:t>ts op basis van de ingediende UEA en ingediend inschrijvingsformulier</w:t>
      </w:r>
      <w:r w:rsidRPr="00AB1134">
        <w:t>.</w:t>
      </w:r>
    </w:p>
    <w:p w:rsidR="0065537A" w:rsidRDefault="0065537A" w:rsidP="0065537A"/>
    <w:p w:rsidR="0065537A" w:rsidRDefault="0065537A" w:rsidP="0065537A">
      <w:r w:rsidRPr="00FB41FA">
        <w:t>De door de gegadigden ingedien</w:t>
      </w:r>
      <w:r>
        <w:t>de UEA</w:t>
      </w:r>
      <w:r w:rsidRPr="00FB41FA">
        <w:t xml:space="preserve"> wordt getoetst op volledigheid en rechtsgeldige ondertekening.</w:t>
      </w:r>
      <w:r>
        <w:t xml:space="preserve"> Tevens</w:t>
      </w:r>
      <w:r w:rsidRPr="00FB41FA">
        <w:t xml:space="preserve"> vindt een inhoudelijke toets plaats</w:t>
      </w:r>
      <w:r>
        <w:t xml:space="preserve"> van de UEA</w:t>
      </w:r>
      <w:r w:rsidRPr="00FB41FA">
        <w:t xml:space="preserve"> aan de hand van de gestelde </w:t>
      </w:r>
      <w:r>
        <w:t>voorschriften en criteria die zijn opgenomen in TenderNed</w:t>
      </w:r>
      <w:r w:rsidRPr="00FB41FA">
        <w:t xml:space="preserve">. </w:t>
      </w:r>
    </w:p>
    <w:p w:rsidR="0065537A" w:rsidRDefault="0065537A" w:rsidP="008E1454">
      <w:pPr>
        <w:tabs>
          <w:tab w:val="left" w:pos="2309"/>
        </w:tabs>
      </w:pPr>
    </w:p>
    <w:p w:rsidR="0065537A" w:rsidRDefault="0065537A" w:rsidP="008E1454">
      <w:pPr>
        <w:tabs>
          <w:tab w:val="left" w:pos="2309"/>
        </w:tabs>
      </w:pPr>
      <w:r>
        <w:t>Het inschrijvingsformulier wordt getoetst op volledigheid en rechtsgeldige ondertekening.</w:t>
      </w:r>
    </w:p>
    <w:p w:rsidR="0065537A" w:rsidRDefault="0065537A" w:rsidP="008E1454">
      <w:pPr>
        <w:tabs>
          <w:tab w:val="left" w:pos="2309"/>
        </w:tabs>
      </w:pPr>
    </w:p>
    <w:p w:rsidR="005F251D" w:rsidRDefault="005F251D" w:rsidP="005F251D">
      <w:pPr>
        <w:pStyle w:val="Kop4"/>
      </w:pPr>
      <w:r>
        <w:t>Stap 3: Beoordelen kwaliteitscriteria</w:t>
      </w:r>
    </w:p>
    <w:p w:rsidR="009E79D2" w:rsidRDefault="009E79D2" w:rsidP="009E79D2">
      <w:r>
        <w:rPr>
          <w:rFonts w:eastAsia="Arial Unicode MS" w:cs="Arial Unicode MS"/>
        </w:rPr>
        <w:t>De ingediende stukken worden beoordeeld op basis van de gunningscriteria zoals vermeld in hoofdstuk 4.</w:t>
      </w:r>
    </w:p>
    <w:p w:rsidR="005F251D" w:rsidRDefault="005F251D" w:rsidP="005F251D"/>
    <w:p w:rsidR="005F251D" w:rsidRPr="00C81DA7" w:rsidRDefault="005F251D" w:rsidP="001103CF">
      <w:pPr>
        <w:pStyle w:val="Kop4"/>
        <w:numPr>
          <w:ilvl w:val="0"/>
          <w:numId w:val="0"/>
        </w:numPr>
        <w:ind w:left="864"/>
      </w:pPr>
      <w:r w:rsidRPr="00C81DA7">
        <w:t>Verzoek tot opheldering (VTO)</w:t>
      </w:r>
    </w:p>
    <w:p w:rsidR="005F251D" w:rsidRDefault="005F251D" w:rsidP="005F251D">
      <w:pPr>
        <w:rPr>
          <w:rFonts w:cs="Arial"/>
        </w:rPr>
      </w:pPr>
      <w:r>
        <w:rPr>
          <w:rFonts w:cs="Arial"/>
        </w:rPr>
        <w:t xml:space="preserve">Indien ProRail onduidelijkheden aantreft in de aanbieding kan een verzoek tot opheldering (VTO) worden verstuurd aan de inschrijver. De inschrijver dient dit verzoek afdoende te beantwoorden. </w:t>
      </w:r>
    </w:p>
    <w:p w:rsidR="005F251D" w:rsidRDefault="005F251D" w:rsidP="005F251D"/>
    <w:p w:rsidR="005F251D" w:rsidRDefault="005F251D" w:rsidP="005F251D">
      <w:pPr>
        <w:pStyle w:val="Kop4"/>
      </w:pPr>
      <w:r>
        <w:t>Stap 4: Bepalen rangorde</w:t>
      </w:r>
    </w:p>
    <w:p w:rsidR="009E79D2" w:rsidRDefault="009E79D2" w:rsidP="009E79D2">
      <w:pPr>
        <w:tabs>
          <w:tab w:val="left" w:pos="2309"/>
        </w:tabs>
      </w:pPr>
      <w:r>
        <w:t>De rangorde wordt bepaald op basis van de gunningscriteria zoals beschreven in hoofdstuk 4.</w:t>
      </w:r>
    </w:p>
    <w:p w:rsidR="008E1454" w:rsidRDefault="008E1454" w:rsidP="008E1454">
      <w:pPr>
        <w:tabs>
          <w:tab w:val="left" w:pos="2309"/>
        </w:tabs>
      </w:pPr>
    </w:p>
    <w:p w:rsidR="008E1454" w:rsidRPr="008E1454" w:rsidRDefault="0065537A" w:rsidP="0097607B">
      <w:pPr>
        <w:pStyle w:val="Kop4"/>
      </w:pPr>
      <w:r>
        <w:t xml:space="preserve">Stap </w:t>
      </w:r>
      <w:r w:rsidR="005F251D">
        <w:t>5</w:t>
      </w:r>
      <w:r>
        <w:t xml:space="preserve">: </w:t>
      </w:r>
      <w:r w:rsidR="0040515F">
        <w:t xml:space="preserve">Indienen van </w:t>
      </w:r>
      <w:r w:rsidR="001103CF">
        <w:t>bewijsstukken</w:t>
      </w:r>
    </w:p>
    <w:p w:rsidR="0040515F" w:rsidRPr="00D804BC" w:rsidRDefault="001103CF" w:rsidP="0040515F">
      <w:pPr>
        <w:rPr>
          <w:rFonts w:eastAsia="Arial Unicode MS" w:hAnsi="Arial Unicode MS" w:cs="Arial Unicode MS"/>
        </w:rPr>
      </w:pPr>
      <w:r>
        <w:rPr>
          <w:rFonts w:eastAsia="Arial Unicode MS" w:hAnsi="Arial Unicode MS" w:cs="Arial Unicode MS"/>
        </w:rPr>
        <w:t xml:space="preserve">De inschrijver die de economisch meest voordelige inschrijving heeft gedaan ontvangt </w:t>
      </w:r>
      <w:r w:rsidR="000A06DA">
        <w:rPr>
          <w:rFonts w:eastAsia="Arial Unicode MS" w:hAnsi="Arial Unicode MS" w:cs="Arial Unicode MS"/>
        </w:rPr>
        <w:t xml:space="preserve">van ProRail </w:t>
      </w:r>
      <w:r>
        <w:rPr>
          <w:rFonts w:eastAsia="Arial Unicode MS" w:hAnsi="Arial Unicode MS" w:cs="Arial Unicode MS"/>
        </w:rPr>
        <w:t>h</w:t>
      </w:r>
      <w:r w:rsidR="0040515F" w:rsidRPr="00D804BC">
        <w:rPr>
          <w:rFonts w:eastAsia="Arial Unicode MS" w:hAnsi="Arial Unicode MS" w:cs="Arial Unicode MS"/>
        </w:rPr>
        <w:t>et verzoek als bedoeld in artikel 1</w:t>
      </w:r>
      <w:r w:rsidR="00D804BC" w:rsidRPr="00D804BC">
        <w:rPr>
          <w:rFonts w:eastAsia="Arial Unicode MS" w:hAnsi="Arial Unicode MS" w:cs="Arial Unicode MS"/>
        </w:rPr>
        <w:t>4</w:t>
      </w:r>
      <w:r w:rsidR="0040515F" w:rsidRPr="00D804BC">
        <w:rPr>
          <w:rFonts w:eastAsia="Arial Unicode MS" w:hAnsi="Arial Unicode MS" w:cs="Arial Unicode MS"/>
        </w:rPr>
        <w:t xml:space="preserve"> lid </w:t>
      </w:r>
      <w:r w:rsidR="00D804BC" w:rsidRPr="00D804BC">
        <w:rPr>
          <w:rFonts w:eastAsia="Arial Unicode MS" w:hAnsi="Arial Unicode MS" w:cs="Arial Unicode MS"/>
        </w:rPr>
        <w:t>3</w:t>
      </w:r>
      <w:r w:rsidR="0040515F" w:rsidRPr="00D804BC">
        <w:rPr>
          <w:rFonts w:eastAsia="Arial Unicode MS" w:hAnsi="Arial Unicode MS" w:cs="Arial Unicode MS"/>
        </w:rPr>
        <w:t xml:space="preserve"> ARN</w:t>
      </w:r>
      <w:r w:rsidR="0040515F" w:rsidRPr="00D804BC">
        <w:rPr>
          <w:rFonts w:eastAsia="Arial Unicode MS" w:hAnsi="Arial Unicode MS" w:cs="Arial Unicode MS"/>
          <w:vertAlign w:val="superscript"/>
        </w:rPr>
        <w:t>201</w:t>
      </w:r>
      <w:r w:rsidR="001777FC">
        <w:rPr>
          <w:rFonts w:eastAsia="Arial Unicode MS" w:hAnsi="Arial Unicode MS" w:cs="Arial Unicode MS"/>
          <w:vertAlign w:val="superscript"/>
        </w:rPr>
        <w:t>6</w:t>
      </w:r>
      <w:r w:rsidR="0040515F" w:rsidRPr="00D804BC">
        <w:rPr>
          <w:rFonts w:eastAsia="Arial Unicode MS" w:hAnsi="Arial Unicode MS" w:cs="Arial Unicode MS"/>
        </w:rPr>
        <w:t xml:space="preserve"> om de vereiste documenten </w:t>
      </w:r>
      <w:r w:rsidR="000A06DA">
        <w:rPr>
          <w:rFonts w:eastAsia="Arial Unicode MS" w:hAnsi="Arial Unicode MS" w:cs="Arial Unicode MS"/>
        </w:rPr>
        <w:t xml:space="preserve">(bewijsstukken van zowel de eisen als de (selectie- en) gunningscriteria) </w:t>
      </w:r>
      <w:r w:rsidR="0040515F" w:rsidRPr="00D804BC">
        <w:rPr>
          <w:rFonts w:eastAsia="Arial Unicode MS" w:hAnsi="Arial Unicode MS" w:cs="Arial Unicode MS"/>
        </w:rPr>
        <w:t>binnen 48 uur (</w:t>
      </w:r>
      <w:r w:rsidR="00A930C8" w:rsidRPr="00D804BC">
        <w:rPr>
          <w:rFonts w:eastAsia="Arial Unicode MS" w:hAnsi="Arial Unicode MS" w:cs="Arial Unicode MS"/>
        </w:rPr>
        <w:t xml:space="preserve">weekend- en </w:t>
      </w:r>
      <w:r w:rsidR="00506573" w:rsidRPr="00D804BC">
        <w:rPr>
          <w:rFonts w:eastAsia="Arial Unicode MS" w:hAnsi="Arial Unicode MS" w:cs="Arial Unicode MS"/>
        </w:rPr>
        <w:t xml:space="preserve">nationale </w:t>
      </w:r>
      <w:r w:rsidR="00A930C8" w:rsidRPr="00D804BC">
        <w:rPr>
          <w:rFonts w:eastAsia="Arial Unicode MS" w:hAnsi="Arial Unicode MS" w:cs="Arial Unicode MS"/>
        </w:rPr>
        <w:t>feestdagen daarin niet meegerekend</w:t>
      </w:r>
      <w:r w:rsidR="0040515F" w:rsidRPr="00D804BC">
        <w:rPr>
          <w:rFonts w:eastAsia="Arial Unicode MS" w:hAnsi="Arial Unicode MS" w:cs="Arial Unicode MS"/>
        </w:rPr>
        <w:t xml:space="preserve">) in te dienen. In aanvulling hierop geldt dat bij een raamovereenkomst het verzoek aan de beoogde contractanten wordt gericht. </w:t>
      </w:r>
    </w:p>
    <w:p w:rsidR="0040515F" w:rsidRPr="00D804BC" w:rsidRDefault="0040515F" w:rsidP="0040515F">
      <w:pPr>
        <w:rPr>
          <w:rFonts w:eastAsia="Arial Unicode MS" w:hAnsi="Arial Unicode MS" w:cs="Arial Unicode MS"/>
        </w:rPr>
      </w:pPr>
    </w:p>
    <w:p w:rsidR="00E04274" w:rsidRPr="00E04274" w:rsidRDefault="0040515F" w:rsidP="00E04274">
      <w:pPr>
        <w:rPr>
          <w:rFonts w:eastAsia="Arial Unicode MS" w:hAnsi="Arial Unicode MS" w:cs="Arial Unicode MS"/>
        </w:rPr>
      </w:pPr>
      <w:r w:rsidRPr="00D804BC">
        <w:rPr>
          <w:rFonts w:eastAsia="Arial Unicode MS" w:hAnsi="Arial Unicode MS" w:cs="Arial Unicode MS"/>
        </w:rPr>
        <w:t>Indien inschrijvers aan wie het verzoek is gericht alsnog afvallen, is ProRail gerechtigd het verzoek als bedoeld in artikel 1</w:t>
      </w:r>
      <w:r w:rsidR="00D804BC" w:rsidRPr="00D804BC">
        <w:rPr>
          <w:rFonts w:eastAsia="Arial Unicode MS" w:hAnsi="Arial Unicode MS" w:cs="Arial Unicode MS"/>
        </w:rPr>
        <w:t>4</w:t>
      </w:r>
      <w:r w:rsidRPr="00D804BC">
        <w:rPr>
          <w:rFonts w:eastAsia="Arial Unicode MS" w:hAnsi="Arial Unicode MS" w:cs="Arial Unicode MS"/>
        </w:rPr>
        <w:t xml:space="preserve"> lid </w:t>
      </w:r>
      <w:r w:rsidR="00D804BC" w:rsidRPr="00D804BC">
        <w:rPr>
          <w:rFonts w:eastAsia="Arial Unicode MS" w:hAnsi="Arial Unicode MS" w:cs="Arial Unicode MS"/>
        </w:rPr>
        <w:t>3</w:t>
      </w:r>
      <w:r w:rsidRPr="00D804BC">
        <w:rPr>
          <w:rFonts w:eastAsia="Arial Unicode MS" w:hAnsi="Arial Unicode MS" w:cs="Arial Unicode MS"/>
        </w:rPr>
        <w:t xml:space="preserve"> ARN</w:t>
      </w:r>
      <w:r w:rsidRPr="00D804BC">
        <w:rPr>
          <w:rFonts w:eastAsia="Arial Unicode MS" w:hAnsi="Arial Unicode MS" w:cs="Arial Unicode MS"/>
          <w:vertAlign w:val="superscript"/>
        </w:rPr>
        <w:t>201</w:t>
      </w:r>
      <w:r w:rsidR="001777FC">
        <w:rPr>
          <w:rFonts w:eastAsia="Arial Unicode MS" w:hAnsi="Arial Unicode MS" w:cs="Arial Unicode MS"/>
          <w:vertAlign w:val="superscript"/>
        </w:rPr>
        <w:t>6</w:t>
      </w:r>
      <w:r w:rsidRPr="00D804BC">
        <w:rPr>
          <w:rFonts w:eastAsia="Arial Unicode MS" w:hAnsi="Arial Unicode MS" w:cs="Arial Unicode MS"/>
        </w:rPr>
        <w:t xml:space="preserve"> aan </w:t>
      </w:r>
      <w:r w:rsidRPr="00D804BC">
        <w:rPr>
          <w:rFonts w:ascii="Arial Unicode MS" w:eastAsia="Arial Unicode MS" w:hAnsi="Arial Unicode MS" w:cs="Arial Unicode MS"/>
        </w:rPr>
        <w:t>éé</w:t>
      </w:r>
      <w:r w:rsidRPr="00D804BC">
        <w:rPr>
          <w:rFonts w:eastAsia="Arial Unicode MS" w:hAnsi="Arial Unicode MS" w:cs="Arial Unicode MS"/>
        </w:rPr>
        <w:t>n of meer opvolgende inschrijvers te richten.</w:t>
      </w:r>
    </w:p>
    <w:p w:rsidR="00E04274" w:rsidRPr="00050194" w:rsidRDefault="0040515F" w:rsidP="00E04274">
      <w:pPr>
        <w:tabs>
          <w:tab w:val="left" w:pos="2309"/>
        </w:tabs>
        <w:rPr>
          <w:b/>
          <w:i/>
        </w:rPr>
      </w:pPr>
      <w:r>
        <w:br/>
      </w:r>
      <w:r w:rsidR="00E04274" w:rsidRPr="00050194">
        <w:rPr>
          <w:b/>
          <w:i/>
        </w:rPr>
        <w:t xml:space="preserve">Facultatief: direct uploaden vereiste documenten </w:t>
      </w:r>
    </w:p>
    <w:p w:rsidR="00E04274" w:rsidRDefault="00E04274" w:rsidP="00E04274">
      <w:pPr>
        <w:tabs>
          <w:tab w:val="left" w:pos="2309"/>
        </w:tabs>
      </w:pPr>
      <w:r>
        <w:t xml:space="preserve">Desgewenst (niet verplicht) kan de inschrijver gelijktijdig met het indienen van de aanbieding in TenderNed ook de overige vereiste documenten indienen via TenderNed bij de </w:t>
      </w:r>
      <w:r w:rsidR="000A06DA">
        <w:t>eisen, (selectie- en)</w:t>
      </w:r>
      <w:r>
        <w:t xml:space="preserve"> gunningscriteria. Later indienen van de overige bewijsstukken dient binnen de daarvoor gestelde termijn te geschieden via de module “Berichten” in TenderNed</w:t>
      </w:r>
      <w:r w:rsidR="00B208B1">
        <w:t xml:space="preserve">. </w:t>
      </w:r>
    </w:p>
    <w:p w:rsidR="0065537A" w:rsidRDefault="0065537A" w:rsidP="00FC183F"/>
    <w:p w:rsidR="0065537A" w:rsidRDefault="0065537A" w:rsidP="0065537A">
      <w:pPr>
        <w:pStyle w:val="Kop4"/>
      </w:pPr>
      <w:r>
        <w:t xml:space="preserve">Stap </w:t>
      </w:r>
      <w:r w:rsidR="005F251D">
        <w:t>6: Beoordelen bewijsstukken (van zowel selectie als aanbieding)</w:t>
      </w:r>
    </w:p>
    <w:p w:rsidR="0065537A" w:rsidRDefault="0065537A" w:rsidP="00FC183F"/>
    <w:p w:rsidR="000A06DA" w:rsidRDefault="000A06DA" w:rsidP="000A06DA">
      <w:r>
        <w:t>ProRail zal na ontvangst van alle vereiste documenten deze gaan beoordelen. In geval van tegenstrijdigheid tussen het in te dienen certificaat voor bijvoorbeeld, doch niet uitsluitend, het CO</w:t>
      </w:r>
      <w:r w:rsidRPr="00A930C8">
        <w:rPr>
          <w:vertAlign w:val="subscript"/>
        </w:rPr>
        <w:t>2</w:t>
      </w:r>
      <w:r>
        <w:t>-bewust Certificaat of het Veilig Bewust Certificaat, prevaleert de daadwerkelijke score op de ladder ten tijde van aanbesteding boven het opgegeven niveau op het inschrijvingsformulier.</w:t>
      </w:r>
      <w:r w:rsidRPr="000A06DA">
        <w:t xml:space="preserve"> </w:t>
      </w:r>
      <w:r w:rsidRPr="00FB41FA">
        <w:t>Op grond van de uitkomst van de toetsing</w:t>
      </w:r>
      <w:r>
        <w:t xml:space="preserve"> van de bewijsstukken</w:t>
      </w:r>
      <w:r w:rsidRPr="00FB41FA">
        <w:t xml:space="preserve"> word</w:t>
      </w:r>
      <w:r>
        <w:t>t</w:t>
      </w:r>
      <w:r w:rsidRPr="00FB41FA">
        <w:t xml:space="preserve"> vastgesteld of de </w:t>
      </w:r>
      <w:r>
        <w:t>inschrijving geldig is of niet</w:t>
      </w:r>
      <w:r w:rsidRPr="00FB41FA">
        <w:t>.</w:t>
      </w:r>
      <w:r>
        <w:t xml:space="preserve"> </w:t>
      </w:r>
    </w:p>
    <w:p w:rsidR="000A06DA" w:rsidRPr="007C3C7B" w:rsidRDefault="000A06DA" w:rsidP="000A06DA">
      <w:pPr>
        <w:rPr>
          <w:rFonts w:cs="Arial"/>
        </w:rPr>
      </w:pPr>
      <w:r w:rsidRPr="00D804BC">
        <w:rPr>
          <w:rFonts w:cs="Arial"/>
        </w:rPr>
        <w:t xml:space="preserve">Gebreken ten aanzien van de in te dienen documenten mogen in conform artikel </w:t>
      </w:r>
      <w:r>
        <w:rPr>
          <w:rFonts w:cs="Arial"/>
        </w:rPr>
        <w:t>14</w:t>
      </w:r>
      <w:r w:rsidRPr="00D804BC">
        <w:rPr>
          <w:rFonts w:cs="Arial"/>
        </w:rPr>
        <w:t xml:space="preserve"> lid 1 ARN</w:t>
      </w:r>
      <w:r w:rsidRPr="00D804BC">
        <w:rPr>
          <w:rFonts w:cs="Arial"/>
          <w:vertAlign w:val="superscript"/>
        </w:rPr>
        <w:t>201</w:t>
      </w:r>
      <w:r>
        <w:rPr>
          <w:rFonts w:cs="Arial"/>
          <w:vertAlign w:val="superscript"/>
        </w:rPr>
        <w:t>6</w:t>
      </w:r>
      <w:r w:rsidRPr="00D804BC">
        <w:rPr>
          <w:rFonts w:cs="Arial"/>
        </w:rPr>
        <w:t xml:space="preserve"> op verzoek van ProRail worden hersteld, mits dit herstel er niet toe leidt dat in werkelijkheid een nieuwe inschrijving</w:t>
      </w:r>
      <w:r w:rsidRPr="007C3C7B">
        <w:rPr>
          <w:rFonts w:cs="Arial"/>
        </w:rPr>
        <w:t xml:space="preserve"> wordt </w:t>
      </w:r>
      <w:r>
        <w:rPr>
          <w:rFonts w:cs="Arial"/>
        </w:rPr>
        <w:t>voorgesteld</w:t>
      </w:r>
      <w:r w:rsidRPr="007C3C7B">
        <w:rPr>
          <w:rFonts w:cs="Arial"/>
        </w:rPr>
        <w:t xml:space="preserve">. Herstel van gebreken dient binnen </w:t>
      </w:r>
      <w:r>
        <w:rPr>
          <w:rFonts w:cs="Arial"/>
        </w:rPr>
        <w:t>48 uur (op werkdagen)</w:t>
      </w:r>
      <w:r w:rsidRPr="007C3C7B">
        <w:rPr>
          <w:rFonts w:cs="Arial"/>
        </w:rPr>
        <w:t xml:space="preserve"> na het verzoek van ProRail </w:t>
      </w:r>
      <w:r w:rsidRPr="007C3C7B">
        <w:rPr>
          <w:rFonts w:cs="Arial"/>
        </w:rPr>
        <w:lastRenderedPageBreak/>
        <w:t xml:space="preserve">daartoe plaats te vinden. Indien herstel van gebreken niet plaatsvindt binnen deze termijn van </w:t>
      </w:r>
      <w:r>
        <w:rPr>
          <w:rFonts w:cs="Arial"/>
        </w:rPr>
        <w:t>48 uur (op werkdagen)</w:t>
      </w:r>
      <w:r w:rsidRPr="007C3C7B">
        <w:rPr>
          <w:rFonts w:cs="Arial"/>
        </w:rPr>
        <w:t xml:space="preserve"> kan ProRail de </w:t>
      </w:r>
      <w:r>
        <w:rPr>
          <w:rFonts w:cs="Arial"/>
        </w:rPr>
        <w:t>inschrijving</w:t>
      </w:r>
      <w:r w:rsidRPr="007C3C7B">
        <w:rPr>
          <w:rFonts w:cs="Arial"/>
        </w:rPr>
        <w:t xml:space="preserve"> afwijzen. </w:t>
      </w:r>
    </w:p>
    <w:p w:rsidR="000A06DA" w:rsidRDefault="000A06DA" w:rsidP="00FC183F"/>
    <w:p w:rsidR="000A06DA" w:rsidRDefault="000A06DA" w:rsidP="000A06DA">
      <w:r w:rsidRPr="00FB41FA">
        <w:t xml:space="preserve">In het geval van </w:t>
      </w:r>
      <w:r>
        <w:t xml:space="preserve">ongeldigheid wordt de gegadigde </w:t>
      </w:r>
      <w:r w:rsidRPr="00FB41FA">
        <w:t>hierover geïnformeerd met de gemotiveerde</w:t>
      </w:r>
      <w:r>
        <w:t xml:space="preserve"> </w:t>
      </w:r>
      <w:r w:rsidRPr="00FB41FA">
        <w:t>reden van deze afwijzing.</w:t>
      </w:r>
      <w:r>
        <w:t xml:space="preserve"> Tegen deze beslissing is bezwaar mogelijk op grond van het ARN</w:t>
      </w:r>
      <w:r>
        <w:rPr>
          <w:rFonts w:eastAsia="Arial Unicode MS"/>
          <w:sz w:val="18"/>
          <w:vertAlign w:val="superscript"/>
        </w:rPr>
        <w:t>2016</w:t>
      </w:r>
      <w:r>
        <w:rPr>
          <w:vertAlign w:val="superscript"/>
        </w:rPr>
        <w:t xml:space="preserve"> </w:t>
      </w:r>
      <w:r>
        <w:t>en de Klachtenregeling Aanbesteden.</w:t>
      </w:r>
    </w:p>
    <w:p w:rsidR="000A06DA" w:rsidRPr="006811D6" w:rsidRDefault="000A06DA" w:rsidP="00FC183F"/>
    <w:p w:rsidR="00F0050F" w:rsidRPr="003C0762" w:rsidRDefault="003954E8" w:rsidP="0097607B">
      <w:pPr>
        <w:pStyle w:val="Kop4"/>
      </w:pPr>
      <w:bookmarkStart w:id="38" w:name="_Toc365631610"/>
      <w:bookmarkStart w:id="39" w:name="_Toc48642889"/>
      <w:bookmarkStart w:id="40" w:name="_Toc75172239"/>
      <w:r>
        <w:t>Stap 7: Mededeling g</w:t>
      </w:r>
      <w:r w:rsidR="00F0050F">
        <w:t>u</w:t>
      </w:r>
      <w:r w:rsidR="00F0050F" w:rsidRPr="003C0762">
        <w:t>nning</w:t>
      </w:r>
      <w:bookmarkEnd w:id="38"/>
      <w:r>
        <w:t>sbeslissing</w:t>
      </w:r>
    </w:p>
    <w:bookmarkEnd w:id="39"/>
    <w:bookmarkEnd w:id="40"/>
    <w:p w:rsidR="00613A60" w:rsidRDefault="00F0050F" w:rsidP="00613A60">
      <w:pPr>
        <w:rPr>
          <w:rFonts w:cs="Arial"/>
          <w:szCs w:val="17"/>
        </w:rPr>
      </w:pPr>
      <w:r w:rsidRPr="0035260A">
        <w:rPr>
          <w:rFonts w:cs="Arial"/>
          <w:szCs w:val="17"/>
        </w:rPr>
        <w:t xml:space="preserve">Na beoordeling van de </w:t>
      </w:r>
      <w:r w:rsidR="00A649F7" w:rsidRPr="0035260A">
        <w:rPr>
          <w:rFonts w:cs="Arial"/>
          <w:szCs w:val="17"/>
        </w:rPr>
        <w:t>a</w:t>
      </w:r>
      <w:r w:rsidRPr="0035260A">
        <w:rPr>
          <w:rFonts w:cs="Arial"/>
          <w:szCs w:val="17"/>
        </w:rPr>
        <w:t>anbiedingen zal ProRail de resultaten daarvan kenbaar maken do</w:t>
      </w:r>
      <w:r w:rsidR="00A649F7" w:rsidRPr="0035260A">
        <w:rPr>
          <w:rFonts w:cs="Arial"/>
          <w:szCs w:val="17"/>
        </w:rPr>
        <w:t>or middel het versturen van een gunningsbeslissing</w:t>
      </w:r>
      <w:r w:rsidRPr="0035260A">
        <w:rPr>
          <w:rFonts w:cs="Arial"/>
          <w:szCs w:val="17"/>
        </w:rPr>
        <w:t xml:space="preserve">. </w:t>
      </w:r>
      <w:r w:rsidR="00A649F7" w:rsidRPr="0035260A">
        <w:rPr>
          <w:rFonts w:cs="Arial"/>
          <w:szCs w:val="17"/>
        </w:rPr>
        <w:t>Tegen de</w:t>
      </w:r>
      <w:r w:rsidR="00A723DC" w:rsidRPr="0035260A">
        <w:rPr>
          <w:rFonts w:cs="Arial"/>
          <w:szCs w:val="17"/>
        </w:rPr>
        <w:t>ze</w:t>
      </w:r>
      <w:r w:rsidR="00A649F7" w:rsidRPr="0035260A">
        <w:rPr>
          <w:rFonts w:cs="Arial"/>
          <w:szCs w:val="17"/>
        </w:rPr>
        <w:t xml:space="preserve"> gunningsbeslissing staat conform ARN</w:t>
      </w:r>
      <w:r w:rsidR="00613A60" w:rsidRPr="0035260A">
        <w:rPr>
          <w:rFonts w:cs="Arial"/>
          <w:szCs w:val="17"/>
          <w:vertAlign w:val="superscript"/>
        </w:rPr>
        <w:t>201</w:t>
      </w:r>
      <w:r w:rsidR="0035260A" w:rsidRPr="0035260A">
        <w:rPr>
          <w:rFonts w:cs="Arial"/>
          <w:szCs w:val="17"/>
          <w:vertAlign w:val="superscript"/>
        </w:rPr>
        <w:t>6</w:t>
      </w:r>
      <w:r w:rsidR="00A649F7" w:rsidRPr="0035260A">
        <w:rPr>
          <w:rFonts w:cs="Arial"/>
          <w:szCs w:val="17"/>
        </w:rPr>
        <w:t xml:space="preserve"> bezwaar en beroep open.</w:t>
      </w:r>
      <w:r w:rsidR="00613A60" w:rsidRPr="00613A60">
        <w:rPr>
          <w:rFonts w:cs="Arial"/>
          <w:szCs w:val="17"/>
        </w:rPr>
        <w:t xml:space="preserve"> </w:t>
      </w:r>
    </w:p>
    <w:p w:rsidR="00613A60" w:rsidRDefault="00613A60" w:rsidP="00613A60">
      <w:pPr>
        <w:rPr>
          <w:rFonts w:cs="Arial"/>
          <w:szCs w:val="17"/>
        </w:rPr>
      </w:pPr>
    </w:p>
    <w:p w:rsidR="00A930C8" w:rsidRDefault="00A930C8" w:rsidP="00A930C8">
      <w:r>
        <w:rPr>
          <w:rFonts w:eastAsia="Arial Unicode MS" w:hAnsi="Arial Unicode MS" w:cs="Arial Unicode MS"/>
        </w:rPr>
        <w:t xml:space="preserve">Indien </w:t>
      </w:r>
      <w:r w:rsidR="00A723DC">
        <w:rPr>
          <w:rFonts w:eastAsia="Arial Unicode MS" w:hAnsi="Arial Unicode MS" w:cs="Arial Unicode MS"/>
        </w:rPr>
        <w:t xml:space="preserve">binnen de vastgestelde termijn </w:t>
      </w:r>
      <w:r>
        <w:rPr>
          <w:rFonts w:eastAsia="Arial Unicode MS" w:hAnsi="Arial Unicode MS" w:cs="Arial Unicode MS"/>
        </w:rPr>
        <w:t xml:space="preserve">geen bezwaar wordt gemaakt, kan ProRail over gaan tot het gunnen van het contract. </w:t>
      </w:r>
    </w:p>
    <w:p w:rsidR="00F0050F" w:rsidRDefault="00F0050F" w:rsidP="00613A60">
      <w:pPr>
        <w:ind w:left="0"/>
        <w:rPr>
          <w:rFonts w:cs="Arial"/>
          <w:szCs w:val="17"/>
        </w:rPr>
      </w:pPr>
    </w:p>
    <w:p w:rsidR="00FC183F" w:rsidRPr="00C81DA7" w:rsidRDefault="00FC183F" w:rsidP="00FC183F">
      <w:pPr>
        <w:pStyle w:val="Kop2"/>
        <w:ind w:left="851" w:hanging="851"/>
      </w:pPr>
      <w:bookmarkStart w:id="41" w:name="_Toc414955181"/>
      <w:bookmarkStart w:id="42" w:name="_Toc415296645"/>
      <w:bookmarkStart w:id="43" w:name="_Toc48642895"/>
      <w:bookmarkStart w:id="44" w:name="_Toc75172245"/>
      <w:bookmarkStart w:id="45" w:name="_Toc493686446"/>
      <w:r w:rsidRPr="00C81DA7">
        <w:t>Uitsluiting van de procedure</w:t>
      </w:r>
      <w:bookmarkEnd w:id="41"/>
      <w:bookmarkEnd w:id="42"/>
      <w:bookmarkEnd w:id="43"/>
      <w:bookmarkEnd w:id="44"/>
      <w:bookmarkEnd w:id="45"/>
    </w:p>
    <w:p w:rsidR="00FC183F" w:rsidRDefault="00FC183F" w:rsidP="00FC183F">
      <w:pPr>
        <w:rPr>
          <w:rFonts w:cs="Arial"/>
        </w:rPr>
      </w:pPr>
      <w:r>
        <w:rPr>
          <w:rFonts w:cs="Arial"/>
        </w:rPr>
        <w:t xml:space="preserve">Indien de gegadigde zich niet conformeert aan de in deze aanbestedingsleidraad beschreven werkwijze, kan dit leiden tot uitsluiting van de procedure. </w:t>
      </w:r>
    </w:p>
    <w:p w:rsidR="00250B12" w:rsidRDefault="00250B12" w:rsidP="00FC183F">
      <w:pPr>
        <w:rPr>
          <w:rFonts w:cs="Arial"/>
        </w:rPr>
      </w:pPr>
    </w:p>
    <w:p w:rsidR="00FC183F" w:rsidRDefault="00250B12" w:rsidP="00FC183F">
      <w:pPr>
        <w:rPr>
          <w:rFonts w:cs="Arial"/>
        </w:rPr>
      </w:pPr>
      <w:r>
        <w:rPr>
          <w:rFonts w:cs="Arial"/>
        </w:rPr>
        <w:t xml:space="preserve">Uitsluiting kan ook volgen </w:t>
      </w:r>
      <w:r w:rsidR="00FC183F">
        <w:rPr>
          <w:rFonts w:cs="Arial"/>
        </w:rPr>
        <w:t xml:space="preserve">wanneer een gegadigde contacten onderhoudt met ProRail over onderhavige </w:t>
      </w:r>
      <w:r w:rsidR="00F7298C">
        <w:rPr>
          <w:rFonts w:cs="Arial"/>
        </w:rPr>
        <w:t>aanbesteding</w:t>
      </w:r>
      <w:r w:rsidR="00FC183F">
        <w:rPr>
          <w:rFonts w:cs="Arial"/>
        </w:rPr>
        <w:t xml:space="preserve"> buiten het aanbestedingsteam om, of ingeval geconstateerd wordt dat gegadigden onderlin</w:t>
      </w:r>
      <w:r w:rsidR="00F7298C">
        <w:rPr>
          <w:rFonts w:cs="Arial"/>
        </w:rPr>
        <w:t>g contacten onderhouden over deze aanbesteding</w:t>
      </w:r>
      <w:r w:rsidR="00FC183F">
        <w:rPr>
          <w:rFonts w:cs="Arial"/>
        </w:rPr>
        <w:t>.</w:t>
      </w:r>
    </w:p>
    <w:p w:rsidR="0067326C" w:rsidRDefault="0067326C" w:rsidP="00FC183F">
      <w:pPr>
        <w:rPr>
          <w:rFonts w:cs="Arial"/>
        </w:rPr>
      </w:pPr>
    </w:p>
    <w:p w:rsidR="0067326C" w:rsidRDefault="0067326C" w:rsidP="0067326C">
      <w:pPr>
        <w:rPr>
          <w:rFonts w:cs="Arial"/>
        </w:rPr>
      </w:pPr>
      <w:r>
        <w:rPr>
          <w:rFonts w:cs="Arial"/>
        </w:rPr>
        <w:t>Het is voor gegadigden gedurende de procedure niet toegestaan met derden over het object van de aanbesteding te communiceren zonder voorafgaande schriftelijke toestemming van ProRail. Uitzondering hierop vormt het overleg met potentiële onderaannemers, voor zover dat in verband met de uitvoering van hun deel relevant is. Ook publicaties worden in dit verband beschouwd als communicatie met derden.</w:t>
      </w:r>
    </w:p>
    <w:p w:rsidR="00FC183F" w:rsidRDefault="00FC183F" w:rsidP="00FC183F">
      <w:pPr>
        <w:rPr>
          <w:rFonts w:cs="Arial"/>
        </w:rPr>
      </w:pPr>
    </w:p>
    <w:p w:rsidR="00FC183F" w:rsidRDefault="00FC183F" w:rsidP="00FC183F">
      <w:pPr>
        <w:rPr>
          <w:rFonts w:cs="Arial"/>
        </w:rPr>
      </w:pPr>
      <w:bookmarkStart w:id="46" w:name="_Toc414955180"/>
      <w:bookmarkStart w:id="47" w:name="_Toc415296651"/>
    </w:p>
    <w:p w:rsidR="00FC183F" w:rsidRPr="00AD4E47" w:rsidRDefault="00FC183F" w:rsidP="00250B12">
      <w:pPr>
        <w:pStyle w:val="Kop2"/>
      </w:pPr>
      <w:bookmarkStart w:id="48" w:name="_Toc493686447"/>
      <w:bookmarkEnd w:id="46"/>
      <w:bookmarkEnd w:id="47"/>
      <w:r w:rsidRPr="00AD4E47">
        <w:t>Algemene vragen of opmerkingen</w:t>
      </w:r>
      <w:bookmarkEnd w:id="48"/>
    </w:p>
    <w:p w:rsidR="00FC183F" w:rsidRPr="00AD4E47" w:rsidRDefault="00FC183F" w:rsidP="00FC183F">
      <w:pPr>
        <w:rPr>
          <w:rFonts w:cs="Arial"/>
        </w:rPr>
      </w:pPr>
      <w:r w:rsidRPr="00AD4E47">
        <w:rPr>
          <w:rFonts w:cs="Arial"/>
        </w:rPr>
        <w:t xml:space="preserve">Indien u algemene vragen, opmerkingen of klachten heeft over het aanbestedingsbeleid van ProRail, of voorstellen ter verbetering daarvan, kunt u deze richten aan </w:t>
      </w:r>
      <w:r w:rsidR="00E778E1">
        <w:t>procurement@prorail.nl.</w:t>
      </w:r>
    </w:p>
    <w:p w:rsidR="00FC183F" w:rsidRDefault="00FC183F" w:rsidP="00FC183F">
      <w:pPr>
        <w:rPr>
          <w:b/>
          <w:sz w:val="20"/>
        </w:rPr>
      </w:pPr>
    </w:p>
    <w:p w:rsidR="00FC183F" w:rsidRDefault="00FC183F" w:rsidP="00FC183F">
      <w:pPr>
        <w:rPr>
          <w:b/>
          <w:sz w:val="20"/>
        </w:rPr>
      </w:pPr>
    </w:p>
    <w:p w:rsidR="00FC183F" w:rsidRPr="00AD4E47" w:rsidRDefault="00FC183F" w:rsidP="00250B12">
      <w:pPr>
        <w:pStyle w:val="Kop2"/>
      </w:pPr>
      <w:bookmarkStart w:id="49" w:name="_Toc493686448"/>
      <w:r w:rsidRPr="00AD4E47">
        <w:t>Klachtenmeldpunt ProRail</w:t>
      </w:r>
      <w:bookmarkEnd w:id="49"/>
    </w:p>
    <w:p w:rsidR="00AA02A3" w:rsidRPr="00AA02A3" w:rsidRDefault="00AA02A3" w:rsidP="00AA02A3">
      <w:pPr>
        <w:rPr>
          <w:rFonts w:cs="Arial"/>
        </w:rPr>
      </w:pPr>
      <w:r w:rsidRPr="00AA02A3">
        <w:rPr>
          <w:rFonts w:cs="Arial"/>
        </w:rPr>
        <w:t>Indien u in het kader van een specifieke aanbestedingsprocedure klachten of bezwaren heeft, kunt u</w:t>
      </w:r>
    </w:p>
    <w:p w:rsidR="00AA02A3" w:rsidRPr="00AA02A3" w:rsidRDefault="00AA02A3" w:rsidP="00AA02A3">
      <w:pPr>
        <w:rPr>
          <w:rFonts w:cs="Arial"/>
        </w:rPr>
      </w:pPr>
      <w:r w:rsidRPr="00AA02A3">
        <w:rPr>
          <w:rFonts w:cs="Arial"/>
        </w:rPr>
        <w:t>deze richten aan het door ProRail ingestelde klachtenmeldpunt. De werkwijze is beschreven in de</w:t>
      </w:r>
    </w:p>
    <w:p w:rsidR="00AA02A3" w:rsidRPr="00AA02A3" w:rsidRDefault="00AA02A3" w:rsidP="00AA02A3">
      <w:pPr>
        <w:rPr>
          <w:rFonts w:cs="Arial"/>
        </w:rPr>
      </w:pPr>
      <w:r w:rsidRPr="00AA02A3">
        <w:rPr>
          <w:rFonts w:cs="Arial"/>
        </w:rPr>
        <w:t>“Klachtenregeling aanbesteden van ProRail”, deze is te vinden op</w:t>
      </w:r>
    </w:p>
    <w:p w:rsidR="00AA02A3" w:rsidRPr="00AA02A3" w:rsidRDefault="00AA02A3" w:rsidP="00AA02A3">
      <w:pPr>
        <w:rPr>
          <w:rFonts w:cs="Arial"/>
        </w:rPr>
      </w:pPr>
      <w:r w:rsidRPr="00AA02A3">
        <w:rPr>
          <w:rFonts w:cs="Arial"/>
        </w:rPr>
        <w:t>http://www.prorail.nl/leveranciers/aanbesteden-en-inkoop/documenten-en-juridische-voorwaarden.</w:t>
      </w:r>
    </w:p>
    <w:p w:rsidR="005E192F" w:rsidRPr="00AA02A3" w:rsidRDefault="00AA02A3" w:rsidP="00AA02A3">
      <w:pPr>
        <w:rPr>
          <w:rFonts w:cs="Arial"/>
        </w:rPr>
      </w:pPr>
      <w:r w:rsidRPr="00AA02A3">
        <w:rPr>
          <w:rFonts w:cs="Arial"/>
        </w:rPr>
        <w:t>Het klachtenmeldpunt is te bereiken via aanbestedingsklachten@prorail.nl.</w:t>
      </w:r>
      <w:r w:rsidR="005E192F" w:rsidRPr="00AA02A3">
        <w:rPr>
          <w:rFonts w:cs="Arial"/>
        </w:rPr>
        <w:br w:type="page"/>
      </w:r>
    </w:p>
    <w:p w:rsidR="00C21FEB" w:rsidRDefault="000A06DA" w:rsidP="007515F3">
      <w:pPr>
        <w:pStyle w:val="Kop1"/>
        <w:tabs>
          <w:tab w:val="clear" w:pos="432"/>
        </w:tabs>
        <w:ind w:left="851" w:hanging="851"/>
      </w:pPr>
      <w:bookmarkStart w:id="50" w:name="_Toc493686449"/>
      <w:r>
        <w:lastRenderedPageBreak/>
        <w:t>Eisen</w:t>
      </w:r>
      <w:bookmarkEnd w:id="50"/>
      <w:r>
        <w:t xml:space="preserve"> </w:t>
      </w:r>
    </w:p>
    <w:p w:rsidR="00C21FEB" w:rsidRPr="00F36F26" w:rsidRDefault="00C21FEB" w:rsidP="00C21FEB">
      <w:r w:rsidRPr="00F36F26">
        <w:t>Met inachtneming van het gestelde in het ARN</w:t>
      </w:r>
      <w:r w:rsidRPr="00F36F26">
        <w:rPr>
          <w:rFonts w:eastAsia="Arial Unicode MS"/>
          <w:sz w:val="18"/>
          <w:vertAlign w:val="superscript"/>
        </w:rPr>
        <w:t>2016</w:t>
      </w:r>
      <w:r w:rsidRPr="00F36F26">
        <w:t xml:space="preserve"> zijn in het Uniform Europees Aanbestedingsdocument (UEA) en in TenderNed de bij de </w:t>
      </w:r>
      <w:r w:rsidR="00F36F26">
        <w:t xml:space="preserve">inschrijving </w:t>
      </w:r>
      <w:r w:rsidRPr="00F36F26">
        <w:t>te hanteren voorschriften en criteria aangegeven. De antwoorden in het UEA en de ingediende bewijzen dienen er enerzijds toe ProRail ervan te overtuigen dat de gegadigde geschikt is voor de uitvoering van de werkzaamheden, anderzijds om de nodige bewijzen van geschiktheid jegens andere gegadigden op te kunnen leveren. Eigen wetenschap van ProRail met betrekking tot de gegadigde wordt niet in de beoordeling betrok</w:t>
      </w:r>
      <w:r w:rsidRPr="00F36F26">
        <w:softHyphen/>
        <w:t>ken.</w:t>
      </w:r>
    </w:p>
    <w:p w:rsidR="00C21FEB" w:rsidRDefault="00C21FEB" w:rsidP="00C21FEB"/>
    <w:p w:rsidR="00F36F26" w:rsidRDefault="00F36F26" w:rsidP="00F36F26">
      <w:pPr>
        <w:pStyle w:val="Kop2"/>
      </w:pPr>
      <w:bookmarkStart w:id="51" w:name="_Toc493686450"/>
      <w:r>
        <w:t>Uitsluitingsgronden en geschiktheidseisen</w:t>
      </w:r>
      <w:bookmarkEnd w:id="51"/>
    </w:p>
    <w:p w:rsidR="007A0286" w:rsidRDefault="007A0286" w:rsidP="007A0286">
      <w:r>
        <w:t xml:space="preserve">Voor inschrijving op de percelen gelden </w:t>
      </w:r>
    </w:p>
    <w:p w:rsidR="007A0286" w:rsidRPr="007A0286" w:rsidRDefault="007A0286" w:rsidP="007A0286"/>
    <w:p w:rsidR="00F36F26" w:rsidRDefault="00F36F26" w:rsidP="00F36F26">
      <w:pPr>
        <w:rPr>
          <w:b/>
          <w:bCs/>
        </w:rPr>
      </w:pPr>
      <w:r>
        <w:rPr>
          <w:rFonts w:eastAsia="Arial Unicode MS" w:cs="Arial Unicode MS"/>
          <w:b/>
          <w:bCs/>
        </w:rPr>
        <w:t>Eis 1: Uniform Europees Aanbestedingsdocument (UEA)</w:t>
      </w:r>
    </w:p>
    <w:p w:rsidR="00F36F26" w:rsidRDefault="00F36F26" w:rsidP="00F36F26">
      <w:pPr>
        <w:rPr>
          <w:rFonts w:eastAsia="Arial Unicode MS" w:cs="Arial Unicode MS"/>
        </w:rPr>
      </w:pPr>
      <w:r>
        <w:rPr>
          <w:rFonts w:eastAsia="Arial Unicode MS" w:cs="Arial Unicode MS"/>
        </w:rPr>
        <w:t>Indien u zich wilt inschrijven voor deze aanbestedingsprocedure dient u dit digitaal te doen via TenderNed. Bij uw inschrijving dient u het UEA te koppelen aan deze eis.</w:t>
      </w:r>
    </w:p>
    <w:p w:rsidR="00827DAF" w:rsidRDefault="00827DAF"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Rechtsgeldig ondertekend Uniform Europees Aanbestedingsdocument.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Uniform Europees Aanbestedingsdocument in het geval van aanmelding van een combinatie / beroep op natuurlijke personen of rechtspersonen, zie laatste subparagraaf in deze paragraaf.</w:t>
      </w:r>
    </w:p>
    <w:p w:rsidR="00F36F26" w:rsidRDefault="00F36F26" w:rsidP="00F36F26"/>
    <w:p w:rsidR="00F36F26" w:rsidRDefault="00F36F26" w:rsidP="00F36F26">
      <w:pPr>
        <w:rPr>
          <w:b/>
          <w:bCs/>
        </w:rPr>
      </w:pPr>
      <w:r>
        <w:rPr>
          <w:rFonts w:eastAsia="Arial Unicode MS" w:cs="Arial Unicode MS"/>
          <w:b/>
          <w:bCs/>
        </w:rPr>
        <w:t>Eis 2: Uitsluitingscriteria</w:t>
      </w:r>
    </w:p>
    <w:p w:rsidR="00F36F26" w:rsidRDefault="00F36F26" w:rsidP="00F36F26">
      <w:r>
        <w:rPr>
          <w:rFonts w:eastAsia="Arial Unicode MS" w:cs="Arial Unicode MS"/>
        </w:rPr>
        <w:t>Van deelneming aan de aanbesteding is eenieder uitgesloten, die verkeert in de omstandigheden zoals is verwoord in artikel 2.86 of 2</w:t>
      </w:r>
      <w:r w:rsidR="00A61CB3">
        <w:rPr>
          <w:rFonts w:eastAsia="Arial Unicode MS" w:cs="Arial Unicode MS"/>
        </w:rPr>
        <w:t>.87, lid 1 Aanbestedingswet 2012</w:t>
      </w:r>
      <w:r w:rsidR="00023160">
        <w:rPr>
          <w:rFonts w:eastAsia="Arial Unicode MS" w:cs="Arial Unicode MS"/>
        </w:rPr>
        <w:t>, versie 2016</w:t>
      </w:r>
      <w:r>
        <w:rPr>
          <w:rFonts w:eastAsia="Arial Unicode MS" w:cs="Arial Unicode MS"/>
        </w:rPr>
        <w:t>.</w:t>
      </w:r>
    </w:p>
    <w:p w:rsidR="00F36F26" w:rsidRDefault="00F36F26"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a. Gedragsverklaring aanbesteden die op het tijdstip van het indienen van het verzoek tot deelneming niet ouder is dan twee jaar; </w:t>
      </w:r>
    </w:p>
    <w:p w:rsidR="00F36F26" w:rsidRDefault="00F36F26" w:rsidP="00F36F26">
      <w:r>
        <w:rPr>
          <w:rFonts w:eastAsia="Arial Unicode MS" w:cs="Arial Unicode MS"/>
        </w:rPr>
        <w:t xml:space="preserve">b. Uittreksel Handelsregister dat op het tijdstip van het indienen van het verzoek tot deelneming niet ouder is dan 6 maanden; </w:t>
      </w:r>
    </w:p>
    <w:p w:rsidR="00F36F26" w:rsidRDefault="00F36F26" w:rsidP="00F36F26">
      <w:r>
        <w:rPr>
          <w:rFonts w:eastAsia="Arial Unicode MS" w:cs="Arial Unicode MS"/>
        </w:rPr>
        <w:t xml:space="preserve">c. Verklaring Belastingdienst die op het tijdstip van indienen van het verzoek tot deelneming niet ouder is dan 6 maanden. </w:t>
      </w:r>
    </w:p>
    <w:p w:rsidR="00F36F26" w:rsidRDefault="00F36F26" w:rsidP="00F36F26"/>
    <w:p w:rsidR="00F36F26" w:rsidRDefault="00F36F26" w:rsidP="00F36F26">
      <w:pPr>
        <w:rPr>
          <w:b/>
          <w:bCs/>
        </w:rPr>
      </w:pPr>
      <w:r>
        <w:rPr>
          <w:rFonts w:eastAsia="Arial Unicode MS" w:cs="Arial Unicode MS"/>
          <w:b/>
          <w:bCs/>
        </w:rPr>
        <w:t>Eis 3: Maatschappelijke geschiktheid</w:t>
      </w:r>
    </w:p>
    <w:p w:rsidR="00F36F26" w:rsidRDefault="00F36F26" w:rsidP="00F36F26">
      <w:r>
        <w:rPr>
          <w:rFonts w:eastAsia="Arial Unicode MS" w:cs="Arial Unicode MS"/>
        </w:rPr>
        <w:t>De gegadigde is volgens de voorschriften van de lidstaat waar hij is gevestigd in het beroepsregister of in het handelsregister ingeschreven als bedoeld in bijlage XI van richtlijn 2014/24/EU.</w:t>
      </w:r>
    </w:p>
    <w:p w:rsidR="00F36F26" w:rsidRDefault="00F36F26" w:rsidP="00F36F26"/>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Uittreksel Handelsregister- of beroepsregister dat op het tijdstip van het indienen van het verzoek tot deelneming niet ouder is dan 6 maanden.</w:t>
      </w:r>
    </w:p>
    <w:p w:rsidR="00F36F26" w:rsidRDefault="00F36F26" w:rsidP="00F36F26"/>
    <w:p w:rsidR="00F36F26" w:rsidRDefault="00F36F26" w:rsidP="00F36F26">
      <w:pPr>
        <w:rPr>
          <w:b/>
          <w:bCs/>
        </w:rPr>
      </w:pPr>
      <w:r>
        <w:rPr>
          <w:rFonts w:eastAsia="Arial Unicode MS" w:cs="Arial Unicode MS"/>
          <w:b/>
          <w:bCs/>
        </w:rPr>
        <w:t>Eis 4: Taal</w:t>
      </w:r>
    </w:p>
    <w:p w:rsidR="00F36F26" w:rsidRDefault="00F36F26" w:rsidP="00F36F26">
      <w:r>
        <w:rPr>
          <w:rFonts w:eastAsia="Arial Unicode MS" w:cs="Arial Unicode MS"/>
        </w:rPr>
        <w:t>Het door de gegadigde in te zetten verantwoordelijk en leidinggevend personeel beheerst de Nederlandse taal in woord en geschrift.</w:t>
      </w:r>
    </w:p>
    <w:p w:rsidR="007B4E0F" w:rsidRDefault="007B4E0F" w:rsidP="00F36F26">
      <w:pPr>
        <w:rPr>
          <w:rFonts w:eastAsia="Arial Unicode MS" w:cs="Arial Unicode MS"/>
        </w:rPr>
      </w:pPr>
    </w:p>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lastRenderedPageBreak/>
        <w:t>Door ondertekening van het Uniform Europees Aanbestedingsdocument (UEA) verklaart de gegadigde dat wordt voldaan aan deze eis (zie Deel IV UEA).</w:t>
      </w:r>
    </w:p>
    <w:p w:rsidR="00F36F26" w:rsidRDefault="00F36F26" w:rsidP="00F36F26"/>
    <w:p w:rsidR="008B1C8E" w:rsidRDefault="008B1C8E">
      <w:pPr>
        <w:overflowPunct/>
        <w:autoSpaceDE/>
        <w:autoSpaceDN/>
        <w:adjustRightInd/>
        <w:spacing w:line="240" w:lineRule="auto"/>
        <w:ind w:left="0"/>
        <w:textAlignment w:val="auto"/>
        <w:rPr>
          <w:b/>
        </w:rPr>
      </w:pPr>
    </w:p>
    <w:p w:rsidR="006C7228" w:rsidRPr="007B4E0F" w:rsidRDefault="006C7228" w:rsidP="00F36F26">
      <w:pPr>
        <w:rPr>
          <w:b/>
        </w:rPr>
      </w:pPr>
      <w:r w:rsidRPr="007B4E0F">
        <w:rPr>
          <w:b/>
        </w:rPr>
        <w:t>Eis 5: Kwaliteit</w:t>
      </w:r>
    </w:p>
    <w:p w:rsidR="006C7228" w:rsidRDefault="006C7228" w:rsidP="00F36F26">
      <w:r>
        <w:t>De gegadigde voldoet aan de normen inzake kwaliteitsbewaking (EN-ISO 9001:2015).</w:t>
      </w:r>
    </w:p>
    <w:p w:rsidR="006C7228" w:rsidRDefault="006C7228" w:rsidP="00F36F26"/>
    <w:p w:rsidR="006C7228" w:rsidRPr="00827DAF" w:rsidRDefault="006C7228" w:rsidP="00F36F26">
      <w:pPr>
        <w:rPr>
          <w:i/>
        </w:rPr>
      </w:pPr>
      <w:r w:rsidRPr="00827DAF">
        <w:rPr>
          <w:i/>
        </w:rPr>
        <w:t>Bewijsstukken:</w:t>
      </w:r>
    </w:p>
    <w:p w:rsidR="006C7228" w:rsidRDefault="006C7228" w:rsidP="00F36F26">
      <w:r>
        <w:t>Gegadigde beschikt over een geldig EN-ISO 9001:2008-certificaat of EN-ISO 9001:2015-certificaat of gelijkwaardig.</w:t>
      </w:r>
    </w:p>
    <w:p w:rsidR="006C7228" w:rsidRDefault="006C7228" w:rsidP="00F36F26"/>
    <w:p w:rsidR="00F36F26" w:rsidRDefault="007B4E0F" w:rsidP="00F36F26">
      <w:pPr>
        <w:rPr>
          <w:b/>
          <w:bCs/>
        </w:rPr>
      </w:pPr>
      <w:r>
        <w:rPr>
          <w:rFonts w:eastAsia="Arial Unicode MS" w:cs="Arial Unicode MS"/>
          <w:b/>
          <w:bCs/>
        </w:rPr>
        <w:t>Eis 6</w:t>
      </w:r>
      <w:r w:rsidR="00F36F26">
        <w:rPr>
          <w:rFonts w:eastAsia="Arial Unicode MS" w:cs="Arial Unicode MS"/>
          <w:b/>
          <w:bCs/>
        </w:rPr>
        <w:t xml:space="preserve">: Ervaringseis 1 </w:t>
      </w:r>
    </w:p>
    <w:p w:rsidR="00F36F26" w:rsidRDefault="00B357A0" w:rsidP="00F36F26">
      <w:r w:rsidRPr="00B357A0">
        <w:t xml:space="preserve">Inschrijver dient in een referentie aan te tonen dat hij ervaring heeft opgedaan met een opdracht waarin </w:t>
      </w:r>
      <w:r w:rsidR="00AF7649">
        <w:t xml:space="preserve">per perceel het onderstaande minimum aan </w:t>
      </w:r>
      <w:r w:rsidRPr="00B357A0">
        <w:t>brugbedieningsuren op jaarbasis zijn ondergebracht</w:t>
      </w:r>
    </w:p>
    <w:p w:rsidR="00B357A0" w:rsidRDefault="00B357A0" w:rsidP="00F36F26">
      <w:pPr>
        <w:rPr>
          <w:rFonts w:eastAsia="Arial Unicode MS" w:cs="Arial Unicode MS"/>
        </w:rPr>
      </w:pPr>
    </w:p>
    <w:p w:rsidR="00AF7649" w:rsidRPr="00B3491F" w:rsidRDefault="00AF7649" w:rsidP="00AF7649">
      <w:pPr>
        <w:rPr>
          <w:rFonts w:cs="Arial"/>
        </w:rPr>
      </w:pPr>
      <w:r w:rsidRPr="00B3491F">
        <w:rPr>
          <w:rFonts w:cs="Arial"/>
        </w:rPr>
        <w:t>Perceel 1</w:t>
      </w:r>
      <w:r w:rsidRPr="00B3491F">
        <w:rPr>
          <w:rFonts w:cs="Arial"/>
        </w:rPr>
        <w:tab/>
        <w:t>brugcomplex Oosterdoksluis te Amsterdam (ODS)</w:t>
      </w:r>
      <w:r>
        <w:rPr>
          <w:rFonts w:cs="Arial"/>
        </w:rPr>
        <w:tab/>
        <w:t>500 uur</w:t>
      </w:r>
    </w:p>
    <w:p w:rsidR="00AF7649" w:rsidRPr="00B3491F" w:rsidRDefault="00AF7649" w:rsidP="00AF7649">
      <w:pPr>
        <w:rPr>
          <w:rFonts w:cs="Arial"/>
        </w:rPr>
      </w:pPr>
      <w:r w:rsidRPr="00B3491F">
        <w:rPr>
          <w:rFonts w:cs="Arial"/>
        </w:rPr>
        <w:t>Perceel 2</w:t>
      </w:r>
      <w:r w:rsidRPr="00B3491F">
        <w:rPr>
          <w:rFonts w:cs="Arial"/>
        </w:rPr>
        <w:tab/>
        <w:t>Vechtbruggen te Weesp</w:t>
      </w:r>
      <w:r>
        <w:rPr>
          <w:rFonts w:cs="Arial"/>
        </w:rPr>
        <w:tab/>
      </w:r>
      <w:r>
        <w:rPr>
          <w:rFonts w:cs="Arial"/>
        </w:rPr>
        <w:tab/>
      </w:r>
      <w:r>
        <w:rPr>
          <w:rFonts w:cs="Arial"/>
        </w:rPr>
        <w:tab/>
      </w:r>
      <w:r>
        <w:rPr>
          <w:rFonts w:cs="Arial"/>
        </w:rPr>
        <w:tab/>
        <w:t>2000 uur</w:t>
      </w:r>
    </w:p>
    <w:p w:rsidR="00AF7649" w:rsidRPr="00B3491F" w:rsidRDefault="00AF7649" w:rsidP="00AF7649">
      <w:pPr>
        <w:rPr>
          <w:rFonts w:cs="Arial"/>
        </w:rPr>
      </w:pPr>
      <w:r w:rsidRPr="00B3491F">
        <w:rPr>
          <w:rFonts w:cs="Arial"/>
        </w:rPr>
        <w:t>Perceel 3</w:t>
      </w:r>
      <w:r w:rsidRPr="00B3491F">
        <w:rPr>
          <w:rFonts w:cs="Arial"/>
        </w:rPr>
        <w:tab/>
        <w:t>Brug over de Dubbele Wiericke te Nieuwerbrug</w:t>
      </w:r>
      <w:r>
        <w:rPr>
          <w:rFonts w:cs="Arial"/>
        </w:rPr>
        <w:tab/>
        <w:t>200 uur</w:t>
      </w:r>
      <w:r>
        <w:rPr>
          <w:rFonts w:cs="Arial"/>
        </w:rPr>
        <w:tab/>
      </w:r>
    </w:p>
    <w:p w:rsidR="00AF7649" w:rsidRPr="00B3491F" w:rsidRDefault="00AF7649" w:rsidP="00AF7649">
      <w:pPr>
        <w:rPr>
          <w:rFonts w:cs="Arial"/>
        </w:rPr>
      </w:pPr>
      <w:r>
        <w:rPr>
          <w:rFonts w:cs="Arial"/>
        </w:rPr>
        <w:tab/>
      </w:r>
      <w:r>
        <w:rPr>
          <w:rFonts w:cs="Arial"/>
        </w:rPr>
        <w:tab/>
        <w:t>Combinatie van perceel 1 en perceel 2</w:t>
      </w:r>
      <w:r w:rsidRPr="00C92F67">
        <w:rPr>
          <w:rFonts w:cs="Arial"/>
        </w:rPr>
        <w:t>.</w:t>
      </w:r>
      <w:r>
        <w:rPr>
          <w:rFonts w:cs="Arial"/>
        </w:rPr>
        <w:tab/>
      </w:r>
      <w:r>
        <w:rPr>
          <w:rFonts w:cs="Arial"/>
        </w:rPr>
        <w:tab/>
        <w:t>2500 uur (2000+500)</w:t>
      </w:r>
    </w:p>
    <w:p w:rsidR="00AF7649" w:rsidRDefault="00AF7649" w:rsidP="00F36F26">
      <w:pPr>
        <w:rPr>
          <w:rFonts w:eastAsia="Arial Unicode MS" w:cs="Arial Unicode MS"/>
        </w:rPr>
      </w:pPr>
    </w:p>
    <w:p w:rsidR="00F36F26" w:rsidRPr="00827DAF" w:rsidRDefault="00F36F26" w:rsidP="00F36F26">
      <w:pPr>
        <w:rPr>
          <w:i/>
        </w:rPr>
      </w:pPr>
      <w:r w:rsidRPr="00827DAF">
        <w:rPr>
          <w:rFonts w:eastAsia="Arial Unicode MS" w:cs="Arial Unicode MS"/>
          <w:i/>
        </w:rPr>
        <w:t>Bewijsstukken:</w:t>
      </w:r>
    </w:p>
    <w:p w:rsidR="00F36F26" w:rsidRDefault="00F36F26" w:rsidP="00F36F26">
      <w:r>
        <w:rPr>
          <w:rFonts w:eastAsia="Arial Unicode MS" w:cs="Arial Unicode MS"/>
        </w:rPr>
        <w:t xml:space="preserve">Verifieerbare referenties (opgave van voltooide opdrachten) conform bijlage </w:t>
      </w:r>
      <w:r w:rsidR="00BF3F8D">
        <w:rPr>
          <w:rFonts w:eastAsia="Arial Unicode MS" w:cs="Arial Unicode MS"/>
        </w:rPr>
        <w:t>4</w:t>
      </w:r>
      <w:r>
        <w:rPr>
          <w:rFonts w:eastAsia="Arial Unicode MS" w:cs="Arial Unicode MS"/>
        </w:rPr>
        <w:t xml:space="preserve">, en per referentie voorzien van een certificaat van de primaire opdrachtgever inzake de goede uitvoering.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 xml:space="preserve">Voor referentie(s) van leveringen of diensten maximaal 3 jaar oud op het tijdstip van de datum ‘Sluiting aanmelding’. </w:t>
      </w:r>
      <w:r>
        <w:rPr>
          <w:rFonts w:ascii="Arial Unicode MS" w:eastAsia="Arial Unicode MS" w:hAnsi="Arial Unicode MS" w:cs="Arial Unicode MS"/>
        </w:rPr>
        <w:br/>
      </w:r>
      <w:r>
        <w:rPr>
          <w:rFonts w:ascii="Arial Unicode MS" w:eastAsia="Arial Unicode MS" w:hAnsi="Arial Unicode MS" w:cs="Arial Unicode MS"/>
        </w:rPr>
        <w:br/>
      </w:r>
      <w:r>
        <w:rPr>
          <w:rFonts w:eastAsia="Arial Unicode MS" w:cs="Arial Unicode MS"/>
        </w:rPr>
        <w:t xml:space="preserve">Elke referentie dient vergezeld te gaan van een door de primaire opdrachtgever zelf afgegeven certificaat dat bewijst dat de opdracht naar behoren is uitgevoerd zowel met betrekking tot de wijze van uitvoering als met betrekking tot het resultaat; in dat certificaat dient het opdrachtbedrag, alsmede tijd en plaats van uitvoering te worden vermeld. </w:t>
      </w:r>
      <w:r>
        <w:rPr>
          <w:rFonts w:ascii="Arial Unicode MS" w:eastAsia="Arial Unicode MS" w:hAnsi="Arial Unicode MS" w:cs="Arial Unicode MS"/>
        </w:rPr>
        <w:br/>
      </w:r>
      <w:r>
        <w:rPr>
          <w:rFonts w:eastAsia="Arial Unicode MS" w:cs="Arial Unicode MS"/>
        </w:rPr>
        <w:t xml:space="preserve">Onder primaire opdrachtgever wordt verstaan de eerste opdrachtgever in de keten. In geval de betreffende opdracht is uitgevoerd in onderopdrachtneming voldoet een verklaring van de primaire opdrachtgever aan de onderopdrachtnemer als bewijs. Enkel de verklaring van een hoofdopdrachtnemer aan een onderopdrachtnemer, of enkel de verklaring van de primaire opdrachtgever aan de hoofdopdrachtnemer voldoet niet als bewijs. Een samenstel van deze twee verklaringen wordt wel als bewijs geaccepteerd. </w:t>
      </w:r>
      <w:r>
        <w:rPr>
          <w:rFonts w:ascii="Arial Unicode MS" w:eastAsia="Arial Unicode MS" w:hAnsi="Arial Unicode MS" w:cs="Arial Unicode MS"/>
        </w:rPr>
        <w:br/>
      </w:r>
      <w:r>
        <w:rPr>
          <w:rFonts w:eastAsia="Arial Unicode MS" w:cs="Arial Unicode MS"/>
        </w:rPr>
        <w:t>Voorbeeld: In geval van aanneming van werk is de hoofdaannemer niet de primaire opdrachtgever; de opdrachtgever van de hoofdaannemer is de primaire opdrachtgever.</w:t>
      </w:r>
    </w:p>
    <w:p w:rsidR="00F36F26" w:rsidRDefault="00F36F26" w:rsidP="00F36F26"/>
    <w:p w:rsidR="00F36F26" w:rsidRDefault="00F36F26" w:rsidP="00F36F26">
      <w:pPr>
        <w:rPr>
          <w:b/>
          <w:bCs/>
        </w:rPr>
      </w:pPr>
      <w:r>
        <w:rPr>
          <w:rFonts w:eastAsia="Arial Unicode MS" w:cs="Arial Unicode MS"/>
          <w:b/>
          <w:bCs/>
        </w:rPr>
        <w:t>Bewijsstukken in het geval een combinatie / beroep op natuurlijke of rechtspersonen</w:t>
      </w:r>
    </w:p>
    <w:p w:rsidR="00F36F26" w:rsidRDefault="00F36F26" w:rsidP="00F36F26">
      <w:r>
        <w:rPr>
          <w:rFonts w:eastAsia="Arial Unicode MS" w:cs="Arial Unicode MS"/>
        </w:rPr>
        <w:t>Daar waar sprake is van inschrijving van een samenwerkingsverband zoals bedoeld in het ARN</w:t>
      </w:r>
      <w:r>
        <w:rPr>
          <w:rFonts w:eastAsia="Arial Unicode MS" w:cs="Arial Unicode MS"/>
          <w:sz w:val="18"/>
          <w:szCs w:val="18"/>
          <w:vertAlign w:val="superscript"/>
        </w:rPr>
        <w:t>2016</w:t>
      </w:r>
      <w:r>
        <w:rPr>
          <w:rFonts w:eastAsia="Arial Unicode MS" w:cs="Arial Unicode MS"/>
        </w:rPr>
        <w:t>, artikelen 10 of 11 dienen alle voor de betreffende situatie van toepassing zijnde documenten (verklaring(en)/overeenkomst(en)), zoals vermeld in het ARN</w:t>
      </w:r>
      <w:r>
        <w:rPr>
          <w:rFonts w:eastAsia="Arial Unicode MS" w:cs="Arial Unicode MS"/>
          <w:sz w:val="18"/>
          <w:szCs w:val="18"/>
          <w:vertAlign w:val="superscript"/>
        </w:rPr>
        <w:t>2016</w:t>
      </w:r>
      <w:r>
        <w:rPr>
          <w:rFonts w:eastAsia="Arial Unicode MS" w:cs="Arial Unicode MS"/>
        </w:rPr>
        <w:t xml:space="preserve"> door de gegadigde als bewijs ingediend te worden. Dit  betreft de volgende documenten:</w:t>
      </w:r>
    </w:p>
    <w:p w:rsidR="00F36F26" w:rsidRDefault="00F36F26" w:rsidP="00F36F26"/>
    <w:p w:rsidR="00F36F26" w:rsidRDefault="00F36F26" w:rsidP="00F36F26">
      <w:pPr>
        <w:ind w:left="502" w:firstLine="349"/>
      </w:pPr>
      <w:r>
        <w:rPr>
          <w:i/>
          <w:iCs/>
        </w:rPr>
        <w:t xml:space="preserve">Aanmelding door een combinatie (artikel 10 </w:t>
      </w:r>
      <w:r>
        <w:t>ARN</w:t>
      </w:r>
      <w:r>
        <w:rPr>
          <w:sz w:val="18"/>
          <w:szCs w:val="18"/>
          <w:vertAlign w:val="superscript"/>
        </w:rPr>
        <w:t>2016</w:t>
      </w:r>
      <w:r>
        <w:rPr>
          <w:i/>
          <w:iCs/>
        </w:rP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t>Combinatieovereenkomst met organisatieschema, waaruit tenminste blijkt welke onderneming voor welke werkzaamheden verantwoordelijk zal zijn, alsmede een verklaring, dat indien de opdracht mocht worden verkregen, de in de combinatieovereenkomst opgenomen werkverdeling ook daadwerkelijk zal worden nageleefd (zie artikel 10.2 ARN</w:t>
      </w:r>
      <w:r>
        <w:rPr>
          <w:rStyle w:val="Voetnootmarkering"/>
        </w:rPr>
        <w:t>2016</w:t>
      </w:r>
      <w: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lastRenderedPageBreak/>
        <w:t>Iedere afzonderlijke combinant: de bewijsstukken voor de uitsluitingscriteria zoals genoemd in TenderNed, alsmede de bewijsstukken die worden verlangd inzake de financiële en economische draagkracht, en de maatschappelijke geschiktheid (zie artikel 10.3 ARN</w:t>
      </w:r>
      <w:r>
        <w:rPr>
          <w:rStyle w:val="Voetnootmarkering"/>
        </w:rPr>
        <w:t>2016</w:t>
      </w:r>
      <w:r>
        <w:t>).</w:t>
      </w:r>
    </w:p>
    <w:p w:rsidR="00F36F26" w:rsidRDefault="00F36F26" w:rsidP="00F036FC">
      <w:pPr>
        <w:pStyle w:val="Lijstalinea"/>
        <w:numPr>
          <w:ilvl w:val="0"/>
          <w:numId w:val="8"/>
        </w:numPr>
        <w:pBdr>
          <w:top w:val="nil"/>
          <w:left w:val="nil"/>
          <w:bottom w:val="nil"/>
          <w:right w:val="nil"/>
          <w:between w:val="nil"/>
          <w:bar w:val="nil"/>
        </w:pBdr>
        <w:overflowPunct/>
        <w:autoSpaceDE/>
        <w:autoSpaceDN/>
        <w:adjustRightInd/>
        <w:contextualSpacing w:val="0"/>
        <w:textAlignment w:val="auto"/>
      </w:pPr>
      <w:r>
        <w:t>Verklaring hoofdelijke aansprakelijkheid (zie artikel 10.4 ARN</w:t>
      </w:r>
      <w:r>
        <w:rPr>
          <w:rStyle w:val="Voetnootmarkering"/>
        </w:rPr>
        <w:t>2016</w:t>
      </w:r>
      <w:r>
        <w:t>)</w:t>
      </w:r>
    </w:p>
    <w:p w:rsidR="00F36F26" w:rsidRDefault="00F36F26" w:rsidP="00F36F26">
      <w:pPr>
        <w:rPr>
          <w:i/>
          <w:iCs/>
        </w:rPr>
      </w:pPr>
      <w:r>
        <w:rPr>
          <w:rFonts w:ascii="Arial Unicode MS" w:eastAsia="Arial Unicode MS" w:hAnsi="Arial Unicode MS" w:cs="Arial Unicode MS"/>
        </w:rPr>
        <w:br/>
      </w:r>
      <w:r>
        <w:rPr>
          <w:rFonts w:eastAsia="Arial Unicode MS" w:cs="Arial Unicode MS"/>
          <w:i/>
          <w:iCs/>
        </w:rPr>
        <w:t xml:space="preserve">Aanmelding door inschrijver die zich beroept op de technische bekwaamheid en beroepsbekwaamheid van natuurlijke personen of rechtspersonen (artikel 11 </w:t>
      </w:r>
      <w:r>
        <w:rPr>
          <w:rFonts w:eastAsia="Arial Unicode MS" w:cs="Arial Unicode MS"/>
        </w:rPr>
        <w:t>ARN</w:t>
      </w:r>
      <w:r>
        <w:rPr>
          <w:rFonts w:eastAsia="Arial Unicode MS" w:cs="Arial Unicode MS"/>
          <w:sz w:val="18"/>
          <w:szCs w:val="18"/>
          <w:vertAlign w:val="superscript"/>
        </w:rPr>
        <w:t>2016</w:t>
      </w:r>
      <w:r>
        <w:rPr>
          <w:rFonts w:eastAsia="Arial Unicode MS" w:cs="Arial Unicode MS"/>
          <w:i/>
          <w:iCs/>
        </w:rPr>
        <w:t>):</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t>Verklaring terzake ter</w:t>
      </w:r>
      <w:r w:rsidR="007626BC">
        <w:t xml:space="preserve"> </w:t>
      </w:r>
      <w:r>
        <w:t>beschikkingsstelling 11.1 ARN</w:t>
      </w:r>
      <w:r>
        <w:rPr>
          <w:rStyle w:val="Voetnootmarkering"/>
        </w:rPr>
        <w:t>2016</w:t>
      </w:r>
      <w:r>
        <w:t xml:space="preserve">) ; zie Bijlage </w:t>
      </w:r>
      <w:r w:rsidR="00BF3F8D">
        <w:t>6</w:t>
      </w:r>
      <w:r>
        <w:t xml:space="preserve">; </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t>Verklaring met organisatieschema, waaruit blijkt dat indien de opdracht mocht worden verkregen, de opgenomen werkverdeling ook daadwerkelijk zal worden nageleefd (zie artikel 11 ARN</w:t>
      </w:r>
      <w:r>
        <w:rPr>
          <w:rStyle w:val="Voetnootmarkering"/>
        </w:rPr>
        <w:t>2016</w:t>
      </w:r>
      <w:r>
        <w:t xml:space="preserve">); </w:t>
      </w:r>
    </w:p>
    <w:p w:rsidR="00F36F26" w:rsidRDefault="00F36F26" w:rsidP="00F036FC">
      <w:pPr>
        <w:pStyle w:val="Lijstalinea"/>
        <w:numPr>
          <w:ilvl w:val="0"/>
          <w:numId w:val="9"/>
        </w:numPr>
        <w:pBdr>
          <w:top w:val="nil"/>
          <w:left w:val="nil"/>
          <w:bottom w:val="nil"/>
          <w:right w:val="nil"/>
          <w:between w:val="nil"/>
          <w:bar w:val="nil"/>
        </w:pBdr>
        <w:overflowPunct/>
        <w:autoSpaceDE/>
        <w:autoSpaceDN/>
        <w:adjustRightInd/>
        <w:contextualSpacing w:val="0"/>
        <w:textAlignment w:val="auto"/>
      </w:pPr>
      <w:r>
        <w:t>Indien van toepassing (financiële en economische draagkracht): verklaring hoofdelijke aansprakelijkheid (artikel 11.3 ARN</w:t>
      </w:r>
      <w:r>
        <w:rPr>
          <w:rStyle w:val="Voetnootmarkering"/>
        </w:rPr>
        <w:t>2016</w:t>
      </w:r>
      <w:r>
        <w:t xml:space="preserve">); zie Bijlage </w:t>
      </w:r>
      <w:r w:rsidR="00BF3F8D">
        <w:t>6</w:t>
      </w:r>
      <w:r>
        <w:t>.</w:t>
      </w:r>
    </w:p>
    <w:p w:rsidR="003954E8" w:rsidRDefault="003954E8" w:rsidP="00C21FEB"/>
    <w:p w:rsidR="003954E8" w:rsidRPr="00C21FEB" w:rsidRDefault="003954E8" w:rsidP="00C21FEB"/>
    <w:p w:rsidR="005C7A9F" w:rsidRDefault="005C7A9F">
      <w:pPr>
        <w:overflowPunct/>
        <w:autoSpaceDE/>
        <w:autoSpaceDN/>
        <w:adjustRightInd/>
        <w:spacing w:line="240" w:lineRule="auto"/>
        <w:ind w:left="0"/>
        <w:textAlignment w:val="auto"/>
        <w:rPr>
          <w:b/>
          <w:kern w:val="28"/>
          <w:sz w:val="24"/>
        </w:rPr>
      </w:pPr>
      <w:r>
        <w:br w:type="page"/>
      </w:r>
    </w:p>
    <w:p w:rsidR="00C21FEB" w:rsidRDefault="00C21FEB" w:rsidP="007515F3">
      <w:pPr>
        <w:pStyle w:val="Kop1"/>
        <w:tabs>
          <w:tab w:val="clear" w:pos="432"/>
        </w:tabs>
        <w:ind w:left="851" w:hanging="851"/>
      </w:pPr>
      <w:bookmarkStart w:id="52" w:name="_Toc493686451"/>
      <w:r>
        <w:lastRenderedPageBreak/>
        <w:t>Gunningscriteria</w:t>
      </w:r>
      <w:bookmarkEnd w:id="52"/>
    </w:p>
    <w:p w:rsidR="00C21FEB" w:rsidRDefault="005C7A9F" w:rsidP="00C21FEB">
      <w:r>
        <w:t>Het gunningscriterium is de economisch meest voordelige aanbieding op basis van de beste prijs-kwaliteit verhouding. De beste prijs-kwaliteit verhouding wordt als volgt bepaald:</w:t>
      </w:r>
    </w:p>
    <w:p w:rsidR="005C7A9F" w:rsidRDefault="005C7A9F" w:rsidP="00C21FEB"/>
    <w:p w:rsidR="005C7A9F" w:rsidRPr="005C7A9F" w:rsidRDefault="005C7A9F" w:rsidP="00C21FEB">
      <w:pPr>
        <w:rPr>
          <w:color w:val="00B0F0"/>
        </w:rPr>
      </w:pPr>
    </w:p>
    <w:tbl>
      <w:tblPr>
        <w:tblW w:w="7762"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1755"/>
        <w:gridCol w:w="4252"/>
      </w:tblGrid>
      <w:tr w:rsidR="00D321D1" w:rsidRPr="007D23F3" w:rsidTr="00D321D1">
        <w:tc>
          <w:tcPr>
            <w:tcW w:w="3510" w:type="dxa"/>
            <w:gridSpan w:val="2"/>
            <w:shd w:val="clear" w:color="auto" w:fill="auto"/>
          </w:tcPr>
          <w:p w:rsidR="00D321D1" w:rsidRPr="007D23F3" w:rsidRDefault="00D321D1" w:rsidP="00124F38">
            <w:pPr>
              <w:ind w:left="0"/>
              <w:rPr>
                <w:b/>
                <w:sz w:val="20"/>
              </w:rPr>
            </w:pPr>
            <w:r w:rsidRPr="007D23F3">
              <w:rPr>
                <w:b/>
                <w:sz w:val="20"/>
              </w:rPr>
              <w:t>Criterium</w:t>
            </w:r>
          </w:p>
        </w:tc>
        <w:tc>
          <w:tcPr>
            <w:tcW w:w="4252" w:type="dxa"/>
          </w:tcPr>
          <w:p w:rsidR="00D321D1" w:rsidRPr="007D23F3" w:rsidRDefault="00D321D1" w:rsidP="00124F38">
            <w:pPr>
              <w:ind w:left="0"/>
              <w:rPr>
                <w:b/>
                <w:sz w:val="20"/>
              </w:rPr>
            </w:pPr>
            <w:r>
              <w:rPr>
                <w:b/>
                <w:sz w:val="20"/>
              </w:rPr>
              <w:t xml:space="preserve">Maximaal te behalen Kortingspercentage </w:t>
            </w:r>
          </w:p>
        </w:tc>
      </w:tr>
      <w:tr w:rsidR="00D321D1" w:rsidRPr="00F6792F" w:rsidTr="00D321D1">
        <w:tc>
          <w:tcPr>
            <w:tcW w:w="3510" w:type="dxa"/>
            <w:gridSpan w:val="2"/>
            <w:shd w:val="clear" w:color="auto" w:fill="auto"/>
          </w:tcPr>
          <w:p w:rsidR="00D321D1" w:rsidRPr="00F6792F" w:rsidRDefault="00D321D1" w:rsidP="00124F38">
            <w:pPr>
              <w:ind w:left="0"/>
            </w:pPr>
            <w:r w:rsidRPr="00F6792F">
              <w:t>Prijs</w:t>
            </w:r>
          </w:p>
        </w:tc>
        <w:tc>
          <w:tcPr>
            <w:tcW w:w="4252" w:type="dxa"/>
          </w:tcPr>
          <w:p w:rsidR="00D321D1" w:rsidRPr="00F6792F" w:rsidRDefault="007D3EF1" w:rsidP="00124F38">
            <w:pPr>
              <w:ind w:left="0"/>
            </w:pPr>
            <w:r>
              <w:t>--</w:t>
            </w:r>
          </w:p>
        </w:tc>
      </w:tr>
      <w:tr w:rsidR="00D321D1" w:rsidRPr="00F6792F" w:rsidTr="00124F38">
        <w:tc>
          <w:tcPr>
            <w:tcW w:w="1755" w:type="dxa"/>
            <w:shd w:val="clear" w:color="auto" w:fill="auto"/>
          </w:tcPr>
          <w:p w:rsidR="00D321D1" w:rsidRDefault="00D321D1" w:rsidP="00124F38">
            <w:pPr>
              <w:ind w:left="0"/>
            </w:pPr>
            <w:r>
              <w:t>Kwaliteit</w:t>
            </w:r>
          </w:p>
        </w:tc>
        <w:tc>
          <w:tcPr>
            <w:tcW w:w="1755" w:type="dxa"/>
            <w:shd w:val="clear" w:color="auto" w:fill="auto"/>
          </w:tcPr>
          <w:p w:rsidR="00D321D1" w:rsidRPr="00F6792F" w:rsidRDefault="00D321D1" w:rsidP="00124F38">
            <w:pPr>
              <w:ind w:left="0"/>
            </w:pPr>
            <w:r>
              <w:t>In te zetten brugwachters</w:t>
            </w:r>
          </w:p>
        </w:tc>
        <w:tc>
          <w:tcPr>
            <w:tcW w:w="4252" w:type="dxa"/>
          </w:tcPr>
          <w:p w:rsidR="00D321D1" w:rsidRPr="00F6792F" w:rsidRDefault="00D321D1" w:rsidP="00124F38">
            <w:pPr>
              <w:ind w:left="0"/>
            </w:pPr>
            <w:r>
              <w:t>40%</w:t>
            </w:r>
          </w:p>
        </w:tc>
      </w:tr>
      <w:tr w:rsidR="00D321D1" w:rsidRPr="00F6792F" w:rsidTr="00124F38">
        <w:tc>
          <w:tcPr>
            <w:tcW w:w="1755" w:type="dxa"/>
            <w:shd w:val="clear" w:color="auto" w:fill="auto"/>
          </w:tcPr>
          <w:p w:rsidR="00D321D1" w:rsidRDefault="00D321D1" w:rsidP="00124F38">
            <w:pPr>
              <w:ind w:left="0"/>
            </w:pPr>
          </w:p>
        </w:tc>
        <w:tc>
          <w:tcPr>
            <w:tcW w:w="1755" w:type="dxa"/>
            <w:shd w:val="clear" w:color="auto" w:fill="auto"/>
          </w:tcPr>
          <w:p w:rsidR="00D321D1" w:rsidRPr="00F6792F" w:rsidRDefault="00D321D1" w:rsidP="00124F38">
            <w:pPr>
              <w:ind w:left="0"/>
            </w:pPr>
            <w:r>
              <w:t>Transitie</w:t>
            </w:r>
          </w:p>
        </w:tc>
        <w:tc>
          <w:tcPr>
            <w:tcW w:w="4252" w:type="dxa"/>
          </w:tcPr>
          <w:p w:rsidR="00D321D1" w:rsidRPr="00F6792F" w:rsidRDefault="00D321D1" w:rsidP="00124F38">
            <w:pPr>
              <w:ind w:left="0"/>
            </w:pPr>
            <w:r>
              <w:t>20%</w:t>
            </w:r>
          </w:p>
        </w:tc>
      </w:tr>
      <w:tr w:rsidR="00D321D1" w:rsidRPr="00F6792F" w:rsidTr="00D321D1">
        <w:tc>
          <w:tcPr>
            <w:tcW w:w="3510" w:type="dxa"/>
            <w:gridSpan w:val="2"/>
            <w:shd w:val="clear" w:color="auto" w:fill="auto"/>
          </w:tcPr>
          <w:p w:rsidR="00D321D1" w:rsidRPr="00D321D1" w:rsidRDefault="00D321D1" w:rsidP="00124F38">
            <w:pPr>
              <w:ind w:left="0"/>
              <w:rPr>
                <w:b/>
                <w:i/>
              </w:rPr>
            </w:pPr>
            <w:r w:rsidRPr="00D321D1">
              <w:rPr>
                <w:b/>
                <w:i/>
              </w:rPr>
              <w:t>Totaal maximaal kortingspercentage</w:t>
            </w:r>
          </w:p>
        </w:tc>
        <w:tc>
          <w:tcPr>
            <w:tcW w:w="4252" w:type="dxa"/>
          </w:tcPr>
          <w:p w:rsidR="00D321D1" w:rsidRPr="00D321D1" w:rsidRDefault="00D321D1" w:rsidP="00124F38">
            <w:pPr>
              <w:ind w:left="0"/>
              <w:rPr>
                <w:b/>
                <w:i/>
              </w:rPr>
            </w:pPr>
            <w:r w:rsidRPr="00D321D1">
              <w:rPr>
                <w:b/>
                <w:i/>
              </w:rPr>
              <w:t>60%</w:t>
            </w:r>
          </w:p>
        </w:tc>
      </w:tr>
      <w:tr w:rsidR="00D321D1" w:rsidRPr="00F6792F" w:rsidTr="00D321D1">
        <w:tc>
          <w:tcPr>
            <w:tcW w:w="3510" w:type="dxa"/>
            <w:gridSpan w:val="2"/>
            <w:shd w:val="clear" w:color="auto" w:fill="auto"/>
          </w:tcPr>
          <w:p w:rsidR="00D321D1" w:rsidRDefault="00D321D1" w:rsidP="00124F38">
            <w:pPr>
              <w:ind w:left="0"/>
            </w:pPr>
          </w:p>
        </w:tc>
        <w:tc>
          <w:tcPr>
            <w:tcW w:w="4252" w:type="dxa"/>
          </w:tcPr>
          <w:p w:rsidR="00D321D1" w:rsidRDefault="00D321D1" w:rsidP="00124F38">
            <w:pPr>
              <w:ind w:left="0"/>
            </w:pPr>
          </w:p>
        </w:tc>
      </w:tr>
      <w:tr w:rsidR="00D321D1" w:rsidRPr="00F6792F" w:rsidTr="00D321D1">
        <w:tc>
          <w:tcPr>
            <w:tcW w:w="3510" w:type="dxa"/>
            <w:gridSpan w:val="2"/>
            <w:shd w:val="clear" w:color="auto" w:fill="auto"/>
          </w:tcPr>
          <w:p w:rsidR="00D321D1" w:rsidRPr="00F6792F" w:rsidRDefault="00D321D1" w:rsidP="00124F38">
            <w:pPr>
              <w:ind w:left="0"/>
            </w:pPr>
            <w:r>
              <w:t>(fictieve inschrijfsom) EMVI</w:t>
            </w:r>
          </w:p>
        </w:tc>
        <w:tc>
          <w:tcPr>
            <w:tcW w:w="4252" w:type="dxa"/>
          </w:tcPr>
          <w:p w:rsidR="00D321D1" w:rsidRPr="00F6792F" w:rsidRDefault="00D321D1" w:rsidP="00124F38">
            <w:pPr>
              <w:ind w:left="0"/>
            </w:pPr>
            <w:r>
              <w:t>P</w:t>
            </w:r>
            <w:r w:rsidR="007D3EF1">
              <w:t>rijs minus</w:t>
            </w:r>
            <w:r>
              <w:t xml:space="preserve"> (prijs maal kortingspercentage)</w:t>
            </w:r>
            <w:r w:rsidR="007D3EF1">
              <w:t xml:space="preserve"> p-(p*k)</w:t>
            </w:r>
          </w:p>
        </w:tc>
      </w:tr>
    </w:tbl>
    <w:p w:rsidR="005C7A9F" w:rsidRDefault="005C7A9F" w:rsidP="00C21FEB"/>
    <w:p w:rsidR="005C7A9F" w:rsidRDefault="005C7A9F" w:rsidP="00C21FEB"/>
    <w:p w:rsidR="005C7A9F" w:rsidRPr="00CD4C3D" w:rsidRDefault="00F36F26" w:rsidP="005C7A9F">
      <w:pPr>
        <w:pStyle w:val="Kop2"/>
        <w:ind w:left="851" w:hanging="851"/>
      </w:pPr>
      <w:bookmarkStart w:id="53" w:name="_Toc493686452"/>
      <w:r w:rsidRPr="00CD4C3D">
        <w:t>Prijs</w:t>
      </w:r>
      <w:bookmarkEnd w:id="53"/>
    </w:p>
    <w:p w:rsidR="005C7A9F" w:rsidRPr="00C81DA7" w:rsidRDefault="005C7A9F" w:rsidP="005C7A9F">
      <w:pPr>
        <w:pStyle w:val="Kop3"/>
      </w:pPr>
      <w:bookmarkStart w:id="54" w:name="_Toc493686453"/>
      <w:r>
        <w:t>Toelichting</w:t>
      </w:r>
      <w:bookmarkEnd w:id="54"/>
    </w:p>
    <w:p w:rsidR="005C7A9F" w:rsidRDefault="005C7A9F" w:rsidP="005C7A9F">
      <w:pPr>
        <w:rPr>
          <w:rFonts w:cs="Arial"/>
        </w:rPr>
      </w:pPr>
    </w:p>
    <w:p w:rsidR="00884E8F" w:rsidRPr="00884E8F" w:rsidRDefault="00884E8F" w:rsidP="00884E8F">
      <w:pPr>
        <w:rPr>
          <w:rFonts w:cs="Arial"/>
        </w:rPr>
      </w:pPr>
      <w:r w:rsidRPr="00884E8F">
        <w:rPr>
          <w:rFonts w:cs="Arial"/>
        </w:rPr>
        <w:t>De inschrijvers dienen een prij</w:t>
      </w:r>
      <w:r>
        <w:rPr>
          <w:rFonts w:cs="Arial"/>
        </w:rPr>
        <w:t xml:space="preserve">sopgave te doen op basis van het </w:t>
      </w:r>
      <w:r w:rsidRPr="00884E8F">
        <w:rPr>
          <w:rFonts w:cs="Arial"/>
        </w:rPr>
        <w:t xml:space="preserve"> prijzenblad. Uitgangspunt in het prijsblad zijn: </w:t>
      </w:r>
    </w:p>
    <w:p w:rsidR="00884E8F" w:rsidRPr="00244E0E" w:rsidRDefault="00244E0E" w:rsidP="00F036FC">
      <w:pPr>
        <w:pStyle w:val="Lijstalinea"/>
        <w:numPr>
          <w:ilvl w:val="0"/>
          <w:numId w:val="6"/>
        </w:numPr>
      </w:pPr>
      <w:r>
        <w:t>Per perceel waarop inschrijver een aanbieding doet e</w:t>
      </w:r>
      <w:r w:rsidR="00884E8F" w:rsidRPr="00244E0E">
        <w:t>en vaste prijs per te bedienen spoorbrug c.q. brugcomplex inclusief het mede selecteren, opleiden en functioneel aansturen van nieuwe medewerkers. In de uitvraag wordt een opleidingsplan opgenomen</w:t>
      </w:r>
    </w:p>
    <w:p w:rsidR="00884E8F" w:rsidRPr="00244E0E" w:rsidRDefault="00884E8F" w:rsidP="00F036FC">
      <w:pPr>
        <w:pStyle w:val="Lijstalinea"/>
        <w:numPr>
          <w:ilvl w:val="0"/>
          <w:numId w:val="6"/>
        </w:numPr>
      </w:pPr>
      <w:r w:rsidRPr="00244E0E">
        <w:t xml:space="preserve">Een all-in </w:t>
      </w:r>
      <w:r w:rsidRPr="00B17657">
        <w:rPr>
          <w:strike/>
          <w:color w:val="FF0000"/>
        </w:rPr>
        <w:t>uur</w:t>
      </w:r>
      <w:r w:rsidRPr="00244E0E">
        <w:t xml:space="preserve">tarief exclusief BTW voor aanvullende werkzaamheden. In het prijzenblad worden </w:t>
      </w:r>
      <w:r w:rsidR="00244E0E">
        <w:t xml:space="preserve">voor ieder perceel </w:t>
      </w:r>
      <w:r w:rsidRPr="00244E0E">
        <w:t>verschillende categorieën voor aanvullende werkzaamheden met een apart eenheidstarief uitgevraagd;</w:t>
      </w:r>
    </w:p>
    <w:p w:rsidR="00884E8F" w:rsidRPr="00244E0E" w:rsidRDefault="00244E0E" w:rsidP="00F036FC">
      <w:pPr>
        <w:pStyle w:val="Lijstalinea"/>
        <w:numPr>
          <w:ilvl w:val="0"/>
          <w:numId w:val="6"/>
        </w:numPr>
      </w:pPr>
      <w:r w:rsidRPr="00244E0E">
        <w:t xml:space="preserve">Per perceel waarop inschrijver een aanbieding </w:t>
      </w:r>
      <w:r>
        <w:t>, e</w:t>
      </w:r>
      <w:r w:rsidR="00884E8F" w:rsidRPr="00244E0E">
        <w:t>en vaste jaarprijs voor de aansturing van de bedieningstaak/ een management fee</w:t>
      </w:r>
      <w:r>
        <w:t>;</w:t>
      </w:r>
    </w:p>
    <w:p w:rsidR="00884E8F" w:rsidRPr="00CD4C3D" w:rsidRDefault="00CD4C3D" w:rsidP="00F036FC">
      <w:pPr>
        <w:pStyle w:val="Lijstalinea"/>
        <w:numPr>
          <w:ilvl w:val="0"/>
          <w:numId w:val="6"/>
        </w:numPr>
      </w:pPr>
      <w:r>
        <w:t>D</w:t>
      </w:r>
      <w:r w:rsidR="00884E8F" w:rsidRPr="00CD4C3D">
        <w:t>e inschrijvingsprijs op jaarbasis is gelijk aan de som van het genoemde *(</w:t>
      </w:r>
      <w:r w:rsidR="00884E8F" w:rsidRPr="00B17657">
        <w:rPr>
          <w:strike/>
          <w:color w:val="FF0000"/>
        </w:rPr>
        <w:t>uur)</w:t>
      </w:r>
      <w:r w:rsidR="00884E8F" w:rsidRPr="00CD4C3D">
        <w:t>tarieven (P) vermenigvuldigd met het toetsingsvolume (Q) dat voor de genoemde tarieven geldt. De toetsingsvolumes worden berekend op basis van het gemiddelde aantal per jaar in de periode 2016 t/m 2020</w:t>
      </w:r>
    </w:p>
    <w:p w:rsidR="00884E8F" w:rsidRDefault="00884E8F" w:rsidP="005C7A9F">
      <w:pPr>
        <w:rPr>
          <w:rFonts w:cs="Arial"/>
        </w:rPr>
      </w:pPr>
    </w:p>
    <w:p w:rsidR="005C7A9F" w:rsidRPr="00C81DA7" w:rsidRDefault="005C7A9F" w:rsidP="005C7A9F">
      <w:pPr>
        <w:pStyle w:val="Kop3"/>
      </w:pPr>
      <w:bookmarkStart w:id="55" w:name="_Toc493686454"/>
      <w:r>
        <w:t>In te dienen documenten</w:t>
      </w:r>
      <w:bookmarkEnd w:id="55"/>
    </w:p>
    <w:p w:rsidR="00F036FC" w:rsidRDefault="00F036FC" w:rsidP="00F036FC">
      <w:pPr>
        <w:pStyle w:val="Lijstalinea"/>
        <w:numPr>
          <w:ilvl w:val="0"/>
          <w:numId w:val="11"/>
        </w:numPr>
        <w:pBdr>
          <w:top w:val="nil"/>
          <w:left w:val="nil"/>
          <w:bottom w:val="nil"/>
          <w:right w:val="nil"/>
          <w:between w:val="nil"/>
          <w:bar w:val="nil"/>
        </w:pBdr>
        <w:overflowPunct/>
        <w:autoSpaceDE/>
        <w:autoSpaceDN/>
        <w:adjustRightInd/>
        <w:textAlignment w:val="auto"/>
      </w:pPr>
      <w:r w:rsidRPr="00F036FC">
        <w:t>Volledig ingevuld en ondertekend inschrijvingsformulier conform bijlage 3 (wijzigen van het model kan leiden tot het ongeldig verklaren van uw Aanbieding) I</w:t>
      </w:r>
    </w:p>
    <w:p w:rsidR="005C7A9F" w:rsidRDefault="00F036FC" w:rsidP="00F036FC">
      <w:pPr>
        <w:pStyle w:val="Lijstalinea"/>
        <w:numPr>
          <w:ilvl w:val="0"/>
          <w:numId w:val="11"/>
        </w:numPr>
        <w:pBdr>
          <w:top w:val="nil"/>
          <w:left w:val="nil"/>
          <w:bottom w:val="nil"/>
          <w:right w:val="nil"/>
          <w:between w:val="nil"/>
          <w:bar w:val="nil"/>
        </w:pBdr>
        <w:overflowPunct/>
        <w:autoSpaceDE/>
        <w:autoSpaceDN/>
        <w:adjustRightInd/>
        <w:textAlignment w:val="auto"/>
      </w:pPr>
      <w:r>
        <w:t>I</w:t>
      </w:r>
      <w:r w:rsidRPr="00F036FC">
        <w:t>n het inschrijfformulier is een tabel opgenomen m</w:t>
      </w:r>
      <w:r>
        <w:t xml:space="preserve">et daarin de verschillende percelen. U dient per </w:t>
      </w:r>
      <w:r w:rsidRPr="00F036FC">
        <w:t>perceel</w:t>
      </w:r>
      <w:r>
        <w:t xml:space="preserve"> </w:t>
      </w:r>
      <w:r w:rsidRPr="00F036FC">
        <w:t>een prijs exclusief BTW op te geven.</w:t>
      </w:r>
    </w:p>
    <w:p w:rsidR="005C7A9F" w:rsidRDefault="00F036FC" w:rsidP="00F036FC">
      <w:pPr>
        <w:pStyle w:val="Lijstalinea"/>
        <w:numPr>
          <w:ilvl w:val="0"/>
          <w:numId w:val="11"/>
        </w:numPr>
      </w:pPr>
      <w:r w:rsidRPr="00F036FC">
        <w:t xml:space="preserve">Per perceel waarop inschrijver een aanbieding doet een aanbiedingsbegroting conform het format in bijlage </w:t>
      </w:r>
      <w:r w:rsidRPr="00312A58">
        <w:rPr>
          <w:strike/>
          <w:color w:val="FF0000"/>
        </w:rPr>
        <w:t>9</w:t>
      </w:r>
      <w:r w:rsidR="00312A58" w:rsidRPr="00312A58">
        <w:rPr>
          <w:color w:val="FF0000"/>
        </w:rPr>
        <w:t xml:space="preserve"> 5</w:t>
      </w:r>
      <w:r w:rsidRPr="00F036FC">
        <w:t>.</w:t>
      </w:r>
    </w:p>
    <w:p w:rsidR="00F036FC" w:rsidRPr="00F036FC" w:rsidRDefault="00F036FC" w:rsidP="00F036FC">
      <w:pPr>
        <w:pStyle w:val="Lijstalinea"/>
        <w:ind w:left="1571"/>
      </w:pPr>
    </w:p>
    <w:p w:rsidR="005C7A9F" w:rsidRPr="004D6B4E" w:rsidRDefault="00AA543B" w:rsidP="00CD4C3D">
      <w:pPr>
        <w:pStyle w:val="Kop2"/>
      </w:pPr>
      <w:bookmarkStart w:id="56" w:name="_Toc493686455"/>
      <w:r>
        <w:t xml:space="preserve">Kwaliteit </w:t>
      </w:r>
      <w:r w:rsidR="00CD4C3D" w:rsidRPr="00CD4C3D">
        <w:t xml:space="preserve">In te zetten </w:t>
      </w:r>
      <w:r w:rsidR="00B675D0">
        <w:t>brugwachters</w:t>
      </w:r>
      <w:bookmarkEnd w:id="56"/>
      <w:r w:rsidR="00CD4C3D" w:rsidRPr="00CD4C3D">
        <w:t xml:space="preserve"> </w:t>
      </w:r>
    </w:p>
    <w:p w:rsidR="005C7A9F" w:rsidRPr="00C81DA7" w:rsidRDefault="005C7A9F" w:rsidP="005C7A9F">
      <w:pPr>
        <w:pStyle w:val="Kop3"/>
      </w:pPr>
      <w:bookmarkStart w:id="57" w:name="_Toc493686456"/>
      <w:r>
        <w:t>Toelichting</w:t>
      </w:r>
      <w:bookmarkEnd w:id="57"/>
    </w:p>
    <w:p w:rsidR="00CD4C3D" w:rsidRDefault="00AA543B" w:rsidP="00CD4C3D">
      <w:pPr>
        <w:rPr>
          <w:rFonts w:cs="Arial"/>
        </w:rPr>
      </w:pPr>
      <w:r w:rsidRPr="00AA543B">
        <w:rPr>
          <w:rFonts w:cs="Arial"/>
        </w:rPr>
        <w:t xml:space="preserve">De door u in te zetten </w:t>
      </w:r>
      <w:r>
        <w:rPr>
          <w:rFonts w:cs="Arial"/>
        </w:rPr>
        <w:t>brugwachters</w:t>
      </w:r>
      <w:r w:rsidRPr="00AA543B">
        <w:rPr>
          <w:rFonts w:cs="Arial"/>
        </w:rPr>
        <w:t xml:space="preserve"> dienen deze functie gedurende de gehele looptijd van het onderzoek ook uit te voeren. Inzet van andere </w:t>
      </w:r>
      <w:r>
        <w:rPr>
          <w:rFonts w:cs="Arial"/>
        </w:rPr>
        <w:t>brugwachters</w:t>
      </w:r>
      <w:r w:rsidRPr="00AA543B">
        <w:rPr>
          <w:rFonts w:cs="Arial"/>
        </w:rPr>
        <w:t xml:space="preserve">, is </w:t>
      </w:r>
      <w:r w:rsidR="000A7D8C">
        <w:rPr>
          <w:rFonts w:cs="Arial"/>
        </w:rPr>
        <w:t xml:space="preserve"> t</w:t>
      </w:r>
      <w:r w:rsidRPr="00AA543B">
        <w:rPr>
          <w:rFonts w:cs="Arial"/>
        </w:rPr>
        <w:t xml:space="preserve">oegestaan na schriftelijke toestemming van ProRail. </w:t>
      </w:r>
      <w:r w:rsidRPr="00AA543B">
        <w:rPr>
          <w:rFonts w:cs="Arial"/>
        </w:rPr>
        <w:lastRenderedPageBreak/>
        <w:t xml:space="preserve">ProRail wijst u erop dat dit slechts in </w:t>
      </w:r>
      <w:r w:rsidR="000A7D8C">
        <w:rPr>
          <w:rFonts w:cs="Arial"/>
        </w:rPr>
        <w:t xml:space="preserve">sommige </w:t>
      </w:r>
      <w:r w:rsidRPr="00AA543B">
        <w:rPr>
          <w:rFonts w:cs="Arial"/>
        </w:rPr>
        <w:t>gevallen zal worden toegestaan (b.v. langdurige ziekte, verandering van werkg</w:t>
      </w:r>
      <w:bookmarkStart w:id="58" w:name="_GoBack"/>
      <w:bookmarkEnd w:id="58"/>
      <w:r w:rsidRPr="00AA543B">
        <w:rPr>
          <w:rFonts w:cs="Arial"/>
        </w:rPr>
        <w:t xml:space="preserve">ever). De door u in te zetten </w:t>
      </w:r>
      <w:r>
        <w:rPr>
          <w:rFonts w:cs="Arial"/>
        </w:rPr>
        <w:t>brugwachters</w:t>
      </w:r>
      <w:r w:rsidRPr="00AA543B">
        <w:rPr>
          <w:rFonts w:cs="Arial"/>
        </w:rPr>
        <w:t xml:space="preserve"> worden beoordeeld aan de hand van bij de inschrijving/aanbesteding meegeleverde curriculum vitae. Het is mogelijk om eventuele ‘reserves’ voor te stellen in uw aanbieding en op die wijze toestemming te krijgen in een vroeg stadium. Deze reserves worden dan meegenomen in de beoordeling van dit criterium</w:t>
      </w:r>
    </w:p>
    <w:p w:rsidR="00CD4C3D" w:rsidRDefault="00CD4C3D" w:rsidP="005C7A9F">
      <w:pPr>
        <w:rPr>
          <w:rFonts w:cs="Arial"/>
        </w:rPr>
      </w:pPr>
    </w:p>
    <w:p w:rsidR="005C7A9F" w:rsidRPr="00C81DA7" w:rsidRDefault="005C7A9F" w:rsidP="005C7A9F">
      <w:pPr>
        <w:pStyle w:val="Kop3"/>
      </w:pPr>
      <w:bookmarkStart w:id="59" w:name="_Toc493686457"/>
      <w:r>
        <w:t>In te dienen documenten</w:t>
      </w:r>
      <w:bookmarkEnd w:id="59"/>
    </w:p>
    <w:p w:rsidR="00AA543B" w:rsidRDefault="000A7D8C" w:rsidP="005C7A9F">
      <w:pPr>
        <w:rPr>
          <w:rFonts w:cs="Arial"/>
        </w:rPr>
      </w:pPr>
      <w:r>
        <w:rPr>
          <w:rFonts w:cs="Arial"/>
        </w:rPr>
        <w:t xml:space="preserve">Per perceel waarop wordt ingeschreven:  </w:t>
      </w:r>
      <w:r w:rsidR="00CD4C3D" w:rsidRPr="00CD4C3D">
        <w:rPr>
          <w:rFonts w:cs="Arial"/>
        </w:rPr>
        <w:t>CV</w:t>
      </w:r>
      <w:r w:rsidR="00D151FE">
        <w:rPr>
          <w:rFonts w:cs="Arial"/>
        </w:rPr>
        <w:t>’s</w:t>
      </w:r>
      <w:r w:rsidR="00CD4C3D" w:rsidRPr="00CD4C3D">
        <w:rPr>
          <w:rFonts w:cs="Arial"/>
        </w:rPr>
        <w:t xml:space="preserve"> in te zetten </w:t>
      </w:r>
      <w:r w:rsidR="00AA543B">
        <w:rPr>
          <w:rFonts w:cs="Arial"/>
        </w:rPr>
        <w:t>brugwachters</w:t>
      </w:r>
      <w:r w:rsidR="007F03F4">
        <w:rPr>
          <w:rFonts w:cs="Arial"/>
        </w:rPr>
        <w:t>.</w:t>
      </w:r>
    </w:p>
    <w:p w:rsidR="007F03F4" w:rsidRDefault="007F03F4" w:rsidP="005C7A9F">
      <w:pPr>
        <w:rPr>
          <w:rFonts w:cs="Arial"/>
        </w:rPr>
      </w:pPr>
      <w:r>
        <w:rPr>
          <w:rFonts w:cs="Arial"/>
        </w:rPr>
        <w:t>Op ieder CV dient duidelijk aan gegeven te zijn voor welk perceel van te bedienen bruggen de betreffende persoon wordt ingezet.</w:t>
      </w:r>
    </w:p>
    <w:p w:rsidR="00F33CFF" w:rsidRDefault="00F33CFF" w:rsidP="00F33CFF"/>
    <w:p w:rsidR="00F33CFF" w:rsidRDefault="00F33CFF" w:rsidP="00F33CFF">
      <w:r w:rsidRPr="00007B89">
        <w:t xml:space="preserve">Bij de beoordeling van de CV’s van in te zetten brugwachters worden punten toegekend in de mate waarin blijkt dat de CV’s </w:t>
      </w:r>
      <w:r>
        <w:t xml:space="preserve"> aansluiten </w:t>
      </w:r>
      <w:r w:rsidRPr="00CD4C3D">
        <w:t xml:space="preserve"> bij de gevraagde competenties voor Brugwachters</w:t>
      </w:r>
      <w:r>
        <w:t xml:space="preserve">. </w:t>
      </w:r>
      <w:r w:rsidRPr="00CD4C3D">
        <w:t xml:space="preserve">Hierbij wordt </w:t>
      </w:r>
      <w:r>
        <w:t>gelet op het voldoen aan de eisen en ervaring zoals opgenomen in het programma van eisen onder het kopje “</w:t>
      </w:r>
      <w:r w:rsidRPr="00F83B37">
        <w:t xml:space="preserve">Personele eisen </w:t>
      </w:r>
      <w:r>
        <w:t>“</w:t>
      </w:r>
    </w:p>
    <w:p w:rsidR="00C15E5B" w:rsidRDefault="00C15E5B" w:rsidP="00F33CFF"/>
    <w:p w:rsidR="00C15E5B" w:rsidRPr="00C15E5B" w:rsidRDefault="00C15E5B" w:rsidP="00C15E5B">
      <w:pPr>
        <w:rPr>
          <w:rFonts w:cs="Arial"/>
          <w:b/>
          <w:color w:val="FF0000"/>
        </w:rPr>
      </w:pPr>
      <w:r w:rsidRPr="00C15E5B">
        <w:rPr>
          <w:rFonts w:cs="Arial"/>
          <w:b/>
          <w:color w:val="FF0000"/>
        </w:rPr>
        <w:t>Beoordeling</w:t>
      </w:r>
    </w:p>
    <w:p w:rsidR="00C15E5B" w:rsidRPr="00C15E5B" w:rsidRDefault="00C15E5B" w:rsidP="00C15E5B">
      <w:pPr>
        <w:rPr>
          <w:rFonts w:cs="Arial"/>
          <w:color w:val="FF0000"/>
        </w:rPr>
      </w:pPr>
      <w:r w:rsidRPr="00C15E5B">
        <w:rPr>
          <w:rFonts w:cs="Arial"/>
          <w:color w:val="FF0000"/>
        </w:rPr>
        <w:t xml:space="preserve">De scores </w:t>
      </w:r>
      <w:r w:rsidRPr="00C15E5B">
        <w:rPr>
          <w:rFonts w:cs="Arial"/>
          <w:color w:val="FF0000"/>
        </w:rPr>
        <w:t xml:space="preserve">voor dit onderdeel </w:t>
      </w:r>
      <w:r w:rsidRPr="00C15E5B">
        <w:rPr>
          <w:rFonts w:cs="Arial"/>
          <w:color w:val="FF0000"/>
        </w:rPr>
        <w:t>lopen uiteen van onvoldoende vertrouwen-matig vertrouwen-voldoende vertrouwen- veel vertrouwen</w:t>
      </w:r>
    </w:p>
    <w:p w:rsidR="00C15E5B" w:rsidRPr="00C15E5B" w:rsidRDefault="00C15E5B" w:rsidP="00C15E5B">
      <w:pPr>
        <w:rPr>
          <w:rFonts w:cs="Arial"/>
          <w:color w:val="FF0000"/>
        </w:rPr>
      </w:pPr>
      <w:r w:rsidRPr="00C15E5B">
        <w:rPr>
          <w:rFonts w:cs="Arial"/>
          <w:color w:val="FF0000"/>
        </w:rPr>
        <w:t>Hierbij wordt onder meer gelet op het bezit van marifoonbewijs en overige voor het bedienen van beweegbare bruggen verplichte en/of gewenste erkenningen en diploma’s.</w:t>
      </w:r>
    </w:p>
    <w:p w:rsidR="00C15E5B" w:rsidRPr="00C15E5B" w:rsidRDefault="00C15E5B" w:rsidP="00C15E5B">
      <w:pPr>
        <w:rPr>
          <w:rFonts w:cs="Arial"/>
          <w:color w:val="FF0000"/>
        </w:rPr>
      </w:pPr>
      <w:r w:rsidRPr="00C15E5B">
        <w:rPr>
          <w:rFonts w:cs="Arial"/>
          <w:color w:val="FF0000"/>
        </w:rPr>
        <w:t>Iedere score wordt ten behoeve van een totaal telling op de volgende wijze cijfermatig</w:t>
      </w:r>
    </w:p>
    <w:p w:rsidR="00C15E5B" w:rsidRPr="00C15E5B" w:rsidRDefault="00C15E5B" w:rsidP="00C15E5B">
      <w:pPr>
        <w:rPr>
          <w:rFonts w:cs="Arial"/>
          <w:color w:val="FF0000"/>
        </w:rPr>
      </w:pPr>
      <w:r w:rsidRPr="00C15E5B">
        <w:rPr>
          <w:rFonts w:cs="Arial"/>
          <w:color w:val="FF0000"/>
        </w:rPr>
        <w:t>omgezet:</w:t>
      </w:r>
    </w:p>
    <w:p w:rsidR="00C15E5B" w:rsidRPr="008E4662" w:rsidRDefault="00C15E5B" w:rsidP="00C15E5B">
      <w:pPr>
        <w:pStyle w:val="Lijstalinea"/>
        <w:numPr>
          <w:ilvl w:val="1"/>
          <w:numId w:val="14"/>
        </w:numPr>
        <w:rPr>
          <w:color w:val="FF0000"/>
        </w:rPr>
      </w:pPr>
      <w:r w:rsidRPr="008E4662">
        <w:rPr>
          <w:color w:val="FF0000"/>
        </w:rPr>
        <w:t>Onvoldoende vertrouwen</w:t>
      </w:r>
      <w:r w:rsidRPr="008E4662">
        <w:rPr>
          <w:color w:val="FF0000"/>
        </w:rPr>
        <w:tab/>
      </w:r>
      <w:r w:rsidRPr="008E4662">
        <w:rPr>
          <w:color w:val="FF0000"/>
        </w:rPr>
        <w:tab/>
        <w:t>0  punten</w:t>
      </w:r>
    </w:p>
    <w:p w:rsidR="00C15E5B" w:rsidRPr="008E4662" w:rsidRDefault="00C15E5B" w:rsidP="00C15E5B">
      <w:pPr>
        <w:pStyle w:val="Lijstalinea"/>
        <w:numPr>
          <w:ilvl w:val="1"/>
          <w:numId w:val="14"/>
        </w:numPr>
        <w:rPr>
          <w:color w:val="FF0000"/>
        </w:rPr>
      </w:pPr>
      <w:r w:rsidRPr="008E4662">
        <w:rPr>
          <w:color w:val="FF0000"/>
        </w:rPr>
        <w:t>Matig vertrouwen</w:t>
      </w:r>
      <w:r w:rsidRPr="008E4662">
        <w:rPr>
          <w:color w:val="FF0000"/>
        </w:rPr>
        <w:tab/>
      </w:r>
      <w:r w:rsidRPr="008E4662">
        <w:rPr>
          <w:color w:val="FF0000"/>
        </w:rPr>
        <w:tab/>
        <w:t xml:space="preserve">              </w:t>
      </w:r>
      <w:r w:rsidRPr="008E4662">
        <w:rPr>
          <w:color w:val="FF0000"/>
        </w:rPr>
        <w:tab/>
        <w:t>35 punten</w:t>
      </w:r>
    </w:p>
    <w:p w:rsidR="00C15E5B" w:rsidRPr="008E4662" w:rsidRDefault="00C15E5B" w:rsidP="00C15E5B">
      <w:pPr>
        <w:pStyle w:val="Lijstalinea"/>
        <w:numPr>
          <w:ilvl w:val="1"/>
          <w:numId w:val="14"/>
        </w:numPr>
        <w:rPr>
          <w:color w:val="FF0000"/>
        </w:rPr>
      </w:pPr>
      <w:r w:rsidRPr="008E4662">
        <w:rPr>
          <w:color w:val="FF0000"/>
        </w:rPr>
        <w:t>Voldoende vertrouwen</w:t>
      </w:r>
      <w:r w:rsidRPr="008E4662">
        <w:rPr>
          <w:color w:val="FF0000"/>
        </w:rPr>
        <w:tab/>
      </w:r>
      <w:r w:rsidRPr="008E4662">
        <w:rPr>
          <w:color w:val="FF0000"/>
        </w:rPr>
        <w:tab/>
        <w:t>65 punten</w:t>
      </w:r>
    </w:p>
    <w:p w:rsidR="00C15E5B" w:rsidRPr="008E4662" w:rsidRDefault="00C15E5B" w:rsidP="00C15E5B">
      <w:pPr>
        <w:pStyle w:val="Lijstalinea"/>
        <w:numPr>
          <w:ilvl w:val="1"/>
          <w:numId w:val="14"/>
        </w:numPr>
        <w:rPr>
          <w:color w:val="FF0000"/>
        </w:rPr>
      </w:pPr>
      <w:r w:rsidRPr="008E4662">
        <w:rPr>
          <w:color w:val="FF0000"/>
        </w:rPr>
        <w:t>Veel vertrouwen</w:t>
      </w:r>
      <w:r w:rsidRPr="008E4662">
        <w:rPr>
          <w:color w:val="FF0000"/>
        </w:rPr>
        <w:tab/>
      </w:r>
      <w:r w:rsidRPr="008E4662">
        <w:rPr>
          <w:color w:val="FF0000"/>
        </w:rPr>
        <w:tab/>
        <w:t xml:space="preserve">    </w:t>
      </w:r>
      <w:r w:rsidRPr="008E4662">
        <w:rPr>
          <w:color w:val="FF0000"/>
        </w:rPr>
        <w:tab/>
        <w:t>100 punten</w:t>
      </w:r>
    </w:p>
    <w:p w:rsidR="00C15E5B" w:rsidRPr="008E4662" w:rsidRDefault="00C15E5B" w:rsidP="00C15E5B">
      <w:pPr>
        <w:rPr>
          <w:rFonts w:cs="Arial"/>
          <w:color w:val="FF0000"/>
        </w:rPr>
      </w:pPr>
    </w:p>
    <w:p w:rsidR="008E4662" w:rsidRDefault="008E4662" w:rsidP="00C15E5B">
      <w:pPr>
        <w:rPr>
          <w:rFonts w:cs="Arial"/>
          <w:color w:val="FF0000"/>
        </w:rPr>
      </w:pPr>
      <w:r>
        <w:rPr>
          <w:rFonts w:cs="Arial"/>
          <w:color w:val="FF0000"/>
        </w:rPr>
        <w:t>Waarbij</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Onvoldoende overeenkomt met Minimaal invulling geven aan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Matig vertrouwen overeenkomt met Niet op alle onderdelen invulling geven aan de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Voldoende vertrouwen overeenkomt met Invulling geven aan de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Veel vertrouwen overeenkomt met Meer dan gevraagd invulling geven aan gevraagde eisen</w:t>
      </w:r>
    </w:p>
    <w:p w:rsidR="008E4662" w:rsidRPr="00C15E5B" w:rsidRDefault="008E4662" w:rsidP="00C15E5B">
      <w:pPr>
        <w:rPr>
          <w:rFonts w:cs="Arial"/>
          <w:color w:val="FF0000"/>
        </w:rPr>
      </w:pPr>
    </w:p>
    <w:p w:rsidR="00C15E5B" w:rsidRPr="00C15E5B" w:rsidRDefault="00C15E5B" w:rsidP="00C15E5B">
      <w:pPr>
        <w:rPr>
          <w:rFonts w:cs="Arial"/>
          <w:color w:val="FF0000"/>
        </w:rPr>
      </w:pPr>
      <w:r w:rsidRPr="00C15E5B">
        <w:rPr>
          <w:rFonts w:cs="Arial"/>
          <w:color w:val="FF0000"/>
        </w:rPr>
        <w:t>De behaalde score wordt vermenigvuldigt met het voor dit onderdeel  maximaal te behalen</w:t>
      </w:r>
      <w:r>
        <w:rPr>
          <w:rFonts w:cs="Arial"/>
          <w:color w:val="FF0000"/>
        </w:rPr>
        <w:t xml:space="preserve"> kortingspercentage van 4</w:t>
      </w:r>
      <w:r w:rsidRPr="00C15E5B">
        <w:rPr>
          <w:rFonts w:cs="Arial"/>
          <w:color w:val="FF0000"/>
        </w:rPr>
        <w:t>0%.</w:t>
      </w:r>
    </w:p>
    <w:p w:rsidR="00CD4C3D" w:rsidRDefault="00F33CFF" w:rsidP="00F33CFF">
      <w:pPr>
        <w:tabs>
          <w:tab w:val="left" w:pos="6208"/>
        </w:tabs>
      </w:pPr>
      <w:r>
        <w:tab/>
      </w:r>
    </w:p>
    <w:p w:rsidR="005C7A9F" w:rsidRPr="004D6B4E" w:rsidRDefault="00007B89" w:rsidP="005C7A9F">
      <w:pPr>
        <w:pStyle w:val="Kop2"/>
        <w:ind w:left="851" w:hanging="851"/>
      </w:pPr>
      <w:bookmarkStart w:id="60" w:name="_Toc493686458"/>
      <w:r>
        <w:rPr>
          <w:rFonts w:cs="Arial"/>
        </w:rPr>
        <w:t>Kwalit</w:t>
      </w:r>
      <w:r w:rsidR="00AA543B">
        <w:rPr>
          <w:rFonts w:cs="Arial"/>
        </w:rPr>
        <w:t>e</w:t>
      </w:r>
      <w:r>
        <w:rPr>
          <w:rFonts w:cs="Arial"/>
        </w:rPr>
        <w:t>i</w:t>
      </w:r>
      <w:r w:rsidR="00AA543B">
        <w:rPr>
          <w:rFonts w:cs="Arial"/>
        </w:rPr>
        <w:t xml:space="preserve">t </w:t>
      </w:r>
      <w:r w:rsidR="00CE13F7" w:rsidRPr="00CE13F7">
        <w:rPr>
          <w:rFonts w:cs="Arial"/>
        </w:rPr>
        <w:t>Transitie</w:t>
      </w:r>
      <w:bookmarkEnd w:id="60"/>
      <w:r w:rsidR="00CE13F7">
        <w:t xml:space="preserve"> </w:t>
      </w:r>
    </w:p>
    <w:p w:rsidR="005C7A9F" w:rsidRPr="00C81DA7" w:rsidRDefault="005C7A9F" w:rsidP="005C7A9F">
      <w:pPr>
        <w:pStyle w:val="Kop3"/>
      </w:pPr>
      <w:bookmarkStart w:id="61" w:name="_Toc493686459"/>
      <w:r>
        <w:t>Toelichting</w:t>
      </w:r>
      <w:bookmarkEnd w:id="61"/>
    </w:p>
    <w:p w:rsidR="00CE13F7" w:rsidRDefault="00CE13F7" w:rsidP="00CE13F7">
      <w:pPr>
        <w:rPr>
          <w:rFonts w:cs="Arial"/>
        </w:rPr>
      </w:pPr>
      <w:r w:rsidRPr="00CE13F7">
        <w:rPr>
          <w:rFonts w:cs="Arial"/>
        </w:rPr>
        <w:t xml:space="preserve">Na gunning van de opdracht draagt de inschrijver zorg voor een naadloze overname van </w:t>
      </w:r>
      <w:r>
        <w:rPr>
          <w:rFonts w:cs="Arial"/>
        </w:rPr>
        <w:t>de dienstverlening met betrekking tot het bedienen van spoorbruggen.</w:t>
      </w:r>
      <w:r w:rsidR="00AA543B" w:rsidRPr="00AA543B">
        <w:t xml:space="preserve"> </w:t>
      </w:r>
      <w:r w:rsidR="00AA543B" w:rsidRPr="00AA543B">
        <w:rPr>
          <w:rFonts w:cs="Arial"/>
        </w:rPr>
        <w:t>Vanuit dat oogpunt wordt de Inschrijver verzocht om een implementatieplan aan zijn offerte toe te voegen dat op hoofdlijnen beschrijft hoe de Opdrachtnemer de dienstverlening gaat inrichten vanaf het moment van gunning van de Overeenkomst</w:t>
      </w:r>
    </w:p>
    <w:p w:rsidR="005C7A9F" w:rsidRDefault="005C7A9F" w:rsidP="005C7A9F">
      <w:pPr>
        <w:rPr>
          <w:rFonts w:cs="Arial"/>
        </w:rPr>
      </w:pPr>
    </w:p>
    <w:p w:rsidR="005C7A9F" w:rsidRPr="00C81DA7" w:rsidRDefault="005C7A9F" w:rsidP="005C7A9F">
      <w:pPr>
        <w:pStyle w:val="Kop3"/>
      </w:pPr>
      <w:bookmarkStart w:id="62" w:name="_Toc493686460"/>
      <w:r>
        <w:t>In te dienen documenten</w:t>
      </w:r>
      <w:bookmarkEnd w:id="62"/>
    </w:p>
    <w:p w:rsidR="005C7A9F" w:rsidRDefault="00D151FE" w:rsidP="005C7A9F">
      <w:pPr>
        <w:rPr>
          <w:rFonts w:cs="Arial"/>
        </w:rPr>
      </w:pPr>
      <w:r>
        <w:rPr>
          <w:rFonts w:cs="Arial"/>
        </w:rPr>
        <w:t xml:space="preserve">Per perceel: Een </w:t>
      </w:r>
      <w:r w:rsidR="00CE13F7" w:rsidRPr="00CE13F7">
        <w:rPr>
          <w:rFonts w:cs="Arial"/>
        </w:rPr>
        <w:t>beschrijvend transitieplan dat inzicht geeft in de wijze waarop inschrijver zich voorstelt het transitietraject (overname dienstverlening en overgang c.q. detachering medewerkers) uit te voeren</w:t>
      </w:r>
      <w:r w:rsidR="00AA543B">
        <w:rPr>
          <w:rFonts w:cs="Arial"/>
        </w:rPr>
        <w:t>.</w:t>
      </w:r>
    </w:p>
    <w:p w:rsidR="00AA543B" w:rsidRDefault="00AA543B" w:rsidP="005C7A9F">
      <w:pPr>
        <w:rPr>
          <w:rFonts w:cs="Arial"/>
        </w:rPr>
      </w:pPr>
    </w:p>
    <w:p w:rsidR="00AA543B" w:rsidRPr="00AA543B" w:rsidRDefault="00AA543B" w:rsidP="00AA543B">
      <w:pPr>
        <w:ind w:left="0" w:firstLine="709"/>
        <w:rPr>
          <w:rFonts w:cs="Arial"/>
        </w:rPr>
      </w:pPr>
      <w:r w:rsidRPr="00AA543B">
        <w:rPr>
          <w:rFonts w:cs="Arial"/>
        </w:rPr>
        <w:t xml:space="preserve">Dit implementatieplan dient in ieder geval de volgende elementen te bevatten: </w:t>
      </w:r>
    </w:p>
    <w:p w:rsidR="00AA543B" w:rsidRPr="00AA543B" w:rsidRDefault="00AA543B" w:rsidP="00F036FC">
      <w:pPr>
        <w:pStyle w:val="Lijstalinea"/>
        <w:numPr>
          <w:ilvl w:val="0"/>
          <w:numId w:val="7"/>
        </w:numPr>
      </w:pPr>
      <w:r w:rsidRPr="00AA543B">
        <w:lastRenderedPageBreak/>
        <w:t>Overname dienstverlening huidige Opdrachtnemer;</w:t>
      </w:r>
    </w:p>
    <w:p w:rsidR="00AA543B" w:rsidRPr="00AA543B" w:rsidRDefault="00AA543B" w:rsidP="00F036FC">
      <w:pPr>
        <w:pStyle w:val="Lijstalinea"/>
        <w:numPr>
          <w:ilvl w:val="0"/>
          <w:numId w:val="7"/>
        </w:numPr>
      </w:pPr>
      <w:r w:rsidRPr="00AA543B">
        <w:t xml:space="preserve">Rol en taken van ProRail tijdens het implementatietraject; </w:t>
      </w:r>
    </w:p>
    <w:p w:rsidR="00AA543B" w:rsidRPr="00312A58" w:rsidRDefault="00AA543B" w:rsidP="00F036FC">
      <w:pPr>
        <w:pStyle w:val="Lijstalinea"/>
        <w:numPr>
          <w:ilvl w:val="0"/>
          <w:numId w:val="7"/>
        </w:numPr>
        <w:rPr>
          <w:strike/>
          <w:color w:val="FF0000"/>
        </w:rPr>
      </w:pPr>
      <w:r w:rsidRPr="00312A58">
        <w:rPr>
          <w:strike/>
          <w:color w:val="FF0000"/>
        </w:rPr>
        <w:t>Mogelijke overgang c.q. detachering van (huidige) medewerkers</w:t>
      </w:r>
    </w:p>
    <w:p w:rsidR="00AA543B" w:rsidRPr="00AA543B" w:rsidRDefault="00AA543B" w:rsidP="00F036FC">
      <w:pPr>
        <w:pStyle w:val="Lijstalinea"/>
        <w:numPr>
          <w:ilvl w:val="0"/>
          <w:numId w:val="7"/>
        </w:numPr>
      </w:pPr>
      <w:r w:rsidRPr="00AA543B">
        <w:t xml:space="preserve">Communicatie richting verantwoordelijke medewerkers van ProRail; </w:t>
      </w:r>
    </w:p>
    <w:p w:rsidR="00AA543B" w:rsidRPr="00AA543B" w:rsidRDefault="00AA543B" w:rsidP="00F036FC">
      <w:pPr>
        <w:pStyle w:val="Lijstalinea"/>
        <w:numPr>
          <w:ilvl w:val="0"/>
          <w:numId w:val="7"/>
        </w:numPr>
      </w:pPr>
      <w:r w:rsidRPr="00AA543B">
        <w:t>Risicofactoren tijdens de implementatie en hoe de inschrijver deze gaat beheersen;</w:t>
      </w:r>
    </w:p>
    <w:p w:rsidR="00AA543B" w:rsidRPr="00AA543B" w:rsidRDefault="00AA543B" w:rsidP="00F036FC">
      <w:pPr>
        <w:pStyle w:val="Lijstalinea"/>
        <w:numPr>
          <w:ilvl w:val="0"/>
          <w:numId w:val="7"/>
        </w:numPr>
      </w:pPr>
      <w:r w:rsidRPr="00AA543B">
        <w:t>Mijlpalen planning van de implementatie;</w:t>
      </w:r>
    </w:p>
    <w:p w:rsidR="00AA543B" w:rsidRPr="00C15E5B" w:rsidRDefault="00AA543B" w:rsidP="00F036FC">
      <w:pPr>
        <w:pStyle w:val="Lijstalinea"/>
        <w:numPr>
          <w:ilvl w:val="0"/>
          <w:numId w:val="7"/>
        </w:numPr>
        <w:rPr>
          <w:strike/>
          <w:color w:val="FF0000"/>
        </w:rPr>
      </w:pPr>
      <w:r w:rsidRPr="00C15E5B">
        <w:rPr>
          <w:strike/>
          <w:color w:val="FF0000"/>
        </w:rPr>
        <w:t>Besparingsmogelijkheden en hoe de Inschrijver deze gaat realiseren.</w:t>
      </w:r>
    </w:p>
    <w:p w:rsidR="00AA543B" w:rsidRPr="00AA543B" w:rsidRDefault="00AA543B" w:rsidP="00AA543B">
      <w:pPr>
        <w:rPr>
          <w:rFonts w:cs="Arial"/>
        </w:rPr>
      </w:pPr>
    </w:p>
    <w:p w:rsidR="00D151FE" w:rsidRDefault="00AA543B" w:rsidP="005C7A9F">
      <w:pPr>
        <w:rPr>
          <w:rFonts w:cs="Arial"/>
        </w:rPr>
      </w:pPr>
      <w:r w:rsidRPr="00AA543B">
        <w:rPr>
          <w:rFonts w:cs="Arial"/>
        </w:rPr>
        <w:t xml:space="preserve">Inschrijver voegt </w:t>
      </w:r>
      <w:r w:rsidR="00D151FE">
        <w:rPr>
          <w:rFonts w:cs="Arial"/>
        </w:rPr>
        <w:t xml:space="preserve">voor ieder perceel waarop wordt ingeschreven </w:t>
      </w:r>
      <w:r w:rsidRPr="00AA543B">
        <w:rPr>
          <w:rFonts w:cs="Arial"/>
        </w:rPr>
        <w:t xml:space="preserve">een beschrijving van de wijze van implementatie toe van maximaal </w:t>
      </w:r>
      <w:r w:rsidR="000A7D8C">
        <w:rPr>
          <w:rFonts w:cs="Arial"/>
        </w:rPr>
        <w:t>acht</w:t>
      </w:r>
      <w:r>
        <w:rPr>
          <w:rFonts w:cs="Arial"/>
        </w:rPr>
        <w:t xml:space="preserve"> A4 enkelzijdig lettertype Aria</w:t>
      </w:r>
      <w:r w:rsidRPr="00AA543B">
        <w:rPr>
          <w:rFonts w:cs="Arial"/>
        </w:rPr>
        <w:t xml:space="preserve">l 10 pnt. </w:t>
      </w:r>
    </w:p>
    <w:p w:rsidR="00C15E5B" w:rsidRDefault="00C15E5B" w:rsidP="005C7A9F">
      <w:pPr>
        <w:rPr>
          <w:rFonts w:cs="Arial"/>
        </w:rPr>
      </w:pPr>
    </w:p>
    <w:p w:rsidR="00C15E5B" w:rsidRPr="00C15E5B" w:rsidRDefault="00C15E5B" w:rsidP="005C7A9F">
      <w:pPr>
        <w:rPr>
          <w:rFonts w:cs="Arial"/>
          <w:b/>
          <w:color w:val="FF0000"/>
        </w:rPr>
      </w:pPr>
      <w:r w:rsidRPr="00C15E5B">
        <w:rPr>
          <w:rFonts w:cs="Arial"/>
          <w:b/>
          <w:color w:val="FF0000"/>
        </w:rPr>
        <w:t>Beoordeling</w:t>
      </w:r>
    </w:p>
    <w:p w:rsidR="00C15E5B" w:rsidRPr="00C15E5B" w:rsidRDefault="00C15E5B" w:rsidP="00C15E5B">
      <w:pPr>
        <w:rPr>
          <w:color w:val="FF0000"/>
        </w:rPr>
      </w:pPr>
      <w:r w:rsidRPr="00C15E5B">
        <w:rPr>
          <w:color w:val="FF0000"/>
        </w:rPr>
        <w:t xml:space="preserve">ProRail beoordeelt het plan van aanpak op bovenstaande punten, en scoort het op basis van de aanneembaarheid van de oplossing die de inschrijver geeft. </w:t>
      </w:r>
    </w:p>
    <w:p w:rsidR="00C15E5B" w:rsidRPr="008E4662" w:rsidRDefault="00C15E5B" w:rsidP="00C15E5B">
      <w:pPr>
        <w:pStyle w:val="Lijstalinea"/>
        <w:numPr>
          <w:ilvl w:val="0"/>
          <w:numId w:val="15"/>
        </w:numPr>
        <w:ind w:left="1211"/>
        <w:rPr>
          <w:color w:val="FF0000"/>
        </w:rPr>
      </w:pPr>
      <w:r w:rsidRPr="008E4662">
        <w:rPr>
          <w:color w:val="FF0000"/>
        </w:rPr>
        <w:t xml:space="preserve">Onvoldoende vertrouwen/aannemelijke onderbouwing    </w:t>
      </w:r>
      <w:r w:rsidRPr="008E4662">
        <w:rPr>
          <w:color w:val="FF0000"/>
        </w:rPr>
        <w:tab/>
        <w:t>0  punten</w:t>
      </w:r>
    </w:p>
    <w:p w:rsidR="00C15E5B" w:rsidRPr="008E4662" w:rsidRDefault="00C15E5B" w:rsidP="00C15E5B">
      <w:pPr>
        <w:pStyle w:val="Lijstalinea"/>
        <w:numPr>
          <w:ilvl w:val="0"/>
          <w:numId w:val="15"/>
        </w:numPr>
        <w:ind w:left="1211"/>
        <w:rPr>
          <w:color w:val="FF0000"/>
        </w:rPr>
      </w:pPr>
      <w:r w:rsidRPr="008E4662">
        <w:rPr>
          <w:color w:val="FF0000"/>
        </w:rPr>
        <w:t xml:space="preserve">Matig vertrouwen/aannemelijke onderbouwing  </w:t>
      </w:r>
      <w:r w:rsidRPr="008E4662">
        <w:rPr>
          <w:color w:val="FF0000"/>
        </w:rPr>
        <w:tab/>
      </w:r>
      <w:r w:rsidRPr="008E4662">
        <w:rPr>
          <w:color w:val="FF0000"/>
        </w:rPr>
        <w:t xml:space="preserve">            </w:t>
      </w:r>
      <w:r w:rsidRPr="008E4662">
        <w:rPr>
          <w:color w:val="FF0000"/>
        </w:rPr>
        <w:tab/>
        <w:t>35 punten</w:t>
      </w:r>
    </w:p>
    <w:p w:rsidR="00C15E5B" w:rsidRPr="008E4662" w:rsidRDefault="00C15E5B" w:rsidP="00C15E5B">
      <w:pPr>
        <w:pStyle w:val="Lijstalinea"/>
        <w:numPr>
          <w:ilvl w:val="0"/>
          <w:numId w:val="15"/>
        </w:numPr>
        <w:ind w:left="1211"/>
        <w:rPr>
          <w:color w:val="FF0000"/>
        </w:rPr>
      </w:pPr>
      <w:r w:rsidRPr="008E4662">
        <w:rPr>
          <w:color w:val="FF0000"/>
        </w:rPr>
        <w:t xml:space="preserve">Voldoende vertrouwen/aannemelijke onderbouwing        </w:t>
      </w:r>
      <w:r w:rsidRPr="008E4662">
        <w:rPr>
          <w:color w:val="FF0000"/>
        </w:rPr>
        <w:tab/>
        <w:t>65 punten</w:t>
      </w:r>
    </w:p>
    <w:p w:rsidR="00C15E5B" w:rsidRPr="008E4662" w:rsidRDefault="00C15E5B" w:rsidP="00C15E5B">
      <w:pPr>
        <w:pStyle w:val="Lijstalinea"/>
        <w:numPr>
          <w:ilvl w:val="0"/>
          <w:numId w:val="15"/>
        </w:numPr>
        <w:ind w:left="1211"/>
        <w:rPr>
          <w:color w:val="FF0000"/>
        </w:rPr>
      </w:pPr>
      <w:r w:rsidRPr="008E4662">
        <w:rPr>
          <w:color w:val="FF0000"/>
        </w:rPr>
        <w:t xml:space="preserve">Veel vertrouwen / aannemelijke onderbouwing    </w:t>
      </w:r>
      <w:r w:rsidRPr="008E4662">
        <w:rPr>
          <w:color w:val="FF0000"/>
        </w:rPr>
        <w:tab/>
        <w:t xml:space="preserve">            </w:t>
      </w:r>
      <w:r w:rsidRPr="008E4662">
        <w:rPr>
          <w:color w:val="FF0000"/>
        </w:rPr>
        <w:tab/>
        <w:t>100 punten</w:t>
      </w:r>
    </w:p>
    <w:p w:rsidR="00C15E5B" w:rsidRDefault="00C15E5B" w:rsidP="00C15E5B">
      <w:pPr>
        <w:rPr>
          <w:color w:val="FF0000"/>
        </w:rPr>
      </w:pPr>
    </w:p>
    <w:p w:rsidR="00C15E5B" w:rsidRDefault="00C15E5B" w:rsidP="00C15E5B">
      <w:pPr>
        <w:rPr>
          <w:color w:val="FF0000"/>
        </w:rPr>
      </w:pPr>
      <w:r>
        <w:rPr>
          <w:color w:val="FF0000"/>
        </w:rPr>
        <w:t>Waarbij</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bookmarkStart w:id="63" w:name="_Hlk500766066"/>
      <w:r w:rsidRPr="008E4662">
        <w:rPr>
          <w:color w:val="FF0000"/>
        </w:rPr>
        <w:t>Onvoldoende overeenkomt met Minimaal invulling geven aan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Matig vertrouwen overeenkomt met Niet op alle onderdelen invulling geven aan de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Voldoende vertrouwen overeenkomt met Invulling geven aan de gestelde eisen</w:t>
      </w:r>
    </w:p>
    <w:p w:rsidR="008E4662" w:rsidRPr="008E4662" w:rsidRDefault="008E4662" w:rsidP="008E4662">
      <w:pPr>
        <w:pStyle w:val="Lijstalinea"/>
        <w:numPr>
          <w:ilvl w:val="0"/>
          <w:numId w:val="16"/>
        </w:numPr>
        <w:overflowPunct/>
        <w:autoSpaceDE/>
        <w:autoSpaceDN/>
        <w:adjustRightInd/>
        <w:spacing w:line="240" w:lineRule="auto"/>
        <w:ind w:left="1287"/>
        <w:textAlignment w:val="auto"/>
        <w:rPr>
          <w:color w:val="FF0000"/>
        </w:rPr>
      </w:pPr>
      <w:r w:rsidRPr="008E4662">
        <w:rPr>
          <w:color w:val="FF0000"/>
        </w:rPr>
        <w:t>Veel vertrouwen overeenkomt met Meer dan gevraagd invulling geven aan gevraagde eisen</w:t>
      </w:r>
    </w:p>
    <w:bookmarkEnd w:id="63"/>
    <w:p w:rsidR="00C15E5B" w:rsidRDefault="00C15E5B" w:rsidP="00C15E5B">
      <w:pPr>
        <w:ind w:left="1342"/>
        <w:rPr>
          <w:color w:val="FF0000"/>
        </w:rPr>
      </w:pPr>
    </w:p>
    <w:p w:rsidR="00C15E5B" w:rsidRPr="00C15E5B" w:rsidRDefault="00C15E5B" w:rsidP="00C15E5B">
      <w:pPr>
        <w:ind w:left="1342"/>
        <w:rPr>
          <w:color w:val="FF0000"/>
        </w:rPr>
      </w:pPr>
    </w:p>
    <w:p w:rsidR="00C15E5B" w:rsidRPr="00C15E5B" w:rsidRDefault="00C15E5B" w:rsidP="00C15E5B">
      <w:pPr>
        <w:rPr>
          <w:color w:val="FF0000"/>
        </w:rPr>
      </w:pPr>
      <w:r w:rsidRPr="00C15E5B">
        <w:rPr>
          <w:color w:val="FF0000"/>
        </w:rPr>
        <w:t xml:space="preserve">De behaalde score wordt vermenigvuldigt met het voor dit onderdeel  maximaal te </w:t>
      </w:r>
      <w:r>
        <w:rPr>
          <w:color w:val="FF0000"/>
        </w:rPr>
        <w:t>behalen kortingspercentage van 2</w:t>
      </w:r>
      <w:r w:rsidRPr="00C15E5B">
        <w:rPr>
          <w:color w:val="FF0000"/>
        </w:rPr>
        <w:t>0%.</w:t>
      </w:r>
    </w:p>
    <w:p w:rsidR="00C15E5B" w:rsidRDefault="00C15E5B" w:rsidP="005C7A9F">
      <w:pPr>
        <w:rPr>
          <w:rFonts w:cs="Arial"/>
        </w:rPr>
      </w:pPr>
    </w:p>
    <w:p w:rsidR="00D151FE" w:rsidRDefault="00D151FE">
      <w:pPr>
        <w:overflowPunct/>
        <w:autoSpaceDE/>
        <w:autoSpaceDN/>
        <w:adjustRightInd/>
        <w:spacing w:line="240" w:lineRule="auto"/>
        <w:ind w:left="0"/>
        <w:textAlignment w:val="auto"/>
        <w:rPr>
          <w:rFonts w:cs="Arial"/>
        </w:rPr>
      </w:pPr>
      <w:r>
        <w:rPr>
          <w:rFonts w:cs="Arial"/>
        </w:rPr>
        <w:br w:type="page"/>
      </w:r>
    </w:p>
    <w:p w:rsidR="006633FA" w:rsidRDefault="006633FA" w:rsidP="006633FA">
      <w:pPr>
        <w:pStyle w:val="Kop1"/>
      </w:pPr>
      <w:r>
        <w:lastRenderedPageBreak/>
        <w:t xml:space="preserve">Beoordeling inschrijvingen  </w:t>
      </w:r>
    </w:p>
    <w:p w:rsidR="006633FA" w:rsidRPr="00361DA5" w:rsidRDefault="006633FA" w:rsidP="006633FA">
      <w:pPr>
        <w:pStyle w:val="Kop2"/>
      </w:pPr>
      <w:bookmarkStart w:id="64" w:name="_Toc479319368"/>
      <w:r w:rsidRPr="00361DA5">
        <w:t>Toewijzing percelen</w:t>
      </w:r>
      <w:bookmarkEnd w:id="64"/>
    </w:p>
    <w:p w:rsidR="006633FA" w:rsidRDefault="006633FA" w:rsidP="006633FA">
      <w:pPr>
        <w:pStyle w:val="Default"/>
        <w:spacing w:line="276" w:lineRule="auto"/>
        <w:rPr>
          <w:sz w:val="17"/>
          <w:szCs w:val="17"/>
        </w:rPr>
      </w:pPr>
      <w:r w:rsidRPr="00361DA5">
        <w:rPr>
          <w:sz w:val="17"/>
          <w:szCs w:val="17"/>
        </w:rPr>
        <w:t xml:space="preserve">De totale omvang van de aanbesteding bedraagt </w:t>
      </w:r>
      <w:r w:rsidR="007626BC">
        <w:rPr>
          <w:sz w:val="17"/>
          <w:szCs w:val="17"/>
        </w:rPr>
        <w:t>drie</w:t>
      </w:r>
      <w:r>
        <w:rPr>
          <w:sz w:val="17"/>
          <w:szCs w:val="17"/>
        </w:rPr>
        <w:t xml:space="preserve"> percelen </w:t>
      </w:r>
      <w:r w:rsidR="009275D4">
        <w:rPr>
          <w:sz w:val="17"/>
          <w:szCs w:val="17"/>
        </w:rPr>
        <w:t>waarbij de mogelijkheid bestaat om perceel 1 en 2 gecombineerd aan te bieden.</w:t>
      </w:r>
      <w:r>
        <w:rPr>
          <w:sz w:val="17"/>
          <w:szCs w:val="17"/>
        </w:rPr>
        <w:t xml:space="preserve"> </w:t>
      </w:r>
      <w:r w:rsidR="001217A7">
        <w:rPr>
          <w:sz w:val="17"/>
          <w:szCs w:val="17"/>
        </w:rPr>
        <w:t>Perceel 3 kan niet in combinatie met een ander perceel worden aangeboden.</w:t>
      </w:r>
    </w:p>
    <w:p w:rsidR="006633FA" w:rsidRPr="00361DA5" w:rsidRDefault="006633FA" w:rsidP="006633FA">
      <w:pPr>
        <w:pStyle w:val="Default"/>
        <w:spacing w:line="276" w:lineRule="auto"/>
        <w:rPr>
          <w:sz w:val="17"/>
          <w:szCs w:val="17"/>
        </w:rPr>
      </w:pPr>
    </w:p>
    <w:p w:rsidR="006633FA" w:rsidRPr="00361DA5" w:rsidRDefault="006633FA" w:rsidP="00F036FC">
      <w:pPr>
        <w:pStyle w:val="Default"/>
        <w:numPr>
          <w:ilvl w:val="0"/>
          <w:numId w:val="10"/>
        </w:numPr>
        <w:spacing w:after="35" w:line="276" w:lineRule="auto"/>
        <w:rPr>
          <w:sz w:val="17"/>
          <w:szCs w:val="17"/>
        </w:rPr>
      </w:pPr>
      <w:r w:rsidRPr="00361DA5">
        <w:rPr>
          <w:sz w:val="17"/>
          <w:szCs w:val="17"/>
        </w:rPr>
        <w:t xml:space="preserve">De inschrijver met de economisch meest voordelige aanbieding op één perceel krijgt dat perceel gegund </w:t>
      </w:r>
    </w:p>
    <w:p w:rsidR="006633FA" w:rsidRPr="003456E9" w:rsidRDefault="003456E9" w:rsidP="009275D4">
      <w:pPr>
        <w:pStyle w:val="Default"/>
        <w:numPr>
          <w:ilvl w:val="0"/>
          <w:numId w:val="10"/>
        </w:numPr>
        <w:spacing w:after="35" w:line="276" w:lineRule="auto"/>
        <w:rPr>
          <w:sz w:val="17"/>
          <w:szCs w:val="17"/>
        </w:rPr>
      </w:pPr>
      <w:r>
        <w:rPr>
          <w:sz w:val="17"/>
          <w:szCs w:val="17"/>
        </w:rPr>
        <w:t xml:space="preserve">In geval </w:t>
      </w:r>
      <w:r w:rsidR="006633FA" w:rsidRPr="00B50DF4">
        <w:rPr>
          <w:sz w:val="17"/>
          <w:szCs w:val="17"/>
        </w:rPr>
        <w:t xml:space="preserve">een inschrijver </w:t>
      </w:r>
      <w:r>
        <w:rPr>
          <w:sz w:val="17"/>
          <w:szCs w:val="17"/>
        </w:rPr>
        <w:t>op de co</w:t>
      </w:r>
      <w:r w:rsidRPr="003456E9">
        <w:rPr>
          <w:sz w:val="17"/>
          <w:szCs w:val="17"/>
        </w:rPr>
        <w:t xml:space="preserve">mbinatie van perceel 1 en perceel 2 </w:t>
      </w:r>
      <w:r w:rsidR="006633FA" w:rsidRPr="003456E9">
        <w:rPr>
          <w:sz w:val="17"/>
          <w:szCs w:val="17"/>
        </w:rPr>
        <w:t xml:space="preserve"> de economisch meest voordelige aanbieding op </w:t>
      </w:r>
      <w:r w:rsidRPr="003456E9">
        <w:rPr>
          <w:sz w:val="17"/>
          <w:szCs w:val="17"/>
        </w:rPr>
        <w:t xml:space="preserve">het totaal van de </w:t>
      </w:r>
      <w:r w:rsidR="006633FA" w:rsidRPr="003456E9">
        <w:rPr>
          <w:sz w:val="17"/>
          <w:szCs w:val="17"/>
        </w:rPr>
        <w:t xml:space="preserve">twee percelen </w:t>
      </w:r>
      <w:r w:rsidRPr="003456E9">
        <w:rPr>
          <w:sz w:val="17"/>
          <w:szCs w:val="17"/>
        </w:rPr>
        <w:t xml:space="preserve">en het totaal van de optelling van de </w:t>
      </w:r>
      <w:r w:rsidR="009275D4" w:rsidRPr="009275D4">
        <w:rPr>
          <w:sz w:val="17"/>
          <w:szCs w:val="17"/>
        </w:rPr>
        <w:t xml:space="preserve">economisch meest voordelige aanbieding </w:t>
      </w:r>
      <w:r w:rsidR="009275D4">
        <w:rPr>
          <w:sz w:val="17"/>
          <w:szCs w:val="17"/>
        </w:rPr>
        <w:t xml:space="preserve">van de </w:t>
      </w:r>
      <w:r w:rsidRPr="003456E9">
        <w:rPr>
          <w:sz w:val="17"/>
          <w:szCs w:val="17"/>
        </w:rPr>
        <w:t xml:space="preserve">twee individuele percelen indient, </w:t>
      </w:r>
      <w:r w:rsidR="006633FA" w:rsidRPr="003456E9">
        <w:rPr>
          <w:sz w:val="17"/>
          <w:szCs w:val="17"/>
        </w:rPr>
        <w:t>krijgt deze insch</w:t>
      </w:r>
      <w:r w:rsidR="004C2553">
        <w:rPr>
          <w:sz w:val="17"/>
          <w:szCs w:val="17"/>
        </w:rPr>
        <w:t>rijver d</w:t>
      </w:r>
      <w:r w:rsidRPr="003456E9">
        <w:rPr>
          <w:sz w:val="17"/>
          <w:szCs w:val="17"/>
        </w:rPr>
        <w:t>e</w:t>
      </w:r>
      <w:r w:rsidR="004C2553">
        <w:rPr>
          <w:sz w:val="17"/>
          <w:szCs w:val="17"/>
        </w:rPr>
        <w:t xml:space="preserve"> combinatie van de </w:t>
      </w:r>
      <w:r w:rsidRPr="003456E9">
        <w:rPr>
          <w:sz w:val="17"/>
          <w:szCs w:val="17"/>
        </w:rPr>
        <w:t xml:space="preserve"> twee percelen gegund.</w:t>
      </w:r>
      <w:r w:rsidR="009275D4">
        <w:rPr>
          <w:sz w:val="17"/>
          <w:szCs w:val="17"/>
        </w:rPr>
        <w:t xml:space="preserve"> Het gestelde onder 1 vervalt in dat geval.</w:t>
      </w:r>
    </w:p>
    <w:p w:rsidR="006633FA" w:rsidRDefault="006633FA" w:rsidP="00F036FC">
      <w:pPr>
        <w:pStyle w:val="Default"/>
        <w:numPr>
          <w:ilvl w:val="0"/>
          <w:numId w:val="10"/>
        </w:numPr>
        <w:spacing w:after="35" w:line="276" w:lineRule="auto"/>
        <w:rPr>
          <w:sz w:val="17"/>
          <w:szCs w:val="17"/>
        </w:rPr>
      </w:pPr>
      <w:r w:rsidRPr="00691C1C">
        <w:rPr>
          <w:sz w:val="17"/>
          <w:szCs w:val="17"/>
        </w:rPr>
        <w:t xml:space="preserve">In geval er slechts één inschrijver is op één perceel, </w:t>
      </w:r>
      <w:r w:rsidR="009275D4">
        <w:rPr>
          <w:sz w:val="17"/>
          <w:szCs w:val="17"/>
        </w:rPr>
        <w:t>wordt dit perceel gegund aan de betreffende inschrijver.</w:t>
      </w:r>
    </w:p>
    <w:p w:rsidR="00D151FE" w:rsidRPr="00691C1C" w:rsidRDefault="00D151FE" w:rsidP="00D151FE">
      <w:pPr>
        <w:pStyle w:val="Default"/>
        <w:numPr>
          <w:ilvl w:val="0"/>
          <w:numId w:val="10"/>
        </w:numPr>
        <w:spacing w:after="35" w:line="276" w:lineRule="auto"/>
        <w:rPr>
          <w:sz w:val="17"/>
          <w:szCs w:val="17"/>
        </w:rPr>
      </w:pPr>
      <w:r>
        <w:rPr>
          <w:sz w:val="17"/>
          <w:szCs w:val="17"/>
        </w:rPr>
        <w:t xml:space="preserve">Bij gelijke EMVI op basis van de combinatie van perceel 1 en perceel 2  en de optelling van </w:t>
      </w:r>
      <w:r w:rsidRPr="00D151FE">
        <w:rPr>
          <w:sz w:val="17"/>
          <w:szCs w:val="17"/>
        </w:rPr>
        <w:t>de economisch meest voordelige aanbieding van de twee individuele percelen</w:t>
      </w:r>
      <w:r>
        <w:rPr>
          <w:sz w:val="17"/>
          <w:szCs w:val="17"/>
        </w:rPr>
        <w:t xml:space="preserve"> wordt de opdracht gegund op basis van de economische meest voordelige inschrijving op de combinatie van de percelen.</w:t>
      </w:r>
    </w:p>
    <w:p w:rsidR="00E32882" w:rsidRDefault="00E32882" w:rsidP="00E32882">
      <w:pPr>
        <w:ind w:left="0"/>
        <w:rPr>
          <w:rFonts w:cs="Arial"/>
        </w:rPr>
      </w:pPr>
    </w:p>
    <w:p w:rsidR="00E32882" w:rsidRDefault="00E32882" w:rsidP="00E32882">
      <w:pPr>
        <w:ind w:left="0" w:firstLine="360"/>
        <w:rPr>
          <w:rFonts w:cs="Arial"/>
        </w:rPr>
      </w:pPr>
      <w:r>
        <w:rPr>
          <w:rFonts w:cs="Arial"/>
        </w:rPr>
        <w:t>Onderstaand twee fictieve voorbeelden van wijze van gunnen</w:t>
      </w:r>
    </w:p>
    <w:p w:rsidR="00E32882" w:rsidRDefault="00E32882" w:rsidP="00E32882">
      <w:pPr>
        <w:ind w:left="0" w:firstLine="360"/>
        <w:rPr>
          <w:rFonts w:cs="Arial"/>
        </w:rPr>
      </w:pPr>
    </w:p>
    <w:p w:rsidR="00E32882" w:rsidRPr="00F60D1F" w:rsidRDefault="001217A7" w:rsidP="00E32882">
      <w:pPr>
        <w:ind w:left="0" w:firstLine="360"/>
        <w:rPr>
          <w:rFonts w:cs="Arial"/>
          <w:b/>
          <w:i/>
        </w:rPr>
      </w:pPr>
      <w:r w:rsidRPr="00F60D1F">
        <w:rPr>
          <w:rFonts w:cs="Arial"/>
          <w:b/>
          <w:i/>
        </w:rPr>
        <w:t>Voorbeeld  1</w:t>
      </w:r>
    </w:p>
    <w:tbl>
      <w:tblPr>
        <w:tblStyle w:val="Tabelraster"/>
        <w:tblW w:w="0" w:type="auto"/>
        <w:tblLook w:val="04A0" w:firstRow="1" w:lastRow="0" w:firstColumn="1" w:lastColumn="0" w:noHBand="0" w:noVBand="1"/>
      </w:tblPr>
      <w:tblGrid>
        <w:gridCol w:w="2255"/>
        <w:gridCol w:w="2269"/>
        <w:gridCol w:w="2269"/>
        <w:gridCol w:w="2270"/>
      </w:tblGrid>
      <w:tr w:rsidR="00E32882" w:rsidRPr="00F60D1F" w:rsidTr="00E32882">
        <w:tc>
          <w:tcPr>
            <w:tcW w:w="2303" w:type="dxa"/>
          </w:tcPr>
          <w:p w:rsidR="00E32882" w:rsidRPr="00F60D1F" w:rsidRDefault="001217A7" w:rsidP="00E32882">
            <w:pPr>
              <w:ind w:left="0"/>
              <w:rPr>
                <w:rFonts w:cs="Arial"/>
                <w:b/>
                <w:i/>
                <w:sz w:val="16"/>
                <w:szCs w:val="16"/>
              </w:rPr>
            </w:pPr>
            <w:r w:rsidRPr="00F60D1F">
              <w:rPr>
                <w:rFonts w:cs="Arial"/>
                <w:b/>
                <w:i/>
                <w:sz w:val="16"/>
                <w:szCs w:val="16"/>
              </w:rPr>
              <w:t>P</w:t>
            </w:r>
            <w:r w:rsidR="00E32882" w:rsidRPr="00F60D1F">
              <w:rPr>
                <w:rFonts w:cs="Arial"/>
                <w:b/>
                <w:i/>
                <w:sz w:val="16"/>
                <w:szCs w:val="16"/>
              </w:rPr>
              <w:t>erceel</w:t>
            </w:r>
          </w:p>
        </w:tc>
        <w:tc>
          <w:tcPr>
            <w:tcW w:w="2303" w:type="dxa"/>
          </w:tcPr>
          <w:p w:rsidR="00E32882" w:rsidRPr="00F60D1F" w:rsidRDefault="00CF664A" w:rsidP="00E32882">
            <w:pPr>
              <w:ind w:left="0"/>
              <w:rPr>
                <w:rFonts w:cs="Arial"/>
                <w:b/>
                <w:i/>
                <w:sz w:val="16"/>
                <w:szCs w:val="16"/>
              </w:rPr>
            </w:pPr>
            <w:r w:rsidRPr="00F60D1F">
              <w:rPr>
                <w:rFonts w:cs="Arial"/>
                <w:b/>
                <w:i/>
                <w:sz w:val="16"/>
                <w:szCs w:val="16"/>
              </w:rPr>
              <w:t xml:space="preserve">Evaluatieprijs </w:t>
            </w:r>
            <w:r w:rsidR="00E32882" w:rsidRPr="00F60D1F">
              <w:rPr>
                <w:rFonts w:cs="Arial"/>
                <w:b/>
                <w:i/>
                <w:sz w:val="16"/>
                <w:szCs w:val="16"/>
              </w:rPr>
              <w:t>Inschrijver A</w:t>
            </w:r>
          </w:p>
        </w:tc>
        <w:tc>
          <w:tcPr>
            <w:tcW w:w="2303" w:type="dxa"/>
          </w:tcPr>
          <w:p w:rsidR="00E32882" w:rsidRPr="00F60D1F" w:rsidRDefault="00CF664A" w:rsidP="00E32882">
            <w:pPr>
              <w:ind w:left="0"/>
              <w:rPr>
                <w:rFonts w:cs="Arial"/>
                <w:b/>
                <w:i/>
                <w:sz w:val="16"/>
                <w:szCs w:val="16"/>
              </w:rPr>
            </w:pPr>
            <w:r w:rsidRPr="00F60D1F">
              <w:rPr>
                <w:rFonts w:cs="Arial"/>
                <w:b/>
                <w:i/>
                <w:sz w:val="16"/>
                <w:szCs w:val="16"/>
              </w:rPr>
              <w:t xml:space="preserve">Evaluatieprijs </w:t>
            </w:r>
            <w:r w:rsidR="00E32882" w:rsidRPr="00F60D1F">
              <w:rPr>
                <w:rFonts w:cs="Arial"/>
                <w:b/>
                <w:i/>
                <w:sz w:val="16"/>
                <w:szCs w:val="16"/>
              </w:rPr>
              <w:t>Inschrijver B</w:t>
            </w:r>
          </w:p>
        </w:tc>
        <w:tc>
          <w:tcPr>
            <w:tcW w:w="2304" w:type="dxa"/>
          </w:tcPr>
          <w:p w:rsidR="00E32882" w:rsidRPr="00F60D1F" w:rsidRDefault="00CF664A" w:rsidP="00E32882">
            <w:pPr>
              <w:ind w:left="0"/>
              <w:rPr>
                <w:rFonts w:cs="Arial"/>
                <w:b/>
                <w:i/>
                <w:sz w:val="16"/>
                <w:szCs w:val="16"/>
              </w:rPr>
            </w:pPr>
            <w:r w:rsidRPr="00F60D1F">
              <w:rPr>
                <w:rFonts w:cs="Arial"/>
                <w:b/>
                <w:i/>
                <w:sz w:val="16"/>
                <w:szCs w:val="16"/>
              </w:rPr>
              <w:t xml:space="preserve">Evaluatieprijs </w:t>
            </w:r>
            <w:r w:rsidR="00E32882" w:rsidRPr="00F60D1F">
              <w:rPr>
                <w:rFonts w:cs="Arial"/>
                <w:b/>
                <w:i/>
                <w:sz w:val="16"/>
                <w:szCs w:val="16"/>
              </w:rPr>
              <w:t>Inschrijver C</w:t>
            </w:r>
          </w:p>
        </w:tc>
      </w:tr>
      <w:tr w:rsidR="00E32882" w:rsidRPr="00F60D1F" w:rsidTr="00E32882">
        <w:tc>
          <w:tcPr>
            <w:tcW w:w="2303" w:type="dxa"/>
          </w:tcPr>
          <w:p w:rsidR="00E32882" w:rsidRPr="00F60D1F" w:rsidRDefault="00E32882" w:rsidP="00E32882">
            <w:pPr>
              <w:ind w:left="0"/>
              <w:rPr>
                <w:rFonts w:cs="Arial"/>
                <w:i/>
                <w:sz w:val="16"/>
                <w:szCs w:val="16"/>
              </w:rPr>
            </w:pPr>
            <w:r w:rsidRPr="00F60D1F">
              <w:rPr>
                <w:rFonts w:cs="Arial"/>
                <w:i/>
                <w:sz w:val="16"/>
                <w:szCs w:val="16"/>
              </w:rPr>
              <w:t>1</w:t>
            </w:r>
          </w:p>
        </w:tc>
        <w:tc>
          <w:tcPr>
            <w:tcW w:w="2303" w:type="dxa"/>
          </w:tcPr>
          <w:p w:rsidR="00E32882" w:rsidRPr="00F60D1F" w:rsidRDefault="00E32882" w:rsidP="00E32882">
            <w:pPr>
              <w:ind w:left="0"/>
              <w:rPr>
                <w:rFonts w:cs="Arial"/>
                <w:i/>
                <w:sz w:val="16"/>
                <w:szCs w:val="16"/>
              </w:rPr>
            </w:pPr>
            <w:r w:rsidRPr="00F60D1F">
              <w:rPr>
                <w:rFonts w:cs="Arial"/>
                <w:i/>
                <w:sz w:val="16"/>
                <w:szCs w:val="16"/>
              </w:rPr>
              <w:t>€ 40.000,00</w:t>
            </w:r>
          </w:p>
        </w:tc>
        <w:tc>
          <w:tcPr>
            <w:tcW w:w="2303" w:type="dxa"/>
          </w:tcPr>
          <w:p w:rsidR="00E32882" w:rsidRPr="00F60D1F" w:rsidRDefault="00E32882" w:rsidP="00E32882">
            <w:pPr>
              <w:ind w:left="0"/>
              <w:rPr>
                <w:rFonts w:cs="Arial"/>
                <w:i/>
                <w:sz w:val="16"/>
                <w:szCs w:val="16"/>
                <w:highlight w:val="green"/>
              </w:rPr>
            </w:pPr>
            <w:r w:rsidRPr="00F60D1F">
              <w:rPr>
                <w:rFonts w:cs="Arial"/>
                <w:i/>
                <w:sz w:val="16"/>
                <w:szCs w:val="16"/>
                <w:highlight w:val="green"/>
              </w:rPr>
              <w:t>€ 35.000,00</w:t>
            </w:r>
          </w:p>
        </w:tc>
        <w:tc>
          <w:tcPr>
            <w:tcW w:w="2304" w:type="dxa"/>
          </w:tcPr>
          <w:p w:rsidR="00E32882" w:rsidRPr="00F60D1F" w:rsidRDefault="00E32882" w:rsidP="00E32882">
            <w:pPr>
              <w:ind w:left="0"/>
              <w:rPr>
                <w:rFonts w:cs="Arial"/>
                <w:i/>
                <w:sz w:val="16"/>
                <w:szCs w:val="16"/>
              </w:rPr>
            </w:pPr>
            <w:r w:rsidRPr="00F60D1F">
              <w:rPr>
                <w:rFonts w:cs="Arial"/>
                <w:i/>
                <w:sz w:val="16"/>
                <w:szCs w:val="16"/>
              </w:rPr>
              <w:t>€ 39.000,00</w:t>
            </w:r>
          </w:p>
        </w:tc>
      </w:tr>
      <w:tr w:rsidR="00E32882" w:rsidRPr="00F60D1F" w:rsidTr="00E32882">
        <w:tc>
          <w:tcPr>
            <w:tcW w:w="2303" w:type="dxa"/>
          </w:tcPr>
          <w:p w:rsidR="00E32882" w:rsidRPr="00F60D1F" w:rsidRDefault="00E32882" w:rsidP="00E32882">
            <w:pPr>
              <w:ind w:left="0"/>
              <w:rPr>
                <w:rFonts w:cs="Arial"/>
                <w:i/>
                <w:sz w:val="16"/>
                <w:szCs w:val="16"/>
              </w:rPr>
            </w:pPr>
            <w:r w:rsidRPr="00F60D1F">
              <w:rPr>
                <w:rFonts w:cs="Arial"/>
                <w:i/>
                <w:sz w:val="16"/>
                <w:szCs w:val="16"/>
              </w:rPr>
              <w:t>2</w:t>
            </w:r>
          </w:p>
        </w:tc>
        <w:tc>
          <w:tcPr>
            <w:tcW w:w="2303" w:type="dxa"/>
          </w:tcPr>
          <w:p w:rsidR="00E32882" w:rsidRPr="00F60D1F" w:rsidRDefault="00E32882" w:rsidP="00E32882">
            <w:pPr>
              <w:ind w:left="0"/>
              <w:rPr>
                <w:rFonts w:cs="Arial"/>
                <w:i/>
                <w:sz w:val="16"/>
                <w:szCs w:val="16"/>
              </w:rPr>
            </w:pPr>
            <w:r w:rsidRPr="00F60D1F">
              <w:rPr>
                <w:rFonts w:cs="Arial"/>
                <w:i/>
                <w:sz w:val="16"/>
                <w:szCs w:val="16"/>
              </w:rPr>
              <w:t>€ 20.000,00</w:t>
            </w:r>
          </w:p>
        </w:tc>
        <w:tc>
          <w:tcPr>
            <w:tcW w:w="2303" w:type="dxa"/>
          </w:tcPr>
          <w:p w:rsidR="00E32882" w:rsidRPr="00F60D1F" w:rsidRDefault="00E32882" w:rsidP="00E32882">
            <w:pPr>
              <w:ind w:left="0"/>
              <w:rPr>
                <w:rFonts w:cs="Arial"/>
                <w:i/>
                <w:sz w:val="16"/>
                <w:szCs w:val="16"/>
              </w:rPr>
            </w:pPr>
            <w:r w:rsidRPr="00F60D1F">
              <w:rPr>
                <w:rFonts w:cs="Arial"/>
                <w:i/>
                <w:sz w:val="16"/>
                <w:szCs w:val="16"/>
              </w:rPr>
              <w:t>€ 22.000,00</w:t>
            </w:r>
          </w:p>
        </w:tc>
        <w:tc>
          <w:tcPr>
            <w:tcW w:w="2304" w:type="dxa"/>
          </w:tcPr>
          <w:p w:rsidR="00E32882" w:rsidRPr="00F60D1F" w:rsidRDefault="00E32882" w:rsidP="00E32882">
            <w:pPr>
              <w:ind w:left="0"/>
              <w:rPr>
                <w:rFonts w:cs="Arial"/>
                <w:i/>
                <w:sz w:val="16"/>
                <w:szCs w:val="16"/>
              </w:rPr>
            </w:pPr>
            <w:r w:rsidRPr="00F60D1F">
              <w:rPr>
                <w:rFonts w:cs="Arial"/>
                <w:i/>
                <w:sz w:val="16"/>
                <w:szCs w:val="16"/>
                <w:highlight w:val="green"/>
              </w:rPr>
              <w:t>€ 19.000,00</w:t>
            </w:r>
          </w:p>
        </w:tc>
      </w:tr>
      <w:tr w:rsidR="00FB3D19" w:rsidRPr="00F60D1F" w:rsidTr="00E32882">
        <w:tc>
          <w:tcPr>
            <w:tcW w:w="2303" w:type="dxa"/>
          </w:tcPr>
          <w:p w:rsidR="00FB3D19" w:rsidRPr="00F60D1F" w:rsidRDefault="00FB3D19" w:rsidP="00E32882">
            <w:pPr>
              <w:ind w:left="0"/>
              <w:rPr>
                <w:rFonts w:cs="Arial"/>
                <w:i/>
                <w:sz w:val="16"/>
                <w:szCs w:val="16"/>
              </w:rPr>
            </w:pPr>
            <w:r w:rsidRPr="00F60D1F">
              <w:rPr>
                <w:rFonts w:cs="Arial"/>
                <w:i/>
                <w:sz w:val="16"/>
                <w:szCs w:val="16"/>
              </w:rPr>
              <w:t>3</w:t>
            </w:r>
          </w:p>
        </w:tc>
        <w:tc>
          <w:tcPr>
            <w:tcW w:w="2303" w:type="dxa"/>
          </w:tcPr>
          <w:p w:rsidR="00FB3D19" w:rsidRPr="00F60D1F" w:rsidRDefault="00FB3D19" w:rsidP="00AF7649">
            <w:pPr>
              <w:ind w:left="0"/>
              <w:rPr>
                <w:rFonts w:cs="Arial"/>
                <w:i/>
                <w:sz w:val="16"/>
                <w:szCs w:val="16"/>
              </w:rPr>
            </w:pPr>
            <w:r w:rsidRPr="00F60D1F">
              <w:rPr>
                <w:rFonts w:cs="Arial"/>
                <w:i/>
                <w:sz w:val="16"/>
                <w:szCs w:val="16"/>
              </w:rPr>
              <w:t>€ 13.000,00</w:t>
            </w:r>
          </w:p>
        </w:tc>
        <w:tc>
          <w:tcPr>
            <w:tcW w:w="2303" w:type="dxa"/>
          </w:tcPr>
          <w:p w:rsidR="00FB3D19" w:rsidRPr="00F60D1F" w:rsidRDefault="00FB3D19" w:rsidP="00AF7649">
            <w:pPr>
              <w:ind w:left="0"/>
              <w:rPr>
                <w:rFonts w:cs="Arial"/>
                <w:i/>
                <w:sz w:val="16"/>
                <w:szCs w:val="16"/>
              </w:rPr>
            </w:pPr>
            <w:r w:rsidRPr="00F60D1F">
              <w:rPr>
                <w:rFonts w:cs="Arial"/>
                <w:i/>
                <w:sz w:val="16"/>
                <w:szCs w:val="16"/>
              </w:rPr>
              <w:t>€ 12.000,00</w:t>
            </w:r>
          </w:p>
        </w:tc>
        <w:tc>
          <w:tcPr>
            <w:tcW w:w="2304" w:type="dxa"/>
          </w:tcPr>
          <w:p w:rsidR="00FB3D19" w:rsidRPr="00F60D1F" w:rsidRDefault="00FB3D19" w:rsidP="00AF7649">
            <w:pPr>
              <w:ind w:left="0"/>
              <w:rPr>
                <w:rFonts w:cs="Arial"/>
                <w:i/>
                <w:sz w:val="16"/>
                <w:szCs w:val="16"/>
              </w:rPr>
            </w:pPr>
            <w:r w:rsidRPr="00F60D1F">
              <w:rPr>
                <w:rFonts w:cs="Arial"/>
                <w:i/>
                <w:sz w:val="16"/>
                <w:szCs w:val="16"/>
                <w:highlight w:val="green"/>
              </w:rPr>
              <w:t>€ 10.500,00</w:t>
            </w:r>
          </w:p>
        </w:tc>
      </w:tr>
      <w:tr w:rsidR="00FB3D19" w:rsidRPr="00F60D1F" w:rsidTr="00E32882">
        <w:tc>
          <w:tcPr>
            <w:tcW w:w="2303" w:type="dxa"/>
          </w:tcPr>
          <w:p w:rsidR="00FB3D19" w:rsidRPr="00F60D1F" w:rsidRDefault="00FB3D19" w:rsidP="00E32882">
            <w:pPr>
              <w:ind w:left="0"/>
              <w:rPr>
                <w:rFonts w:cs="Arial"/>
                <w:i/>
                <w:sz w:val="16"/>
                <w:szCs w:val="16"/>
              </w:rPr>
            </w:pPr>
            <w:r w:rsidRPr="00F60D1F">
              <w:rPr>
                <w:rFonts w:cs="Arial"/>
                <w:i/>
                <w:sz w:val="16"/>
                <w:szCs w:val="16"/>
              </w:rPr>
              <w:t>Combi perceel 1+2</w:t>
            </w:r>
          </w:p>
        </w:tc>
        <w:tc>
          <w:tcPr>
            <w:tcW w:w="2303" w:type="dxa"/>
          </w:tcPr>
          <w:p w:rsidR="00FB3D19" w:rsidRPr="00F60D1F" w:rsidRDefault="00FB3D19" w:rsidP="00E32882">
            <w:pPr>
              <w:ind w:left="0"/>
              <w:rPr>
                <w:rFonts w:cs="Arial"/>
                <w:i/>
                <w:sz w:val="16"/>
                <w:szCs w:val="16"/>
              </w:rPr>
            </w:pPr>
            <w:r w:rsidRPr="00F60D1F">
              <w:rPr>
                <w:rFonts w:cs="Arial"/>
                <w:i/>
                <w:sz w:val="16"/>
                <w:szCs w:val="16"/>
              </w:rPr>
              <w:t>€ 55.000,00</w:t>
            </w:r>
          </w:p>
        </w:tc>
        <w:tc>
          <w:tcPr>
            <w:tcW w:w="2303" w:type="dxa"/>
          </w:tcPr>
          <w:p w:rsidR="00FB3D19" w:rsidRPr="00F60D1F" w:rsidRDefault="00FB3D19" w:rsidP="00E32882">
            <w:pPr>
              <w:ind w:left="0"/>
              <w:rPr>
                <w:rFonts w:cs="Arial"/>
                <w:i/>
                <w:sz w:val="16"/>
                <w:szCs w:val="16"/>
              </w:rPr>
            </w:pPr>
            <w:r w:rsidRPr="00F60D1F">
              <w:rPr>
                <w:rFonts w:cs="Arial"/>
                <w:i/>
                <w:sz w:val="16"/>
                <w:szCs w:val="16"/>
              </w:rPr>
              <w:t>€ 56.000,00</w:t>
            </w:r>
          </w:p>
        </w:tc>
        <w:tc>
          <w:tcPr>
            <w:tcW w:w="2304" w:type="dxa"/>
          </w:tcPr>
          <w:p w:rsidR="00FB3D19" w:rsidRPr="00F60D1F" w:rsidRDefault="00FB3D19" w:rsidP="00E32882">
            <w:pPr>
              <w:ind w:left="0"/>
              <w:rPr>
                <w:rFonts w:cs="Arial"/>
                <w:i/>
                <w:sz w:val="16"/>
                <w:szCs w:val="16"/>
              </w:rPr>
            </w:pPr>
            <w:r w:rsidRPr="00F60D1F">
              <w:rPr>
                <w:rFonts w:cs="Arial"/>
                <w:i/>
                <w:sz w:val="16"/>
                <w:szCs w:val="16"/>
              </w:rPr>
              <w:t>€  56.500,00</w:t>
            </w:r>
          </w:p>
        </w:tc>
      </w:tr>
    </w:tbl>
    <w:p w:rsidR="00E32882" w:rsidRPr="00F60D1F" w:rsidRDefault="00E32882" w:rsidP="00E32882">
      <w:pPr>
        <w:ind w:left="0" w:firstLine="360"/>
        <w:rPr>
          <w:rFonts w:cs="Arial"/>
          <w:i/>
        </w:rPr>
      </w:pPr>
    </w:p>
    <w:p w:rsidR="00E32882" w:rsidRPr="00F60D1F" w:rsidRDefault="00E32882" w:rsidP="00FB3D19">
      <w:pPr>
        <w:pStyle w:val="Lijstalinea"/>
        <w:numPr>
          <w:ilvl w:val="0"/>
          <w:numId w:val="13"/>
        </w:numPr>
        <w:rPr>
          <w:i/>
        </w:rPr>
      </w:pPr>
      <w:r w:rsidRPr="00F60D1F">
        <w:rPr>
          <w:i/>
        </w:rPr>
        <w:t>De optelling van de EMVI per perceel bedraagt in dit geval € 35.000,00 (bedrag inschrijver B) + € 19.000 (bedrag inschrijver C) = € 54.000,00.</w:t>
      </w:r>
    </w:p>
    <w:p w:rsidR="00E32882" w:rsidRPr="00F60D1F" w:rsidRDefault="00E32882" w:rsidP="00FB3D19">
      <w:pPr>
        <w:pStyle w:val="Lijstalinea"/>
        <w:numPr>
          <w:ilvl w:val="0"/>
          <w:numId w:val="13"/>
        </w:numPr>
        <w:rPr>
          <w:i/>
        </w:rPr>
      </w:pPr>
      <w:r w:rsidRPr="00F60D1F">
        <w:rPr>
          <w:i/>
        </w:rPr>
        <w:t>De EMVI op basis van de co</w:t>
      </w:r>
      <w:r w:rsidR="00CF664A" w:rsidRPr="00F60D1F">
        <w:rPr>
          <w:i/>
        </w:rPr>
        <w:t>m</w:t>
      </w:r>
      <w:r w:rsidRPr="00F60D1F">
        <w:rPr>
          <w:i/>
        </w:rPr>
        <w:t>binatie perc</w:t>
      </w:r>
      <w:r w:rsidR="00FB3D19" w:rsidRPr="00F60D1F">
        <w:rPr>
          <w:i/>
        </w:rPr>
        <w:t xml:space="preserve">eel 1 en 2 bedraagt € </w:t>
      </w:r>
      <w:r w:rsidR="00CF664A" w:rsidRPr="00F60D1F">
        <w:rPr>
          <w:i/>
        </w:rPr>
        <w:t>55.000,00 (</w:t>
      </w:r>
      <w:r w:rsidRPr="00F60D1F">
        <w:rPr>
          <w:i/>
        </w:rPr>
        <w:t>bedrag inschrijver A)</w:t>
      </w:r>
    </w:p>
    <w:p w:rsidR="00FB3D19" w:rsidRPr="00F60D1F" w:rsidRDefault="00E32882" w:rsidP="00E32882">
      <w:pPr>
        <w:ind w:left="0"/>
        <w:rPr>
          <w:rFonts w:cs="Arial"/>
          <w:i/>
        </w:rPr>
      </w:pPr>
      <w:r w:rsidRPr="00F60D1F">
        <w:rPr>
          <w:rFonts w:cs="Arial"/>
          <w:i/>
        </w:rPr>
        <w:t>In dit geval wordt de opdracht op basis van de EMVI per perceel gegund aan Inschrijver B voor perceel 1 en Inschrijver C voor perceel 2)</w:t>
      </w:r>
      <w:r w:rsidR="00FB3D19" w:rsidRPr="00F60D1F">
        <w:rPr>
          <w:rFonts w:cs="Arial"/>
          <w:i/>
        </w:rPr>
        <w:t>. Perceel 3 kan niet in combinatie worden aangeboden. Inschrijver C heeft in dit geval de EMVI voor perceel 3 ingediend ( € 10.500,00)</w:t>
      </w:r>
    </w:p>
    <w:p w:rsidR="00E32882" w:rsidRPr="00F60D1F" w:rsidRDefault="00E32882" w:rsidP="00E32882">
      <w:pPr>
        <w:ind w:left="0" w:firstLine="360"/>
        <w:rPr>
          <w:rFonts w:cs="Arial"/>
          <w:i/>
        </w:rPr>
      </w:pPr>
    </w:p>
    <w:p w:rsidR="00E32882" w:rsidRPr="00F60D1F" w:rsidRDefault="001217A7" w:rsidP="00E32882">
      <w:pPr>
        <w:ind w:left="0" w:firstLine="360"/>
        <w:rPr>
          <w:rFonts w:cs="Arial"/>
          <w:b/>
          <w:i/>
        </w:rPr>
      </w:pPr>
      <w:r w:rsidRPr="00F60D1F">
        <w:rPr>
          <w:rFonts w:cs="Arial"/>
          <w:b/>
          <w:i/>
        </w:rPr>
        <w:t>Voorbeeld  2</w:t>
      </w:r>
    </w:p>
    <w:tbl>
      <w:tblPr>
        <w:tblStyle w:val="Tabelraster"/>
        <w:tblW w:w="0" w:type="auto"/>
        <w:tblLook w:val="04A0" w:firstRow="1" w:lastRow="0" w:firstColumn="1" w:lastColumn="0" w:noHBand="0" w:noVBand="1"/>
      </w:tblPr>
      <w:tblGrid>
        <w:gridCol w:w="2261"/>
        <w:gridCol w:w="2267"/>
        <w:gridCol w:w="2267"/>
        <w:gridCol w:w="2268"/>
      </w:tblGrid>
      <w:tr w:rsidR="00CF664A" w:rsidRPr="00F60D1F" w:rsidTr="00AF7649">
        <w:tc>
          <w:tcPr>
            <w:tcW w:w="2303" w:type="dxa"/>
          </w:tcPr>
          <w:p w:rsidR="00CF664A" w:rsidRPr="00F60D1F" w:rsidRDefault="00C15E5B" w:rsidP="00FB3D19">
            <w:pPr>
              <w:ind w:left="0"/>
              <w:rPr>
                <w:rFonts w:cs="Arial"/>
                <w:b/>
                <w:i/>
                <w:sz w:val="16"/>
                <w:szCs w:val="16"/>
              </w:rPr>
            </w:pPr>
            <w:r w:rsidRPr="00F60D1F">
              <w:rPr>
                <w:rFonts w:cs="Arial"/>
                <w:b/>
                <w:i/>
                <w:sz w:val="16"/>
                <w:szCs w:val="16"/>
              </w:rPr>
              <w:t>P</w:t>
            </w:r>
            <w:r w:rsidR="00CF664A" w:rsidRPr="00F60D1F">
              <w:rPr>
                <w:rFonts w:cs="Arial"/>
                <w:b/>
                <w:i/>
                <w:sz w:val="16"/>
                <w:szCs w:val="16"/>
              </w:rPr>
              <w:t>erceel</w:t>
            </w:r>
          </w:p>
        </w:tc>
        <w:tc>
          <w:tcPr>
            <w:tcW w:w="2303" w:type="dxa"/>
          </w:tcPr>
          <w:p w:rsidR="00CF664A" w:rsidRPr="00F60D1F" w:rsidRDefault="00CF664A" w:rsidP="00FB3D19">
            <w:pPr>
              <w:ind w:left="0"/>
              <w:rPr>
                <w:rFonts w:cs="Arial"/>
                <w:b/>
                <w:i/>
                <w:sz w:val="16"/>
                <w:szCs w:val="16"/>
              </w:rPr>
            </w:pPr>
            <w:r w:rsidRPr="00F60D1F">
              <w:rPr>
                <w:rFonts w:cs="Arial"/>
                <w:b/>
                <w:i/>
                <w:sz w:val="16"/>
                <w:szCs w:val="16"/>
              </w:rPr>
              <w:t>Evaluatieprijs Inschrijver A</w:t>
            </w:r>
          </w:p>
        </w:tc>
        <w:tc>
          <w:tcPr>
            <w:tcW w:w="2303" w:type="dxa"/>
          </w:tcPr>
          <w:p w:rsidR="00CF664A" w:rsidRPr="00F60D1F" w:rsidRDefault="00CF664A" w:rsidP="00FB3D19">
            <w:pPr>
              <w:ind w:left="0"/>
              <w:rPr>
                <w:rFonts w:cs="Arial"/>
                <w:b/>
                <w:i/>
                <w:sz w:val="16"/>
                <w:szCs w:val="16"/>
              </w:rPr>
            </w:pPr>
            <w:r w:rsidRPr="00F60D1F">
              <w:rPr>
                <w:rFonts w:cs="Arial"/>
                <w:b/>
                <w:i/>
                <w:sz w:val="16"/>
                <w:szCs w:val="16"/>
              </w:rPr>
              <w:t>Evaluatieprijs Inschrijver B</w:t>
            </w:r>
          </w:p>
        </w:tc>
        <w:tc>
          <w:tcPr>
            <w:tcW w:w="2304" w:type="dxa"/>
          </w:tcPr>
          <w:p w:rsidR="00CF664A" w:rsidRPr="00F60D1F" w:rsidRDefault="00CF664A" w:rsidP="00FB3D19">
            <w:pPr>
              <w:ind w:left="0"/>
              <w:rPr>
                <w:rFonts w:cs="Arial"/>
                <w:b/>
                <w:i/>
                <w:sz w:val="16"/>
                <w:szCs w:val="16"/>
              </w:rPr>
            </w:pPr>
            <w:r w:rsidRPr="00F60D1F">
              <w:rPr>
                <w:rFonts w:cs="Arial"/>
                <w:b/>
                <w:i/>
                <w:sz w:val="16"/>
                <w:szCs w:val="16"/>
              </w:rPr>
              <w:t>Evaluatieprijs Inschrijver C</w:t>
            </w:r>
          </w:p>
        </w:tc>
      </w:tr>
      <w:tr w:rsidR="00E32882" w:rsidRPr="00F60D1F" w:rsidTr="00AF7649">
        <w:tc>
          <w:tcPr>
            <w:tcW w:w="2303" w:type="dxa"/>
          </w:tcPr>
          <w:p w:rsidR="00E32882" w:rsidRPr="00F60D1F" w:rsidRDefault="00E32882" w:rsidP="00FB3D19">
            <w:pPr>
              <w:ind w:left="0" w:firstLine="360"/>
              <w:rPr>
                <w:rFonts w:cs="Arial"/>
                <w:i/>
                <w:sz w:val="16"/>
                <w:szCs w:val="16"/>
              </w:rPr>
            </w:pPr>
            <w:r w:rsidRPr="00F60D1F">
              <w:rPr>
                <w:rFonts w:cs="Arial"/>
                <w:i/>
                <w:sz w:val="16"/>
                <w:szCs w:val="16"/>
              </w:rPr>
              <w:t>1</w:t>
            </w:r>
          </w:p>
        </w:tc>
        <w:tc>
          <w:tcPr>
            <w:tcW w:w="2303" w:type="dxa"/>
          </w:tcPr>
          <w:p w:rsidR="00E32882" w:rsidRPr="00F60D1F" w:rsidRDefault="00E32882" w:rsidP="00FB3D19">
            <w:pPr>
              <w:ind w:left="0" w:firstLine="360"/>
              <w:rPr>
                <w:rFonts w:cs="Arial"/>
                <w:i/>
                <w:sz w:val="16"/>
                <w:szCs w:val="16"/>
              </w:rPr>
            </w:pPr>
            <w:r w:rsidRPr="00F60D1F">
              <w:rPr>
                <w:rFonts w:cs="Arial"/>
                <w:i/>
                <w:sz w:val="16"/>
                <w:szCs w:val="16"/>
              </w:rPr>
              <w:t>€ 40.000,00</w:t>
            </w:r>
          </w:p>
        </w:tc>
        <w:tc>
          <w:tcPr>
            <w:tcW w:w="2303" w:type="dxa"/>
          </w:tcPr>
          <w:p w:rsidR="00E32882" w:rsidRPr="00F60D1F" w:rsidRDefault="00E32882" w:rsidP="00FB3D19">
            <w:pPr>
              <w:ind w:left="0" w:firstLine="360"/>
              <w:rPr>
                <w:rFonts w:cs="Arial"/>
                <w:i/>
                <w:sz w:val="16"/>
                <w:szCs w:val="16"/>
              </w:rPr>
            </w:pPr>
            <w:r w:rsidRPr="00F60D1F">
              <w:rPr>
                <w:rFonts w:cs="Arial"/>
                <w:i/>
                <w:sz w:val="16"/>
                <w:szCs w:val="16"/>
              </w:rPr>
              <w:t>€ 35.000,00</w:t>
            </w:r>
          </w:p>
        </w:tc>
        <w:tc>
          <w:tcPr>
            <w:tcW w:w="2304" w:type="dxa"/>
          </w:tcPr>
          <w:p w:rsidR="00E32882" w:rsidRPr="00F60D1F" w:rsidRDefault="00E32882" w:rsidP="00FB3D19">
            <w:pPr>
              <w:ind w:left="0" w:firstLine="360"/>
              <w:rPr>
                <w:rFonts w:cs="Arial"/>
                <w:i/>
                <w:sz w:val="16"/>
                <w:szCs w:val="16"/>
              </w:rPr>
            </w:pPr>
            <w:r w:rsidRPr="00F60D1F">
              <w:rPr>
                <w:rFonts w:cs="Arial"/>
                <w:i/>
                <w:sz w:val="16"/>
                <w:szCs w:val="16"/>
              </w:rPr>
              <w:t>€ 39.000,00</w:t>
            </w:r>
          </w:p>
        </w:tc>
      </w:tr>
      <w:tr w:rsidR="00E32882" w:rsidRPr="00F60D1F" w:rsidTr="00AF7649">
        <w:tc>
          <w:tcPr>
            <w:tcW w:w="2303" w:type="dxa"/>
          </w:tcPr>
          <w:p w:rsidR="00E32882" w:rsidRPr="00F60D1F" w:rsidRDefault="00E32882" w:rsidP="00FB3D19">
            <w:pPr>
              <w:ind w:left="0" w:firstLine="360"/>
              <w:rPr>
                <w:rFonts w:cs="Arial"/>
                <w:i/>
                <w:sz w:val="16"/>
                <w:szCs w:val="16"/>
              </w:rPr>
            </w:pPr>
            <w:r w:rsidRPr="00F60D1F">
              <w:rPr>
                <w:rFonts w:cs="Arial"/>
                <w:i/>
                <w:sz w:val="16"/>
                <w:szCs w:val="16"/>
              </w:rPr>
              <w:t>2</w:t>
            </w:r>
          </w:p>
        </w:tc>
        <w:tc>
          <w:tcPr>
            <w:tcW w:w="2303" w:type="dxa"/>
          </w:tcPr>
          <w:p w:rsidR="00E32882" w:rsidRPr="00F60D1F" w:rsidRDefault="00E32882" w:rsidP="00FB3D19">
            <w:pPr>
              <w:ind w:left="0" w:firstLine="360"/>
              <w:rPr>
                <w:rFonts w:cs="Arial"/>
                <w:i/>
                <w:sz w:val="16"/>
                <w:szCs w:val="16"/>
              </w:rPr>
            </w:pPr>
            <w:r w:rsidRPr="00F60D1F">
              <w:rPr>
                <w:rFonts w:cs="Arial"/>
                <w:i/>
                <w:sz w:val="16"/>
                <w:szCs w:val="16"/>
              </w:rPr>
              <w:t>€ 20.000,00</w:t>
            </w:r>
          </w:p>
        </w:tc>
        <w:tc>
          <w:tcPr>
            <w:tcW w:w="2303" w:type="dxa"/>
          </w:tcPr>
          <w:p w:rsidR="00E32882" w:rsidRPr="00F60D1F" w:rsidRDefault="00E32882" w:rsidP="00FB3D19">
            <w:pPr>
              <w:ind w:left="0" w:firstLine="360"/>
              <w:rPr>
                <w:rFonts w:cs="Arial"/>
                <w:i/>
                <w:sz w:val="16"/>
                <w:szCs w:val="16"/>
              </w:rPr>
            </w:pPr>
            <w:r w:rsidRPr="00F60D1F">
              <w:rPr>
                <w:rFonts w:cs="Arial"/>
                <w:i/>
                <w:sz w:val="16"/>
                <w:szCs w:val="16"/>
              </w:rPr>
              <w:t>€ 22.000,00</w:t>
            </w:r>
          </w:p>
        </w:tc>
        <w:tc>
          <w:tcPr>
            <w:tcW w:w="2304" w:type="dxa"/>
          </w:tcPr>
          <w:p w:rsidR="00E32882" w:rsidRPr="00F60D1F" w:rsidRDefault="00E32882" w:rsidP="00FB3D19">
            <w:pPr>
              <w:ind w:left="0" w:firstLine="360"/>
              <w:rPr>
                <w:rFonts w:cs="Arial"/>
                <w:i/>
                <w:sz w:val="16"/>
                <w:szCs w:val="16"/>
              </w:rPr>
            </w:pPr>
            <w:r w:rsidRPr="00F60D1F">
              <w:rPr>
                <w:rFonts w:cs="Arial"/>
                <w:i/>
                <w:sz w:val="16"/>
                <w:szCs w:val="16"/>
              </w:rPr>
              <w:t>€ 19.000,00</w:t>
            </w:r>
          </w:p>
        </w:tc>
      </w:tr>
      <w:tr w:rsidR="00FB3D19" w:rsidRPr="00F60D1F" w:rsidTr="00CF664A">
        <w:trPr>
          <w:trHeight w:val="248"/>
        </w:trPr>
        <w:tc>
          <w:tcPr>
            <w:tcW w:w="2303" w:type="dxa"/>
          </w:tcPr>
          <w:p w:rsidR="00FB3D19" w:rsidRPr="00F60D1F" w:rsidRDefault="00FB3D19" w:rsidP="00FB3D19">
            <w:pPr>
              <w:ind w:left="0" w:firstLine="360"/>
              <w:rPr>
                <w:rFonts w:cs="Arial"/>
                <w:i/>
                <w:sz w:val="16"/>
                <w:szCs w:val="16"/>
              </w:rPr>
            </w:pPr>
            <w:r w:rsidRPr="00F60D1F">
              <w:rPr>
                <w:rFonts w:cs="Arial"/>
                <w:i/>
                <w:sz w:val="16"/>
                <w:szCs w:val="16"/>
              </w:rPr>
              <w:t>3</w:t>
            </w:r>
          </w:p>
        </w:tc>
        <w:tc>
          <w:tcPr>
            <w:tcW w:w="2303" w:type="dxa"/>
          </w:tcPr>
          <w:p w:rsidR="00FB3D19" w:rsidRPr="00F60D1F" w:rsidRDefault="00FB3D19" w:rsidP="00FB3D19">
            <w:pPr>
              <w:ind w:left="0" w:firstLine="360"/>
              <w:rPr>
                <w:rFonts w:cs="Arial"/>
                <w:i/>
                <w:sz w:val="16"/>
                <w:szCs w:val="16"/>
              </w:rPr>
            </w:pPr>
            <w:r w:rsidRPr="00F60D1F">
              <w:rPr>
                <w:rFonts w:cs="Arial"/>
                <w:i/>
                <w:sz w:val="16"/>
                <w:szCs w:val="16"/>
              </w:rPr>
              <w:t>€ 13.000,00</w:t>
            </w:r>
          </w:p>
        </w:tc>
        <w:tc>
          <w:tcPr>
            <w:tcW w:w="2303" w:type="dxa"/>
          </w:tcPr>
          <w:p w:rsidR="00FB3D19" w:rsidRPr="00F60D1F" w:rsidRDefault="00FB3D19" w:rsidP="00FB3D19">
            <w:pPr>
              <w:ind w:left="0" w:firstLine="360"/>
              <w:rPr>
                <w:rFonts w:cs="Arial"/>
                <w:i/>
                <w:sz w:val="16"/>
                <w:szCs w:val="16"/>
              </w:rPr>
            </w:pPr>
            <w:r w:rsidRPr="00F60D1F">
              <w:rPr>
                <w:rFonts w:cs="Arial"/>
                <w:i/>
                <w:sz w:val="16"/>
                <w:szCs w:val="16"/>
              </w:rPr>
              <w:t>€ 12.000,00</w:t>
            </w:r>
          </w:p>
        </w:tc>
        <w:tc>
          <w:tcPr>
            <w:tcW w:w="2304" w:type="dxa"/>
          </w:tcPr>
          <w:p w:rsidR="00FB3D19" w:rsidRPr="00F60D1F" w:rsidRDefault="00FB3D19" w:rsidP="00FB3D19">
            <w:pPr>
              <w:ind w:left="0" w:firstLine="360"/>
              <w:rPr>
                <w:rFonts w:cs="Arial"/>
                <w:i/>
                <w:sz w:val="16"/>
                <w:szCs w:val="16"/>
              </w:rPr>
            </w:pPr>
            <w:r w:rsidRPr="00F60D1F">
              <w:rPr>
                <w:rFonts w:cs="Arial"/>
                <w:i/>
                <w:sz w:val="16"/>
                <w:szCs w:val="16"/>
                <w:highlight w:val="green"/>
              </w:rPr>
              <w:t>€ 10.500,00</w:t>
            </w:r>
          </w:p>
        </w:tc>
      </w:tr>
      <w:tr w:rsidR="00FB3D19" w:rsidRPr="00F60D1F" w:rsidTr="00AF7649">
        <w:tc>
          <w:tcPr>
            <w:tcW w:w="2303" w:type="dxa"/>
          </w:tcPr>
          <w:p w:rsidR="00FB3D19" w:rsidRPr="00F60D1F" w:rsidRDefault="00FB3D19" w:rsidP="00FB3D19">
            <w:pPr>
              <w:ind w:left="0" w:firstLine="360"/>
              <w:rPr>
                <w:rFonts w:cs="Arial"/>
                <w:i/>
                <w:sz w:val="16"/>
                <w:szCs w:val="16"/>
              </w:rPr>
            </w:pPr>
            <w:r w:rsidRPr="00F60D1F">
              <w:rPr>
                <w:rFonts w:cs="Arial"/>
                <w:i/>
                <w:sz w:val="16"/>
                <w:szCs w:val="16"/>
              </w:rPr>
              <w:t>Combi perceel 1+2</w:t>
            </w:r>
          </w:p>
        </w:tc>
        <w:tc>
          <w:tcPr>
            <w:tcW w:w="2303" w:type="dxa"/>
          </w:tcPr>
          <w:p w:rsidR="00FB3D19" w:rsidRPr="00F60D1F" w:rsidRDefault="00FB3D19" w:rsidP="00FB3D19">
            <w:pPr>
              <w:ind w:left="0" w:firstLine="360"/>
              <w:rPr>
                <w:rFonts w:cs="Arial"/>
                <w:i/>
                <w:sz w:val="16"/>
                <w:szCs w:val="16"/>
              </w:rPr>
            </w:pPr>
            <w:r w:rsidRPr="00F60D1F">
              <w:rPr>
                <w:rFonts w:cs="Arial"/>
                <w:i/>
                <w:sz w:val="16"/>
                <w:szCs w:val="16"/>
                <w:highlight w:val="green"/>
              </w:rPr>
              <w:t>€ 53.000,00</w:t>
            </w:r>
          </w:p>
        </w:tc>
        <w:tc>
          <w:tcPr>
            <w:tcW w:w="2303" w:type="dxa"/>
          </w:tcPr>
          <w:p w:rsidR="00FB3D19" w:rsidRPr="00F60D1F" w:rsidRDefault="00FB3D19" w:rsidP="00FB3D19">
            <w:pPr>
              <w:ind w:left="0" w:firstLine="360"/>
              <w:rPr>
                <w:rFonts w:cs="Arial"/>
                <w:i/>
                <w:sz w:val="16"/>
                <w:szCs w:val="16"/>
              </w:rPr>
            </w:pPr>
            <w:r w:rsidRPr="00F60D1F">
              <w:rPr>
                <w:rFonts w:cs="Arial"/>
                <w:i/>
                <w:sz w:val="16"/>
                <w:szCs w:val="16"/>
              </w:rPr>
              <w:t>€ 56.000,00</w:t>
            </w:r>
          </w:p>
        </w:tc>
        <w:tc>
          <w:tcPr>
            <w:tcW w:w="2304" w:type="dxa"/>
          </w:tcPr>
          <w:p w:rsidR="00FB3D19" w:rsidRPr="00F60D1F" w:rsidRDefault="00FB3D19" w:rsidP="00FB3D19">
            <w:pPr>
              <w:ind w:left="0" w:firstLine="360"/>
              <w:rPr>
                <w:rFonts w:cs="Arial"/>
                <w:i/>
                <w:sz w:val="16"/>
                <w:szCs w:val="16"/>
              </w:rPr>
            </w:pPr>
            <w:r w:rsidRPr="00F60D1F">
              <w:rPr>
                <w:rFonts w:cs="Arial"/>
                <w:i/>
                <w:sz w:val="16"/>
                <w:szCs w:val="16"/>
              </w:rPr>
              <w:t>€  56.500,00</w:t>
            </w:r>
          </w:p>
        </w:tc>
      </w:tr>
    </w:tbl>
    <w:p w:rsidR="00E32882" w:rsidRPr="00F60D1F" w:rsidRDefault="00E32882" w:rsidP="00E32882">
      <w:pPr>
        <w:ind w:left="0" w:firstLine="360"/>
        <w:rPr>
          <w:rFonts w:cs="Arial"/>
          <w:i/>
        </w:rPr>
      </w:pPr>
    </w:p>
    <w:p w:rsidR="00E32882" w:rsidRPr="00F60D1F" w:rsidRDefault="00E32882" w:rsidP="00FB3D19">
      <w:pPr>
        <w:pStyle w:val="Lijstalinea"/>
        <w:numPr>
          <w:ilvl w:val="0"/>
          <w:numId w:val="12"/>
        </w:numPr>
        <w:rPr>
          <w:i/>
        </w:rPr>
      </w:pPr>
      <w:r w:rsidRPr="00F60D1F">
        <w:rPr>
          <w:i/>
        </w:rPr>
        <w:t>De optelling van de EMVI per perceel bedraagt in dit geval € 35.000,00 (bedrag inschrijver B) + € 19.000 (bedrag inschrijver C) = € 54.000,00.</w:t>
      </w:r>
    </w:p>
    <w:p w:rsidR="00E32882" w:rsidRPr="00F60D1F" w:rsidRDefault="00E32882" w:rsidP="00FB3D19">
      <w:pPr>
        <w:pStyle w:val="Lijstalinea"/>
        <w:numPr>
          <w:ilvl w:val="0"/>
          <w:numId w:val="12"/>
        </w:numPr>
        <w:rPr>
          <w:i/>
        </w:rPr>
      </w:pPr>
      <w:r w:rsidRPr="00F60D1F">
        <w:rPr>
          <w:i/>
        </w:rPr>
        <w:t>De EMVI op basis van de co</w:t>
      </w:r>
      <w:r w:rsidR="00CF664A" w:rsidRPr="00F60D1F">
        <w:rPr>
          <w:i/>
        </w:rPr>
        <w:t>m</w:t>
      </w:r>
      <w:r w:rsidRPr="00F60D1F">
        <w:rPr>
          <w:i/>
        </w:rPr>
        <w:t>bi</w:t>
      </w:r>
      <w:r w:rsidR="00CF664A" w:rsidRPr="00F60D1F">
        <w:rPr>
          <w:i/>
        </w:rPr>
        <w:t xml:space="preserve">natie perceel 1 en 2 bedraagt </w:t>
      </w:r>
      <w:r w:rsidR="00FB3D19" w:rsidRPr="00F60D1F">
        <w:rPr>
          <w:i/>
        </w:rPr>
        <w:t xml:space="preserve">€ </w:t>
      </w:r>
      <w:r w:rsidR="00CF664A" w:rsidRPr="00F60D1F">
        <w:rPr>
          <w:i/>
        </w:rPr>
        <w:t>53.000,00 (</w:t>
      </w:r>
      <w:r w:rsidRPr="00F60D1F">
        <w:rPr>
          <w:i/>
        </w:rPr>
        <w:t>bedrag inschrijver A)</w:t>
      </w:r>
    </w:p>
    <w:p w:rsidR="00FB3D19" w:rsidRPr="00F60D1F" w:rsidRDefault="00E32882" w:rsidP="00FB3D19">
      <w:pPr>
        <w:ind w:left="0"/>
        <w:rPr>
          <w:rFonts w:cs="Arial"/>
          <w:i/>
        </w:rPr>
      </w:pPr>
      <w:r w:rsidRPr="00F60D1F">
        <w:rPr>
          <w:rFonts w:cs="Arial"/>
          <w:i/>
        </w:rPr>
        <w:t xml:space="preserve">In dit geval wordt de opdracht op basis van de EMVI </w:t>
      </w:r>
      <w:r w:rsidR="00CF664A" w:rsidRPr="00F60D1F">
        <w:rPr>
          <w:rFonts w:cs="Arial"/>
          <w:i/>
        </w:rPr>
        <w:t xml:space="preserve">voor de combi van perceel 1 en 2 </w:t>
      </w:r>
      <w:r w:rsidRPr="00F60D1F">
        <w:rPr>
          <w:rFonts w:cs="Arial"/>
          <w:i/>
        </w:rPr>
        <w:t xml:space="preserve"> gegund aan Inschrijver </w:t>
      </w:r>
      <w:r w:rsidR="00CF664A" w:rsidRPr="00F60D1F">
        <w:rPr>
          <w:rFonts w:cs="Arial"/>
          <w:i/>
        </w:rPr>
        <w:t>A</w:t>
      </w:r>
      <w:r w:rsidRPr="00F60D1F">
        <w:rPr>
          <w:rFonts w:cs="Arial"/>
          <w:i/>
        </w:rPr>
        <w:t xml:space="preserve"> voor perceel 1 en Inschrijver C voor perceel 2) </w:t>
      </w:r>
      <w:r w:rsidR="00FB3D19" w:rsidRPr="00F60D1F">
        <w:rPr>
          <w:rFonts w:cs="Arial"/>
          <w:i/>
        </w:rPr>
        <w:t>. Perceel 3 kan niet in combinatie worden aangeboden. Inschrijver C heeft in dit geval de EMVI voor perceel 3 ingediend ( € 10.500,00)</w:t>
      </w:r>
    </w:p>
    <w:p w:rsidR="001217A7" w:rsidRPr="00F60D1F" w:rsidRDefault="001217A7" w:rsidP="00FB3D19">
      <w:pPr>
        <w:ind w:left="0"/>
        <w:rPr>
          <w:rFonts w:cs="Arial"/>
          <w:i/>
        </w:rPr>
      </w:pPr>
    </w:p>
    <w:p w:rsidR="001217A7" w:rsidRPr="00F60D1F" w:rsidRDefault="001217A7" w:rsidP="00FB3D19">
      <w:pPr>
        <w:ind w:left="0"/>
        <w:rPr>
          <w:rFonts w:cs="Arial"/>
          <w:i/>
        </w:rPr>
      </w:pPr>
    </w:p>
    <w:p w:rsidR="001217A7" w:rsidRDefault="001217A7" w:rsidP="00FB3D19">
      <w:pPr>
        <w:ind w:left="0"/>
        <w:rPr>
          <w:rFonts w:cs="Arial"/>
        </w:rPr>
      </w:pPr>
    </w:p>
    <w:p w:rsidR="001217A7" w:rsidRDefault="001217A7" w:rsidP="00FB3D19">
      <w:pPr>
        <w:ind w:left="0"/>
        <w:rPr>
          <w:rFonts w:cs="Arial"/>
        </w:rPr>
      </w:pPr>
    </w:p>
    <w:p w:rsidR="009275D4" w:rsidRDefault="009275D4" w:rsidP="005C7A9F">
      <w:pPr>
        <w:rPr>
          <w:rFonts w:cs="Arial"/>
        </w:rPr>
      </w:pPr>
    </w:p>
    <w:p w:rsidR="005C7A9F" w:rsidRPr="00C81DA7" w:rsidRDefault="005C7A9F" w:rsidP="005C7A9F">
      <w:pPr>
        <w:pStyle w:val="Kop3"/>
      </w:pPr>
      <w:bookmarkStart w:id="65" w:name="_Toc493686461"/>
      <w:r>
        <w:t>Beoordeling</w:t>
      </w:r>
      <w:bookmarkEnd w:id="65"/>
    </w:p>
    <w:p w:rsidR="00B675D0" w:rsidRDefault="00B675D0" w:rsidP="00B675D0">
      <w:pPr>
        <w:ind w:left="0"/>
      </w:pPr>
    </w:p>
    <w:p w:rsidR="00B675D0" w:rsidRPr="00F6792F" w:rsidRDefault="00B675D0" w:rsidP="00B675D0">
      <w:pPr>
        <w:ind w:left="0" w:firstLine="709"/>
      </w:pPr>
      <w:r w:rsidRPr="00F6792F">
        <w:t>In onderstaande tabel vindt u per criterium de wijze van scoren:</w:t>
      </w:r>
    </w:p>
    <w:p w:rsidR="00B675D0" w:rsidRPr="007D23F3" w:rsidRDefault="00B675D0" w:rsidP="00B675D0">
      <w:pPr>
        <w:rPr>
          <w:sz w:val="20"/>
        </w:rPr>
      </w:pPr>
    </w:p>
    <w:tbl>
      <w:tblPr>
        <w:tblW w:w="636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2259"/>
        <w:gridCol w:w="2229"/>
      </w:tblGrid>
      <w:tr w:rsidR="00B675D0" w:rsidRPr="007D23F3" w:rsidTr="00B675D0">
        <w:tc>
          <w:tcPr>
            <w:tcW w:w="1877" w:type="dxa"/>
            <w:shd w:val="clear" w:color="auto" w:fill="auto"/>
          </w:tcPr>
          <w:p w:rsidR="00B675D0" w:rsidRPr="007D23F3" w:rsidRDefault="00B675D0" w:rsidP="000A7D8C">
            <w:pPr>
              <w:ind w:left="0"/>
              <w:rPr>
                <w:b/>
                <w:sz w:val="20"/>
              </w:rPr>
            </w:pPr>
            <w:r w:rsidRPr="007D23F3">
              <w:rPr>
                <w:b/>
                <w:sz w:val="20"/>
              </w:rPr>
              <w:t>Criterium</w:t>
            </w:r>
          </w:p>
        </w:tc>
        <w:tc>
          <w:tcPr>
            <w:tcW w:w="2259" w:type="dxa"/>
          </w:tcPr>
          <w:p w:rsidR="00B675D0" w:rsidRPr="007D23F3" w:rsidRDefault="00B675D0" w:rsidP="00B675D0">
            <w:pPr>
              <w:ind w:left="0"/>
              <w:rPr>
                <w:b/>
                <w:sz w:val="20"/>
              </w:rPr>
            </w:pPr>
            <w:r>
              <w:rPr>
                <w:b/>
                <w:sz w:val="20"/>
              </w:rPr>
              <w:t xml:space="preserve">Maximaal te behalen Kortingspercentage </w:t>
            </w:r>
          </w:p>
        </w:tc>
        <w:tc>
          <w:tcPr>
            <w:tcW w:w="2229" w:type="dxa"/>
            <w:shd w:val="clear" w:color="auto" w:fill="auto"/>
          </w:tcPr>
          <w:p w:rsidR="00B675D0" w:rsidRPr="007D23F3" w:rsidRDefault="00B675D0" w:rsidP="000A7D8C">
            <w:pPr>
              <w:ind w:left="0"/>
              <w:rPr>
                <w:b/>
                <w:sz w:val="20"/>
              </w:rPr>
            </w:pPr>
            <w:r w:rsidRPr="007D23F3">
              <w:rPr>
                <w:b/>
                <w:sz w:val="20"/>
              </w:rPr>
              <w:t>Beoordelaar</w:t>
            </w:r>
          </w:p>
        </w:tc>
      </w:tr>
      <w:tr w:rsidR="00B675D0" w:rsidRPr="007D23F3" w:rsidTr="00B675D0">
        <w:tc>
          <w:tcPr>
            <w:tcW w:w="1877" w:type="dxa"/>
            <w:shd w:val="clear" w:color="auto" w:fill="auto"/>
          </w:tcPr>
          <w:p w:rsidR="00B675D0" w:rsidRPr="00F6792F" w:rsidRDefault="00B675D0" w:rsidP="00B675D0">
            <w:pPr>
              <w:ind w:left="0"/>
            </w:pPr>
            <w:r>
              <w:t>In te zetten brugwachters</w:t>
            </w:r>
          </w:p>
        </w:tc>
        <w:tc>
          <w:tcPr>
            <w:tcW w:w="2259" w:type="dxa"/>
          </w:tcPr>
          <w:p w:rsidR="00B675D0" w:rsidRPr="00F6792F" w:rsidRDefault="00B675D0" w:rsidP="000A7D8C">
            <w:pPr>
              <w:ind w:left="0"/>
            </w:pPr>
            <w:r>
              <w:t>40%</w:t>
            </w:r>
          </w:p>
        </w:tc>
        <w:tc>
          <w:tcPr>
            <w:tcW w:w="2229" w:type="dxa"/>
            <w:shd w:val="clear" w:color="auto" w:fill="auto"/>
          </w:tcPr>
          <w:p w:rsidR="00B675D0" w:rsidRPr="00F6792F" w:rsidRDefault="00B675D0" w:rsidP="000A7D8C">
            <w:pPr>
              <w:ind w:left="0"/>
            </w:pPr>
            <w:r w:rsidRPr="00F6792F">
              <w:t>Beoordelingscommissie</w:t>
            </w:r>
          </w:p>
        </w:tc>
      </w:tr>
      <w:tr w:rsidR="00B675D0" w:rsidRPr="007D23F3" w:rsidTr="00B675D0">
        <w:tc>
          <w:tcPr>
            <w:tcW w:w="1877" w:type="dxa"/>
            <w:shd w:val="clear" w:color="auto" w:fill="auto"/>
          </w:tcPr>
          <w:p w:rsidR="00B675D0" w:rsidRPr="00F6792F" w:rsidRDefault="00B675D0" w:rsidP="000A7D8C">
            <w:pPr>
              <w:ind w:left="0"/>
            </w:pPr>
            <w:r>
              <w:t>Transitie</w:t>
            </w:r>
          </w:p>
        </w:tc>
        <w:tc>
          <w:tcPr>
            <w:tcW w:w="2259" w:type="dxa"/>
          </w:tcPr>
          <w:p w:rsidR="00B675D0" w:rsidRPr="00F6792F" w:rsidRDefault="00B675D0" w:rsidP="000A7D8C">
            <w:pPr>
              <w:ind w:left="0"/>
            </w:pPr>
            <w:r>
              <w:t>20%</w:t>
            </w:r>
          </w:p>
        </w:tc>
        <w:tc>
          <w:tcPr>
            <w:tcW w:w="2229" w:type="dxa"/>
            <w:shd w:val="clear" w:color="auto" w:fill="auto"/>
          </w:tcPr>
          <w:p w:rsidR="00B675D0" w:rsidRPr="00F6792F" w:rsidRDefault="00B675D0" w:rsidP="000A7D8C">
            <w:pPr>
              <w:ind w:left="0"/>
            </w:pPr>
            <w:r w:rsidRPr="00F6792F">
              <w:t>Beoordelingscommissie</w:t>
            </w:r>
          </w:p>
        </w:tc>
      </w:tr>
      <w:tr w:rsidR="00B675D0" w:rsidRPr="007D23F3" w:rsidTr="00B675D0">
        <w:tc>
          <w:tcPr>
            <w:tcW w:w="1877" w:type="dxa"/>
            <w:shd w:val="clear" w:color="auto" w:fill="auto"/>
          </w:tcPr>
          <w:p w:rsidR="00B675D0" w:rsidRPr="00F6792F" w:rsidRDefault="00B675D0" w:rsidP="000A7D8C">
            <w:pPr>
              <w:ind w:left="0"/>
            </w:pPr>
            <w:r w:rsidRPr="00F6792F">
              <w:t>Prijs</w:t>
            </w:r>
          </w:p>
        </w:tc>
        <w:tc>
          <w:tcPr>
            <w:tcW w:w="2259" w:type="dxa"/>
          </w:tcPr>
          <w:p w:rsidR="00B675D0" w:rsidRPr="00F6792F" w:rsidRDefault="00B675D0" w:rsidP="000A7D8C">
            <w:pPr>
              <w:ind w:left="0"/>
            </w:pPr>
            <w:r>
              <w:t>n.v.t</w:t>
            </w:r>
          </w:p>
        </w:tc>
        <w:tc>
          <w:tcPr>
            <w:tcW w:w="2229" w:type="dxa"/>
            <w:shd w:val="clear" w:color="auto" w:fill="auto"/>
          </w:tcPr>
          <w:p w:rsidR="00B675D0" w:rsidRPr="00F6792F" w:rsidRDefault="00B675D0" w:rsidP="000A7D8C">
            <w:pPr>
              <w:ind w:left="0"/>
            </w:pPr>
            <w:r w:rsidRPr="00F6792F">
              <w:t>Tendermanager</w:t>
            </w:r>
          </w:p>
        </w:tc>
      </w:tr>
    </w:tbl>
    <w:p w:rsidR="00B675D0" w:rsidRPr="007D23F3" w:rsidRDefault="00B675D0" w:rsidP="00B675D0">
      <w:pPr>
        <w:rPr>
          <w:sz w:val="20"/>
        </w:rPr>
      </w:pPr>
    </w:p>
    <w:p w:rsidR="00B675D0" w:rsidRPr="00F6792F" w:rsidRDefault="00B675D0" w:rsidP="00B675D0">
      <w:pPr>
        <w:ind w:left="0"/>
      </w:pPr>
      <w:r w:rsidRPr="00F6792F">
        <w:t>De beoordelingscommissie zal bestaan uit drie afgevaardigde van de afdeling</w:t>
      </w:r>
      <w:r w:rsidR="007F03F4">
        <w:t xml:space="preserve"> Verkeersleiding</w:t>
      </w:r>
      <w:r w:rsidRPr="00F6792F">
        <w:t>. Ieder lid van de beoordelingscommissie geeft een beoordeling voor de criteria waarna in consensus één eensluidende score vastgesteld wordt.</w:t>
      </w:r>
      <w:r w:rsidR="00D151FE">
        <w:t xml:space="preserve"> De beoordeling vindt per perceel plaats waarbij bij een inschrijving op de combinatie van perceel 1 en 2 het gemiddelde van de kwalitatieve score per perceel tot het fictieve kortingspercentage leidt. </w:t>
      </w:r>
    </w:p>
    <w:p w:rsidR="00B675D0"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Het maximale kortingspercentage, de beste beoordeling, kan gerealiseerd worden door op alle subcriteria van </w:t>
      </w:r>
      <w:r>
        <w:rPr>
          <w:rFonts w:asciiTheme="minorHAnsi" w:eastAsiaTheme="minorHAnsi" w:hAnsiTheme="minorHAnsi" w:cs="Arial"/>
          <w:color w:val="000000"/>
          <w:sz w:val="20"/>
          <w:lang w:eastAsia="en-US"/>
        </w:rPr>
        <w:t>de gunningscriteria (op een vijf</w:t>
      </w:r>
      <w:r w:rsidRPr="00E1340A">
        <w:rPr>
          <w:rFonts w:asciiTheme="minorHAnsi" w:eastAsiaTheme="minorHAnsi" w:hAnsiTheme="minorHAnsi" w:cs="Arial"/>
          <w:color w:val="000000"/>
          <w:sz w:val="20"/>
          <w:lang w:eastAsia="en-US"/>
        </w:rPr>
        <w:t>puntschaal “</w:t>
      </w:r>
      <w:r>
        <w:rPr>
          <w:rFonts w:asciiTheme="minorHAnsi" w:eastAsiaTheme="minorHAnsi" w:hAnsiTheme="minorHAnsi" w:cs="Arial"/>
          <w:color w:val="000000"/>
          <w:sz w:val="20"/>
          <w:lang w:eastAsia="en-US"/>
        </w:rPr>
        <w:t xml:space="preserve">Slecht, </w:t>
      </w:r>
      <w:r w:rsidRPr="00E1340A">
        <w:rPr>
          <w:rFonts w:asciiTheme="minorHAnsi" w:eastAsiaTheme="minorHAnsi" w:hAnsiTheme="minorHAnsi" w:cs="Arial"/>
          <w:color w:val="000000"/>
          <w:sz w:val="20"/>
          <w:lang w:eastAsia="en-US"/>
        </w:rPr>
        <w:t xml:space="preserve">Onvoldoende, voldoende, goed, uitstekend”) zo hoog mogelijk te scoren. </w:t>
      </w:r>
    </w:p>
    <w:p w:rsidR="00B675D0" w:rsidRPr="00E1340A" w:rsidRDefault="00B675D0" w:rsidP="00B675D0">
      <w:pPr>
        <w:rPr>
          <w:rFonts w:asciiTheme="minorHAnsi" w:eastAsiaTheme="minorHAnsi" w:hAnsiTheme="minorHAnsi" w:cs="Arial"/>
          <w:color w:val="000000"/>
          <w:sz w:val="20"/>
          <w:lang w:eastAsia="en-US"/>
        </w:rPr>
      </w:pPr>
    </w:p>
    <w:p w:rsidR="00B675D0"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Iedere score wordt ten behoeve van een totaal telling op de volgende wijze omgezet naar een fictief kortingspercentage:</w:t>
      </w:r>
    </w:p>
    <w:p w:rsidR="00B675D0" w:rsidRPr="00E1340A"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Slecht </w:t>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t xml:space="preserve">  0% </w:t>
      </w:r>
      <w:r>
        <w:rPr>
          <w:rFonts w:asciiTheme="minorHAnsi" w:eastAsiaTheme="minorHAnsi" w:hAnsiTheme="minorHAnsi" w:cs="Arial"/>
          <w:color w:val="000000"/>
          <w:sz w:val="20"/>
          <w:lang w:eastAsia="en-US"/>
        </w:rPr>
        <w:t xml:space="preserve">van de te behalen </w:t>
      </w:r>
      <w:r w:rsidRPr="00E1340A">
        <w:rPr>
          <w:rFonts w:asciiTheme="minorHAnsi" w:eastAsiaTheme="minorHAnsi" w:hAnsiTheme="minorHAnsi" w:cs="Arial"/>
          <w:color w:val="000000"/>
          <w:sz w:val="20"/>
          <w:lang w:eastAsia="en-US"/>
        </w:rPr>
        <w:t>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Onvoldoende: score</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1</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Voldoende: score </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4</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Goed: score </w:t>
      </w:r>
      <w:r w:rsidRPr="00E1340A">
        <w:rPr>
          <w:rFonts w:asciiTheme="minorHAnsi" w:eastAsiaTheme="minorHAnsi" w:hAnsiTheme="minorHAnsi" w:cs="Arial"/>
          <w:color w:val="000000"/>
          <w:sz w:val="20"/>
          <w:lang w:eastAsia="en-US"/>
        </w:rPr>
        <w:tab/>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7</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Uitstekend: score </w:t>
      </w:r>
      <w:r w:rsidRPr="00E1340A">
        <w:rPr>
          <w:rFonts w:asciiTheme="minorHAnsi" w:eastAsiaTheme="minorHAnsi" w:hAnsiTheme="minorHAnsi" w:cs="Arial"/>
          <w:color w:val="000000"/>
          <w:sz w:val="20"/>
          <w:lang w:eastAsia="en-US"/>
        </w:rPr>
        <w:tab/>
      </w:r>
      <w:r>
        <w:rPr>
          <w:rFonts w:asciiTheme="minorHAnsi" w:eastAsiaTheme="minorHAnsi" w:hAnsiTheme="minorHAnsi" w:cs="Arial"/>
          <w:color w:val="000000"/>
          <w:sz w:val="20"/>
          <w:lang w:eastAsia="en-US"/>
        </w:rPr>
        <w:t>10</w:t>
      </w:r>
      <w:r w:rsidRPr="00B675D0">
        <w:rPr>
          <w:rFonts w:asciiTheme="minorHAnsi" w:eastAsiaTheme="minorHAnsi" w:hAnsiTheme="minorHAnsi" w:cs="Arial"/>
          <w:color w:val="000000"/>
          <w:sz w:val="20"/>
          <w:lang w:eastAsia="en-US"/>
        </w:rPr>
        <w:t>0% van de te behalen fictieve korting</w:t>
      </w:r>
    </w:p>
    <w:p w:rsidR="00B675D0" w:rsidRPr="00E1340A" w:rsidRDefault="00B675D0" w:rsidP="00B675D0">
      <w:pPr>
        <w:rPr>
          <w:rFonts w:asciiTheme="minorHAnsi" w:eastAsiaTheme="minorHAnsi" w:hAnsiTheme="minorHAnsi" w:cs="Arial"/>
          <w:color w:val="000000"/>
          <w:sz w:val="20"/>
          <w:lang w:eastAsia="en-US"/>
        </w:rPr>
      </w:pPr>
    </w:p>
    <w:p w:rsidR="00B675D0"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De inschrijvingen worden gerangschikt op basis van de evaluatieprijzen (van laag naar hoog). De economisch meest voordelige aanbieding is de aanbieding met de laagste evaluatieprijs</w:t>
      </w:r>
    </w:p>
    <w:p w:rsidR="00B675D0"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i/>
          <w:color w:val="000000"/>
          <w:sz w:val="20"/>
          <w:lang w:eastAsia="en-US"/>
        </w:rPr>
      </w:pPr>
      <w:r w:rsidRPr="00E1340A">
        <w:rPr>
          <w:rFonts w:asciiTheme="minorHAnsi" w:eastAsiaTheme="minorHAnsi" w:hAnsiTheme="minorHAnsi" w:cs="Arial"/>
          <w:i/>
          <w:color w:val="000000"/>
          <w:sz w:val="20"/>
          <w:lang w:eastAsia="en-US"/>
        </w:rPr>
        <w:t>Stap 1: Schriftelijke beoordeling</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Score van de individuele leden van de beoordelingscommissie wordt op basis van de beoordeling van de verschillende documenten en digitale omgeving apart uitgevoerd. Ieder lid van de beoordelingscommissie geeft na bestudering van de verschillende documenten (plan van aanpak en bestelomgeving) zijn/haar individuele score. Om de consensus te bereiken over de eindscore worden de individuele beoordelingen van de leden van de beoordelingscommissie met elkaar besproken; dit kan leiden tot bijstelling van de score van de individuele leden. </w:t>
      </w:r>
    </w:p>
    <w:p w:rsidR="00B675D0" w:rsidRPr="00E1340A" w:rsidRDefault="00B675D0" w:rsidP="00B675D0">
      <w:pPr>
        <w:ind w:left="0"/>
        <w:rPr>
          <w:rFonts w:asciiTheme="minorHAnsi" w:eastAsiaTheme="minorHAnsi" w:hAnsiTheme="minorHAnsi" w:cs="Arial"/>
          <w:color w:val="000000"/>
          <w:sz w:val="20"/>
          <w:lang w:eastAsia="en-US"/>
        </w:rPr>
      </w:pPr>
    </w:p>
    <w:p w:rsidR="00B675D0" w:rsidRPr="00E1340A" w:rsidRDefault="00B675D0" w:rsidP="00B675D0">
      <w:pPr>
        <w:ind w:left="0"/>
        <w:rPr>
          <w:rFonts w:asciiTheme="minorHAnsi" w:eastAsiaTheme="minorHAnsi" w:hAnsiTheme="minorHAnsi" w:cs="Arial"/>
          <w:i/>
          <w:color w:val="000000"/>
          <w:sz w:val="20"/>
          <w:lang w:eastAsia="en-US"/>
        </w:rPr>
      </w:pPr>
      <w:r w:rsidRPr="00E1340A">
        <w:rPr>
          <w:rFonts w:asciiTheme="minorHAnsi" w:eastAsiaTheme="minorHAnsi" w:hAnsiTheme="minorHAnsi" w:cs="Arial"/>
          <w:i/>
          <w:color w:val="000000"/>
          <w:sz w:val="20"/>
          <w:lang w:eastAsia="en-US"/>
        </w:rPr>
        <w:t>Stap 2; Bepalen inschrijver met de beste prijs:kwaliteit verhouding</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Het maximaal te behalen fictieve kortingspercentage bedraagt 40% te behalen over de benoemde twee </w:t>
      </w:r>
      <w:r>
        <w:rPr>
          <w:rFonts w:asciiTheme="minorHAnsi" w:eastAsiaTheme="minorHAnsi" w:hAnsiTheme="minorHAnsi" w:cs="Arial"/>
          <w:color w:val="000000"/>
          <w:sz w:val="20"/>
          <w:lang w:eastAsia="en-US"/>
        </w:rPr>
        <w:t xml:space="preserve">kwalitatieve </w:t>
      </w:r>
      <w:r w:rsidRPr="00E1340A">
        <w:rPr>
          <w:rFonts w:asciiTheme="minorHAnsi" w:eastAsiaTheme="minorHAnsi" w:hAnsiTheme="minorHAnsi" w:cs="Arial"/>
          <w:color w:val="000000"/>
          <w:sz w:val="20"/>
          <w:lang w:eastAsia="en-US"/>
        </w:rPr>
        <w:t xml:space="preserve">gunningscriteria. </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lastRenderedPageBreak/>
        <w:t xml:space="preserve">De scores per criteria worden vermenigvuldigd met het bij dat criteria vermelde wegingspercentage. Daarna worden de behaalde kortingspercentages per onderdeel bij elkaar opgeteld om tot een totaal kortingspercentage te komen. </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De evaluatieprijs wordt bepaald door de inschrijfsom te vermenigvuldigd met het totaal behaalde kortingspercentage.</w:t>
      </w:r>
    </w:p>
    <w:p w:rsidR="00B675D0" w:rsidRPr="00E1340A" w:rsidRDefault="00B675D0" w:rsidP="00B675D0">
      <w:pPr>
        <w:ind w:left="0"/>
        <w:rPr>
          <w:rFonts w:asciiTheme="minorHAnsi" w:eastAsiaTheme="minorHAnsi" w:hAnsiTheme="minorHAnsi" w:cs="Arial"/>
          <w:color w:val="000000"/>
          <w:sz w:val="20"/>
          <w:lang w:eastAsia="en-US"/>
        </w:rPr>
      </w:pPr>
      <w:r w:rsidRPr="00E1340A">
        <w:rPr>
          <w:rFonts w:asciiTheme="minorHAnsi" w:eastAsiaTheme="minorHAnsi" w:hAnsiTheme="minorHAnsi" w:cs="Arial"/>
          <w:color w:val="000000"/>
          <w:sz w:val="20"/>
          <w:lang w:eastAsia="en-US"/>
        </w:rPr>
        <w:t xml:space="preserve">De inschrijvingen worden gerangschikt op basis van de evaluatieprijzen (van laag naar hoog). De economisch meest voordelige aanbieding is de aanbieding met de laagste evaluatieprijs. </w:t>
      </w:r>
    </w:p>
    <w:p w:rsidR="00B675D0" w:rsidRPr="00E1340A" w:rsidRDefault="00B675D0" w:rsidP="00B675D0">
      <w:pPr>
        <w:ind w:left="0"/>
        <w:rPr>
          <w:rFonts w:asciiTheme="minorHAnsi" w:eastAsiaTheme="minorHAnsi" w:hAnsiTheme="minorHAnsi" w:cs="Arial"/>
          <w:color w:val="000000"/>
          <w:sz w:val="20"/>
          <w:lang w:eastAsia="en-US"/>
        </w:rPr>
      </w:pPr>
    </w:p>
    <w:p w:rsidR="00B675D0" w:rsidRPr="007D23F3" w:rsidRDefault="00B675D0" w:rsidP="00B675D0">
      <w:pPr>
        <w:rPr>
          <w:sz w:val="16"/>
          <w:szCs w:val="16"/>
        </w:rPr>
      </w:pPr>
      <w:r w:rsidRPr="007D23F3">
        <w:rPr>
          <w:sz w:val="16"/>
          <w:szCs w:val="16"/>
        </w:rPr>
        <w:t xml:space="preserve">Onderstaand is een </w:t>
      </w:r>
      <w:r w:rsidRPr="007F59DC">
        <w:rPr>
          <w:sz w:val="16"/>
          <w:szCs w:val="16"/>
          <w:u w:val="single"/>
        </w:rPr>
        <w:t>fictief</w:t>
      </w:r>
      <w:r w:rsidRPr="007D23F3">
        <w:rPr>
          <w:sz w:val="16"/>
          <w:szCs w:val="16"/>
        </w:rPr>
        <w:t xml:space="preserve"> voorbeeld van de wijze van beoordelen opgenomen.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6"/>
        <w:gridCol w:w="2039"/>
        <w:gridCol w:w="2232"/>
        <w:gridCol w:w="981"/>
      </w:tblGrid>
      <w:tr w:rsidR="00B675D0" w:rsidRPr="007D23F3" w:rsidTr="000A7D8C">
        <w:tc>
          <w:tcPr>
            <w:tcW w:w="0" w:type="auto"/>
            <w:tcBorders>
              <w:bottom w:val="single" w:sz="4" w:space="0" w:color="000000"/>
            </w:tcBorders>
            <w:shd w:val="clear" w:color="auto" w:fill="auto"/>
          </w:tcPr>
          <w:p w:rsidR="00B675D0" w:rsidRPr="00F60D1F" w:rsidRDefault="00B675D0" w:rsidP="000A7D8C">
            <w:pPr>
              <w:ind w:left="0"/>
              <w:rPr>
                <w:b/>
                <w:i/>
                <w:sz w:val="16"/>
                <w:szCs w:val="16"/>
              </w:rPr>
            </w:pPr>
            <w:r w:rsidRPr="00F60D1F">
              <w:rPr>
                <w:b/>
                <w:i/>
                <w:sz w:val="16"/>
                <w:szCs w:val="16"/>
              </w:rPr>
              <w:t>onderdeel</w:t>
            </w:r>
          </w:p>
        </w:tc>
        <w:tc>
          <w:tcPr>
            <w:tcW w:w="0" w:type="auto"/>
            <w:tcBorders>
              <w:bottom w:val="single" w:sz="4" w:space="0" w:color="000000"/>
            </w:tcBorders>
            <w:shd w:val="clear" w:color="auto" w:fill="auto"/>
          </w:tcPr>
          <w:p w:rsidR="00B675D0" w:rsidRPr="00F60D1F" w:rsidRDefault="00B675D0" w:rsidP="000A7D8C">
            <w:pPr>
              <w:ind w:left="0"/>
              <w:rPr>
                <w:b/>
                <w:i/>
                <w:sz w:val="16"/>
                <w:szCs w:val="16"/>
              </w:rPr>
            </w:pPr>
            <w:r w:rsidRPr="00F60D1F">
              <w:rPr>
                <w:b/>
                <w:i/>
                <w:sz w:val="16"/>
                <w:szCs w:val="16"/>
              </w:rPr>
              <w:t>Totaal score consensus</w:t>
            </w:r>
          </w:p>
        </w:tc>
        <w:tc>
          <w:tcPr>
            <w:tcW w:w="0" w:type="auto"/>
            <w:tcBorders>
              <w:bottom w:val="single" w:sz="4" w:space="0" w:color="000000"/>
            </w:tcBorders>
            <w:shd w:val="clear" w:color="auto" w:fill="auto"/>
          </w:tcPr>
          <w:p w:rsidR="00B675D0" w:rsidRPr="00F60D1F" w:rsidRDefault="00B675D0" w:rsidP="000A7D8C">
            <w:pPr>
              <w:ind w:left="0"/>
              <w:rPr>
                <w:b/>
                <w:i/>
                <w:sz w:val="16"/>
                <w:szCs w:val="16"/>
              </w:rPr>
            </w:pPr>
            <w:r w:rsidRPr="00F60D1F">
              <w:rPr>
                <w:b/>
                <w:i/>
                <w:sz w:val="16"/>
                <w:szCs w:val="16"/>
              </w:rPr>
              <w:t>Kortingspercentage</w:t>
            </w:r>
          </w:p>
        </w:tc>
        <w:tc>
          <w:tcPr>
            <w:tcW w:w="0" w:type="auto"/>
            <w:tcBorders>
              <w:bottom w:val="single" w:sz="4" w:space="0" w:color="000000"/>
            </w:tcBorders>
            <w:shd w:val="clear" w:color="auto" w:fill="auto"/>
          </w:tcPr>
          <w:p w:rsidR="00B675D0" w:rsidRPr="00F60D1F" w:rsidRDefault="00B675D0" w:rsidP="000A7D8C">
            <w:pPr>
              <w:ind w:left="0"/>
              <w:rPr>
                <w:b/>
                <w:i/>
                <w:sz w:val="16"/>
                <w:szCs w:val="16"/>
              </w:rPr>
            </w:pPr>
            <w:r w:rsidRPr="00F60D1F">
              <w:rPr>
                <w:b/>
                <w:i/>
                <w:sz w:val="16"/>
                <w:szCs w:val="16"/>
              </w:rPr>
              <w:t>korting</w:t>
            </w:r>
          </w:p>
        </w:tc>
      </w:tr>
      <w:tr w:rsidR="00B675D0" w:rsidRPr="007D23F3" w:rsidTr="000A7D8C">
        <w:tc>
          <w:tcPr>
            <w:tcW w:w="0" w:type="auto"/>
            <w:tcBorders>
              <w:bottom w:val="nil"/>
            </w:tcBorders>
            <w:shd w:val="clear" w:color="auto" w:fill="auto"/>
          </w:tcPr>
          <w:p w:rsidR="00B675D0" w:rsidRPr="00F60D1F" w:rsidRDefault="00B675D0" w:rsidP="00B675D0">
            <w:pPr>
              <w:ind w:left="0"/>
              <w:rPr>
                <w:i/>
                <w:sz w:val="16"/>
                <w:szCs w:val="16"/>
              </w:rPr>
            </w:pPr>
            <w:r w:rsidRPr="00F60D1F">
              <w:rPr>
                <w:i/>
                <w:sz w:val="16"/>
                <w:szCs w:val="16"/>
              </w:rPr>
              <w:t>In te zetten brugwachters</w:t>
            </w:r>
          </w:p>
          <w:p w:rsidR="003456E9" w:rsidRPr="00F60D1F" w:rsidRDefault="003456E9" w:rsidP="00B675D0">
            <w:pPr>
              <w:ind w:left="0"/>
              <w:rPr>
                <w:i/>
                <w:sz w:val="16"/>
                <w:szCs w:val="16"/>
              </w:rPr>
            </w:pPr>
          </w:p>
        </w:tc>
        <w:tc>
          <w:tcPr>
            <w:tcW w:w="0" w:type="auto"/>
            <w:tcBorders>
              <w:bottom w:val="nil"/>
            </w:tcBorders>
            <w:shd w:val="clear" w:color="auto" w:fill="auto"/>
          </w:tcPr>
          <w:p w:rsidR="00B675D0" w:rsidRPr="00F60D1F" w:rsidRDefault="00B675D0" w:rsidP="000A7D8C">
            <w:pPr>
              <w:ind w:left="0"/>
              <w:rPr>
                <w:i/>
                <w:sz w:val="16"/>
                <w:szCs w:val="16"/>
              </w:rPr>
            </w:pPr>
            <w:r w:rsidRPr="00F60D1F">
              <w:rPr>
                <w:i/>
                <w:sz w:val="16"/>
                <w:szCs w:val="16"/>
              </w:rPr>
              <w:t>Voldoende (40%)</w:t>
            </w:r>
          </w:p>
        </w:tc>
        <w:tc>
          <w:tcPr>
            <w:tcW w:w="0" w:type="auto"/>
            <w:tcBorders>
              <w:bottom w:val="nil"/>
            </w:tcBorders>
            <w:shd w:val="clear" w:color="auto" w:fill="auto"/>
          </w:tcPr>
          <w:p w:rsidR="00B675D0" w:rsidRPr="00F60D1F" w:rsidRDefault="00B675D0" w:rsidP="000A7D8C">
            <w:pPr>
              <w:ind w:left="0"/>
              <w:rPr>
                <w:i/>
                <w:sz w:val="16"/>
                <w:szCs w:val="16"/>
              </w:rPr>
            </w:pPr>
            <w:r w:rsidRPr="00F60D1F">
              <w:rPr>
                <w:i/>
                <w:sz w:val="16"/>
                <w:szCs w:val="16"/>
              </w:rPr>
              <w:t>40*40%</w:t>
            </w:r>
          </w:p>
        </w:tc>
        <w:tc>
          <w:tcPr>
            <w:tcW w:w="0" w:type="auto"/>
            <w:tcBorders>
              <w:bottom w:val="nil"/>
            </w:tcBorders>
            <w:shd w:val="clear" w:color="auto" w:fill="auto"/>
          </w:tcPr>
          <w:p w:rsidR="00B675D0" w:rsidRPr="00F60D1F" w:rsidRDefault="00B675D0" w:rsidP="000A7D8C">
            <w:pPr>
              <w:ind w:left="0"/>
              <w:rPr>
                <w:i/>
                <w:sz w:val="16"/>
                <w:szCs w:val="16"/>
              </w:rPr>
            </w:pPr>
            <w:r w:rsidRPr="00F60D1F">
              <w:rPr>
                <w:i/>
                <w:sz w:val="16"/>
                <w:szCs w:val="16"/>
              </w:rPr>
              <w:t>16%</w:t>
            </w:r>
          </w:p>
        </w:tc>
      </w:tr>
      <w:tr w:rsidR="00B675D0" w:rsidRPr="007D23F3" w:rsidTr="000A7D8C">
        <w:tc>
          <w:tcPr>
            <w:tcW w:w="0" w:type="auto"/>
            <w:tcBorders>
              <w:top w:val="nil"/>
              <w:bottom w:val="nil"/>
            </w:tcBorders>
            <w:shd w:val="clear" w:color="auto" w:fill="auto"/>
          </w:tcPr>
          <w:p w:rsidR="00B675D0" w:rsidRPr="00F60D1F" w:rsidRDefault="00B675D0" w:rsidP="000A7D8C">
            <w:pPr>
              <w:ind w:left="0"/>
              <w:rPr>
                <w:i/>
                <w:sz w:val="16"/>
                <w:szCs w:val="16"/>
              </w:rPr>
            </w:pPr>
            <w:r w:rsidRPr="00F60D1F">
              <w:rPr>
                <w:i/>
                <w:sz w:val="16"/>
                <w:szCs w:val="16"/>
              </w:rPr>
              <w:t>Transitie</w:t>
            </w:r>
          </w:p>
        </w:tc>
        <w:tc>
          <w:tcPr>
            <w:tcW w:w="0" w:type="auto"/>
            <w:tcBorders>
              <w:top w:val="nil"/>
              <w:bottom w:val="nil"/>
            </w:tcBorders>
            <w:shd w:val="clear" w:color="auto" w:fill="auto"/>
          </w:tcPr>
          <w:p w:rsidR="00B675D0" w:rsidRPr="00F60D1F" w:rsidRDefault="00B675D0" w:rsidP="000A7D8C">
            <w:pPr>
              <w:ind w:left="0"/>
              <w:rPr>
                <w:i/>
                <w:sz w:val="16"/>
                <w:szCs w:val="16"/>
              </w:rPr>
            </w:pPr>
            <w:r w:rsidRPr="00F60D1F">
              <w:rPr>
                <w:i/>
                <w:sz w:val="16"/>
                <w:szCs w:val="16"/>
              </w:rPr>
              <w:t>Goed (70%)</w:t>
            </w:r>
          </w:p>
        </w:tc>
        <w:tc>
          <w:tcPr>
            <w:tcW w:w="0" w:type="auto"/>
            <w:tcBorders>
              <w:top w:val="nil"/>
              <w:bottom w:val="nil"/>
            </w:tcBorders>
            <w:shd w:val="clear" w:color="auto" w:fill="auto"/>
          </w:tcPr>
          <w:p w:rsidR="00B675D0" w:rsidRPr="00F60D1F" w:rsidRDefault="00B675D0" w:rsidP="000A7D8C">
            <w:pPr>
              <w:ind w:left="0"/>
              <w:rPr>
                <w:i/>
                <w:sz w:val="16"/>
                <w:szCs w:val="16"/>
              </w:rPr>
            </w:pPr>
            <w:r w:rsidRPr="00F60D1F">
              <w:rPr>
                <w:i/>
                <w:sz w:val="16"/>
                <w:szCs w:val="16"/>
              </w:rPr>
              <w:t>70*20%</w:t>
            </w:r>
          </w:p>
        </w:tc>
        <w:tc>
          <w:tcPr>
            <w:tcW w:w="0" w:type="auto"/>
            <w:tcBorders>
              <w:top w:val="nil"/>
              <w:bottom w:val="nil"/>
            </w:tcBorders>
            <w:shd w:val="clear" w:color="auto" w:fill="auto"/>
          </w:tcPr>
          <w:p w:rsidR="00B675D0" w:rsidRPr="00F60D1F" w:rsidRDefault="00B675D0" w:rsidP="000A7D8C">
            <w:pPr>
              <w:ind w:left="0"/>
              <w:rPr>
                <w:i/>
                <w:sz w:val="16"/>
                <w:szCs w:val="16"/>
              </w:rPr>
            </w:pPr>
            <w:r w:rsidRPr="00F60D1F">
              <w:rPr>
                <w:i/>
                <w:sz w:val="16"/>
                <w:szCs w:val="16"/>
              </w:rPr>
              <w:t>14%</w:t>
            </w:r>
          </w:p>
        </w:tc>
      </w:tr>
      <w:tr w:rsidR="00B675D0" w:rsidRPr="007D23F3" w:rsidTr="000A7D8C">
        <w:tc>
          <w:tcPr>
            <w:tcW w:w="0" w:type="auto"/>
            <w:shd w:val="clear" w:color="auto" w:fill="auto"/>
          </w:tcPr>
          <w:p w:rsidR="00B675D0" w:rsidRPr="00F60D1F" w:rsidRDefault="00B675D0" w:rsidP="000A7D8C">
            <w:pPr>
              <w:ind w:left="0"/>
              <w:rPr>
                <w:i/>
                <w:sz w:val="16"/>
                <w:szCs w:val="16"/>
              </w:rPr>
            </w:pPr>
            <w:r w:rsidRPr="00F60D1F">
              <w:rPr>
                <w:i/>
                <w:sz w:val="16"/>
                <w:szCs w:val="16"/>
              </w:rPr>
              <w:t>Totaal kortingspercentage</w:t>
            </w:r>
          </w:p>
        </w:tc>
        <w:tc>
          <w:tcPr>
            <w:tcW w:w="0" w:type="auto"/>
            <w:shd w:val="clear" w:color="auto" w:fill="auto"/>
          </w:tcPr>
          <w:p w:rsidR="00B675D0" w:rsidRPr="00F60D1F" w:rsidRDefault="00B675D0" w:rsidP="000A7D8C">
            <w:pPr>
              <w:ind w:left="0"/>
              <w:rPr>
                <w:i/>
                <w:sz w:val="16"/>
                <w:szCs w:val="16"/>
              </w:rPr>
            </w:pPr>
          </w:p>
        </w:tc>
        <w:tc>
          <w:tcPr>
            <w:tcW w:w="0" w:type="auto"/>
            <w:shd w:val="clear" w:color="auto" w:fill="auto"/>
          </w:tcPr>
          <w:p w:rsidR="00B675D0" w:rsidRPr="00F60D1F" w:rsidRDefault="00B675D0" w:rsidP="000A7D8C">
            <w:pPr>
              <w:ind w:left="0"/>
              <w:rPr>
                <w:i/>
                <w:sz w:val="16"/>
                <w:szCs w:val="16"/>
              </w:rPr>
            </w:pPr>
          </w:p>
        </w:tc>
        <w:tc>
          <w:tcPr>
            <w:tcW w:w="0" w:type="auto"/>
            <w:shd w:val="clear" w:color="auto" w:fill="auto"/>
          </w:tcPr>
          <w:p w:rsidR="00B675D0" w:rsidRPr="00F60D1F" w:rsidRDefault="00B675D0" w:rsidP="000A7D8C">
            <w:pPr>
              <w:ind w:left="0"/>
              <w:rPr>
                <w:i/>
                <w:sz w:val="16"/>
                <w:szCs w:val="16"/>
              </w:rPr>
            </w:pPr>
            <w:r w:rsidRPr="00F60D1F">
              <w:rPr>
                <w:i/>
                <w:sz w:val="16"/>
                <w:szCs w:val="16"/>
              </w:rPr>
              <w:t>30%</w:t>
            </w:r>
          </w:p>
        </w:tc>
      </w:tr>
      <w:tr w:rsidR="00B675D0" w:rsidRPr="00675BA1" w:rsidTr="000A7D8C">
        <w:tc>
          <w:tcPr>
            <w:tcW w:w="0" w:type="auto"/>
            <w:shd w:val="clear" w:color="auto" w:fill="auto"/>
          </w:tcPr>
          <w:p w:rsidR="00B675D0" w:rsidRPr="00F60D1F" w:rsidRDefault="00B675D0" w:rsidP="000A7D8C">
            <w:pPr>
              <w:ind w:left="0"/>
              <w:rPr>
                <w:b/>
                <w:i/>
                <w:sz w:val="16"/>
                <w:szCs w:val="16"/>
              </w:rPr>
            </w:pPr>
            <w:r w:rsidRPr="00F60D1F">
              <w:rPr>
                <w:b/>
                <w:i/>
                <w:sz w:val="16"/>
                <w:szCs w:val="16"/>
              </w:rPr>
              <w:t>Totaal evaluatieprijs</w:t>
            </w:r>
          </w:p>
        </w:tc>
        <w:tc>
          <w:tcPr>
            <w:tcW w:w="0" w:type="auto"/>
            <w:shd w:val="clear" w:color="auto" w:fill="auto"/>
          </w:tcPr>
          <w:p w:rsidR="00B675D0" w:rsidRPr="00F60D1F" w:rsidRDefault="00B675D0" w:rsidP="000A7D8C">
            <w:pPr>
              <w:ind w:left="0"/>
              <w:rPr>
                <w:b/>
                <w:i/>
                <w:sz w:val="16"/>
                <w:szCs w:val="16"/>
              </w:rPr>
            </w:pPr>
          </w:p>
        </w:tc>
        <w:tc>
          <w:tcPr>
            <w:tcW w:w="0" w:type="auto"/>
            <w:gridSpan w:val="2"/>
            <w:shd w:val="clear" w:color="auto" w:fill="auto"/>
          </w:tcPr>
          <w:p w:rsidR="00B675D0" w:rsidRPr="00F60D1F" w:rsidRDefault="00B675D0" w:rsidP="00B675D0">
            <w:pPr>
              <w:ind w:left="0"/>
              <w:rPr>
                <w:b/>
                <w:i/>
                <w:sz w:val="16"/>
                <w:szCs w:val="16"/>
              </w:rPr>
            </w:pPr>
            <w:r w:rsidRPr="00F60D1F">
              <w:rPr>
                <w:b/>
                <w:i/>
                <w:sz w:val="16"/>
                <w:szCs w:val="16"/>
              </w:rPr>
              <w:t>Inschrijfsom minus (Inschrijfsom *30%)</w:t>
            </w:r>
          </w:p>
        </w:tc>
      </w:tr>
    </w:tbl>
    <w:p w:rsidR="00B675D0" w:rsidRDefault="00B675D0" w:rsidP="00B675D0">
      <w:pPr>
        <w:rPr>
          <w:rFonts w:cs="Arial"/>
        </w:rPr>
      </w:pPr>
    </w:p>
    <w:p w:rsidR="00B675D0" w:rsidRDefault="00B675D0" w:rsidP="00B675D0"/>
    <w:p w:rsidR="00B675D0" w:rsidRDefault="00B675D0" w:rsidP="00B675D0">
      <w:pPr>
        <w:rPr>
          <w:rFonts w:cs="Arial"/>
        </w:rPr>
      </w:pPr>
    </w:p>
    <w:p w:rsidR="005C7A9F" w:rsidRDefault="005C7A9F" w:rsidP="00F36F26">
      <w:pPr>
        <w:rPr>
          <w:b/>
          <w:kern w:val="28"/>
          <w:sz w:val="24"/>
        </w:rPr>
      </w:pPr>
      <w:r>
        <w:br w:type="page"/>
      </w:r>
    </w:p>
    <w:p w:rsidR="006566FE" w:rsidRDefault="00F152F1" w:rsidP="007515F3">
      <w:pPr>
        <w:pStyle w:val="Kop1"/>
        <w:tabs>
          <w:tab w:val="clear" w:pos="432"/>
        </w:tabs>
        <w:ind w:left="851" w:hanging="851"/>
      </w:pPr>
      <w:bookmarkStart w:id="66" w:name="_Toc493686462"/>
      <w:r>
        <w:lastRenderedPageBreak/>
        <w:t>Bijlagen aanbestedingsleidraad</w:t>
      </w:r>
      <w:bookmarkEnd w:id="66"/>
      <w:r>
        <w:t xml:space="preserve"> </w:t>
      </w:r>
    </w:p>
    <w:p w:rsidR="00BF3F8D" w:rsidRDefault="00BF3F8D" w:rsidP="00BF3F8D">
      <w:pPr>
        <w:rPr>
          <w:b/>
          <w:bCs/>
        </w:rPr>
      </w:pPr>
      <w:bookmarkStart w:id="67" w:name="_Toc287360078"/>
      <w:r>
        <w:rPr>
          <w:rFonts w:eastAsia="Arial Unicode MS" w:cs="Arial Unicode MS"/>
          <w:b/>
          <w:bCs/>
        </w:rPr>
        <w:t xml:space="preserve">Bijlage 1: Format vragenlijst </w:t>
      </w:r>
    </w:p>
    <w:p w:rsidR="00BF3F8D" w:rsidRDefault="00BF3F8D" w:rsidP="00BF3F8D">
      <w:r>
        <w:rPr>
          <w:rFonts w:eastAsia="Arial Unicode MS" w:cs="Arial Unicode MS"/>
        </w:rPr>
        <w:t>Apart in bewerkbaar format bijgevoegd</w:t>
      </w:r>
    </w:p>
    <w:p w:rsidR="00BF3F8D" w:rsidRDefault="00BF3F8D" w:rsidP="00BF3F8D"/>
    <w:p w:rsidR="00BF3F8D" w:rsidRDefault="00BF3F8D" w:rsidP="00BF3F8D">
      <w:pPr>
        <w:rPr>
          <w:b/>
          <w:bCs/>
        </w:rPr>
      </w:pPr>
      <w:r>
        <w:rPr>
          <w:rFonts w:eastAsia="Arial Unicode MS" w:cs="Arial Unicode MS"/>
          <w:b/>
          <w:bCs/>
        </w:rPr>
        <w:t xml:space="preserve">Bijlage 2: Format verslag van individuele inlichtingen </w:t>
      </w:r>
    </w:p>
    <w:p w:rsidR="00BF3F8D" w:rsidRDefault="00BF3F8D" w:rsidP="00BF3F8D">
      <w:r>
        <w:rPr>
          <w:rFonts w:eastAsia="Arial Unicode MS" w:cs="Arial Unicode MS"/>
        </w:rPr>
        <w:t>Apart in bewerkbaar format bijgevoegd</w:t>
      </w:r>
    </w:p>
    <w:p w:rsidR="00BF3F8D" w:rsidRDefault="00BF3F8D" w:rsidP="00BF3F8D"/>
    <w:p w:rsidR="00BF3F8D" w:rsidRDefault="00BF3F8D" w:rsidP="00BF3F8D">
      <w:pPr>
        <w:rPr>
          <w:rFonts w:eastAsia="Arial Unicode MS" w:cs="Arial Unicode MS"/>
          <w:b/>
          <w:bCs/>
        </w:rPr>
      </w:pPr>
      <w:r>
        <w:rPr>
          <w:rFonts w:eastAsia="Arial Unicode MS" w:cs="Arial Unicode MS"/>
          <w:b/>
          <w:bCs/>
        </w:rPr>
        <w:t xml:space="preserve">Bijlage 3: </w:t>
      </w:r>
      <w:r w:rsidR="0027045A">
        <w:rPr>
          <w:rFonts w:eastAsia="Arial Unicode MS" w:cs="Arial Unicode MS"/>
          <w:b/>
          <w:bCs/>
        </w:rPr>
        <w:t>Referentieformulier standaard</w:t>
      </w:r>
    </w:p>
    <w:p w:rsidR="00750F5A" w:rsidRDefault="00750F5A" w:rsidP="00BF3F8D"/>
    <w:p w:rsidR="00750F5A" w:rsidRDefault="00750F5A" w:rsidP="00750F5A">
      <w:pPr>
        <w:rPr>
          <w:b/>
          <w:bCs/>
        </w:rPr>
      </w:pPr>
      <w:r>
        <w:rPr>
          <w:rFonts w:eastAsia="Arial Unicode MS" w:cs="Arial Unicode MS"/>
          <w:b/>
          <w:bCs/>
        </w:rPr>
        <w:t xml:space="preserve">Bijlage 4: </w:t>
      </w:r>
      <w:r w:rsidR="0027045A">
        <w:rPr>
          <w:rFonts w:eastAsia="Arial Unicode MS" w:cs="Arial Unicode MS"/>
          <w:b/>
          <w:bCs/>
        </w:rPr>
        <w:t>Inschrijvingsformulier</w:t>
      </w:r>
    </w:p>
    <w:p w:rsidR="00750F5A" w:rsidRDefault="00750F5A" w:rsidP="00750F5A">
      <w:r>
        <w:rPr>
          <w:rFonts w:eastAsia="Arial Unicode MS" w:cs="Arial Unicode MS"/>
        </w:rPr>
        <w:t xml:space="preserve">Apart in bewerkbaar format bijgevoegd </w:t>
      </w:r>
    </w:p>
    <w:p w:rsidR="00BF3F8D" w:rsidRDefault="00BF3F8D" w:rsidP="00BF3F8D">
      <w:pPr>
        <w:rPr>
          <w:rFonts w:eastAsia="Arial Unicode MS" w:cs="Arial Unicode MS"/>
          <w:b/>
          <w:bCs/>
        </w:rPr>
      </w:pPr>
    </w:p>
    <w:p w:rsidR="00BF3F8D" w:rsidRPr="0027045A" w:rsidRDefault="00BF3F8D" w:rsidP="00BF3F8D">
      <w:pPr>
        <w:rPr>
          <w:bCs/>
        </w:rPr>
      </w:pPr>
      <w:r>
        <w:rPr>
          <w:rFonts w:eastAsia="Arial Unicode MS" w:cs="Arial Unicode MS"/>
          <w:b/>
          <w:bCs/>
        </w:rPr>
        <w:t xml:space="preserve">Bijlage </w:t>
      </w:r>
      <w:r w:rsidR="00750F5A">
        <w:rPr>
          <w:rFonts w:eastAsia="Arial Unicode MS" w:cs="Arial Unicode MS"/>
          <w:b/>
          <w:bCs/>
        </w:rPr>
        <w:t>5</w:t>
      </w:r>
      <w:r>
        <w:rPr>
          <w:rFonts w:eastAsia="Arial Unicode MS" w:cs="Arial Unicode MS"/>
          <w:b/>
          <w:bCs/>
        </w:rPr>
        <w:t xml:space="preserve">: </w:t>
      </w:r>
      <w:r w:rsidR="0027045A">
        <w:rPr>
          <w:rFonts w:eastAsia="Arial Unicode MS" w:cs="Arial Unicode MS"/>
          <w:b/>
          <w:bCs/>
        </w:rPr>
        <w:t xml:space="preserve">Format aanbiedingsbegroting </w:t>
      </w:r>
      <w:r w:rsidR="0027045A">
        <w:rPr>
          <w:rFonts w:eastAsia="Arial Unicode MS" w:cs="Arial Unicode MS"/>
          <w:bCs/>
        </w:rPr>
        <w:t>(indien van toepassing)</w:t>
      </w:r>
    </w:p>
    <w:p w:rsidR="00BF3F8D" w:rsidRDefault="00BF3F8D" w:rsidP="00BF3F8D">
      <w:pPr>
        <w:rPr>
          <w:rFonts w:eastAsia="Arial Unicode MS" w:cs="Arial Unicode MS"/>
        </w:rPr>
      </w:pPr>
      <w:r>
        <w:rPr>
          <w:rFonts w:eastAsia="Arial Unicode MS" w:cs="Arial Unicode MS"/>
        </w:rPr>
        <w:t xml:space="preserve">Apart in bewerkbaar format bijgevoegd </w:t>
      </w:r>
    </w:p>
    <w:p w:rsidR="00BF3F8D" w:rsidRDefault="00BF3F8D" w:rsidP="00BF3F8D"/>
    <w:p w:rsidR="00F36F26" w:rsidRDefault="00F36F26" w:rsidP="00F36F26"/>
    <w:p w:rsidR="004F027E" w:rsidRPr="00D3067C" w:rsidRDefault="004F027E" w:rsidP="004F027E"/>
    <w:p w:rsidR="004F027E" w:rsidRPr="00F06888" w:rsidRDefault="004F027E" w:rsidP="004F027E">
      <w:pPr>
        <w:rPr>
          <w:b/>
        </w:rPr>
      </w:pPr>
    </w:p>
    <w:bookmarkEnd w:id="67"/>
    <w:p w:rsidR="0097258D" w:rsidRDefault="0097258D" w:rsidP="00AF08C9">
      <w:pPr>
        <w:overflowPunct/>
        <w:autoSpaceDE/>
        <w:autoSpaceDN/>
        <w:adjustRightInd/>
        <w:spacing w:line="240" w:lineRule="auto"/>
        <w:ind w:left="0"/>
        <w:textAlignment w:val="auto"/>
        <w:rPr>
          <w:sz w:val="20"/>
        </w:rPr>
      </w:pPr>
    </w:p>
    <w:sectPr w:rsidR="0097258D" w:rsidSect="0070196A">
      <w:headerReference w:type="default" r:id="rId8"/>
      <w:footerReference w:type="even" r:id="rId9"/>
      <w:footerReference w:type="default" r:id="rId10"/>
      <w:headerReference w:type="first" r:id="rId11"/>
      <w:footerReference w:type="first" r:id="rId12"/>
      <w:type w:val="oddPage"/>
      <w:pgSz w:w="11907" w:h="16840" w:code="9"/>
      <w:pgMar w:top="1417" w:right="1417" w:bottom="1134" w:left="1417" w:header="624"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58" w:rsidRDefault="00312A58">
      <w:r>
        <w:separator/>
      </w:r>
    </w:p>
  </w:endnote>
  <w:endnote w:type="continuationSeparator" w:id="0">
    <w:p w:rsidR="00312A58" w:rsidRDefault="0031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NS Sans">
    <w:panose1 w:val="02000400000000000000"/>
    <w:charset w:val="00"/>
    <w:family w:val="auto"/>
    <w:pitch w:val="variable"/>
    <w:sig w:usb0="800000A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58" w:rsidRDefault="00312A5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rsidR="00312A58" w:rsidRDefault="00312A5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58" w:rsidRDefault="00312A58" w:rsidP="0070196A">
    <w:pPr>
      <w:pStyle w:val="Voettekst"/>
      <w:jc w:val="right"/>
      <w:rPr>
        <w:i/>
        <w:sz w:val="16"/>
      </w:rPr>
    </w:pPr>
  </w:p>
  <w:p w:rsidR="00312A58" w:rsidRDefault="00312A58" w:rsidP="0070196A">
    <w:pPr>
      <w:pStyle w:val="Voettekst"/>
      <w:jc w:val="right"/>
    </w:pPr>
    <w:r>
      <w:rPr>
        <w:i/>
        <w:sz w:val="16"/>
      </w:rPr>
      <w:t xml:space="preserve">Leidraad openbare aanbesteding                                                                                                                              </w:t>
    </w:r>
    <w:r w:rsidRPr="0070196A">
      <w:t xml:space="preserve"> </w:t>
    </w:r>
    <w:sdt>
      <w:sdtPr>
        <w:id w:val="956068646"/>
        <w:docPartObj>
          <w:docPartGallery w:val="Page Numbers (Bottom of Page)"/>
          <w:docPartUnique/>
        </w:docPartObj>
      </w:sdtPr>
      <w:sdtContent>
        <w:r>
          <w:fldChar w:fldCharType="begin"/>
        </w:r>
        <w:r>
          <w:instrText>PAGE   \* MERGEFORMAT</w:instrText>
        </w:r>
        <w:r>
          <w:fldChar w:fldCharType="separate"/>
        </w:r>
        <w:r w:rsidR="00504A83">
          <w:rPr>
            <w:noProof/>
          </w:rPr>
          <w:t>13</w:t>
        </w:r>
        <w:r>
          <w:fldChar w:fldCharType="end"/>
        </w:r>
      </w:sdtContent>
    </w:sdt>
  </w:p>
  <w:p w:rsidR="00312A58" w:rsidRPr="0070196A" w:rsidRDefault="00312A58" w:rsidP="006B214E">
    <w:pPr>
      <w:pStyle w:val="Voettekst"/>
      <w:spacing w:line="180" w:lineRule="exact"/>
      <w:ind w:left="0" w:right="357"/>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58" w:rsidRPr="00B40952" w:rsidRDefault="00312A58" w:rsidP="006B214E">
    <w:pPr>
      <w:pStyle w:val="Voettekst"/>
      <w:rPr>
        <w:color w:val="808080"/>
        <w:sz w:val="16"/>
      </w:rPr>
    </w:pPr>
    <w:r>
      <w:rPr>
        <w:color w:val="808080"/>
        <w:sz w:val="16"/>
      </w:rPr>
      <w:tab/>
    </w:r>
    <w:r>
      <w:rPr>
        <w:color w:val="808080"/>
        <w:sz w:val="16"/>
      </w:rPr>
      <w:tab/>
    </w:r>
  </w:p>
  <w:p w:rsidR="00312A58" w:rsidRDefault="00312A58" w:rsidP="006B214E">
    <w:pPr>
      <w:pStyle w:val="Voettekst"/>
    </w:pPr>
  </w:p>
  <w:p w:rsidR="00312A58" w:rsidRDefault="00312A58">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58" w:rsidRDefault="00312A58">
      <w:r>
        <w:separator/>
      </w:r>
    </w:p>
  </w:footnote>
  <w:footnote w:type="continuationSeparator" w:id="0">
    <w:p w:rsidR="00312A58" w:rsidRDefault="0031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58" w:rsidRDefault="00312A58">
    <w:pPr>
      <w:pStyle w:val="Koptekst"/>
      <w:spacing w:line="220" w:lineRule="exact"/>
      <w:ind w:left="-284"/>
      <w:rPr>
        <w:lang w:val="en-GB"/>
      </w:rPr>
    </w:pPr>
    <w:r>
      <w:rPr>
        <w:lang w:val="en-GB"/>
      </w:rPr>
      <w:tab/>
    </w:r>
  </w:p>
  <w:p w:rsidR="00312A58" w:rsidRDefault="00312A58" w:rsidP="003A7643">
    <w:pPr>
      <w:pStyle w:val="Koptekst"/>
      <w:tabs>
        <w:tab w:val="clear" w:pos="4536"/>
        <w:tab w:val="clear" w:pos="9072"/>
        <w:tab w:val="left" w:pos="2415"/>
      </w:tabs>
      <w:spacing w:line="220" w:lineRule="exact"/>
      <w:ind w:left="-284"/>
    </w:pPr>
    <w:r>
      <w:tab/>
    </w:r>
  </w:p>
  <w:p w:rsidR="00312A58" w:rsidRPr="00485B86" w:rsidRDefault="00312A58"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rsidR="00312A58" w:rsidRPr="00134137" w:rsidRDefault="00312A58" w:rsidP="00633C9D">
    <w:pPr>
      <w:pStyle w:val="Koptekst"/>
      <w:tabs>
        <w:tab w:val="clear" w:pos="4536"/>
        <w:tab w:val="clear" w:pos="9072"/>
        <w:tab w:val="left" w:pos="3600"/>
      </w:tabs>
      <w:spacing w:line="1640" w:lineRule="exact"/>
      <w:ind w:left="-284"/>
      <w:rPr>
        <w:rFonts w:ascii="Times New Roman" w:hAnsi="Times New Roman"/>
        <w:sz w:val="28"/>
        <w:szCs w:val="28"/>
      </w:rPr>
    </w:pPr>
    <w:r>
      <w:rPr>
        <w:noProof/>
      </w:rPr>
      <w:drawing>
        <wp:inline distT="0" distB="0" distL="0" distR="0" wp14:anchorId="1AAE24D1" wp14:editId="25C71309">
          <wp:extent cx="1333500" cy="857250"/>
          <wp:effectExtent l="0" t="0" r="0" b="0"/>
          <wp:docPr id="1" name="Afbeelding 1"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57250"/>
                  </a:xfrm>
                  <a:prstGeom prst="rect">
                    <a:avLst/>
                  </a:prstGeom>
                  <a:noFill/>
                  <a:ln>
                    <a:noFill/>
                  </a:ln>
                </pic:spPr>
              </pic:pic>
            </a:graphicData>
          </a:graphic>
        </wp:inline>
      </w:drawing>
    </w:r>
  </w:p>
  <w:p w:rsidR="00312A58" w:rsidRDefault="00312A58" w:rsidP="003A7643">
    <w:pPr>
      <w:pStyle w:val="Koptekst"/>
      <w:tabs>
        <w:tab w:val="clear" w:pos="4536"/>
        <w:tab w:val="clear" w:pos="9072"/>
        <w:tab w:val="left" w:pos="2415"/>
      </w:tabs>
      <w:spacing w:line="220" w:lineRule="exact"/>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A58" w:rsidRDefault="00312A58" w:rsidP="006B214E">
    <w:pPr>
      <w:pStyle w:val="Koptekst"/>
      <w:spacing w:line="1640" w:lineRule="exact"/>
      <w:ind w:left="28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F4F"/>
    <w:multiLevelType w:val="hybridMultilevel"/>
    <w:tmpl w:val="A8F445B4"/>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0E5205FE"/>
    <w:multiLevelType w:val="multilevel"/>
    <w:tmpl w:val="1D94F7E6"/>
    <w:styleLink w:val="Gemporteerdestijl1"/>
    <w:lvl w:ilvl="0">
      <w:start w:val="1"/>
      <w:numFmt w:val="decimal"/>
      <w:lvlText w:val="%1."/>
      <w:lvlJc w:val="left"/>
      <w:pPr>
        <w:tabs>
          <w:tab w:val="num" w:pos="508"/>
        </w:tabs>
        <w:ind w:left="642" w:hanging="64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717"/>
        </w:tabs>
        <w:ind w:left="851" w:hanging="851"/>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861"/>
        </w:tabs>
        <w:ind w:left="995" w:hanging="99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2.%3.%4.%5.%6.%7."/>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2.%3.%4.%5.%6.%7.%8."/>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2.%3.%4.%5.%6.%7.%8.%9."/>
      <w:lvlJc w:val="left"/>
      <w:pPr>
        <w:tabs>
          <w:tab w:val="num" w:pos="992"/>
        </w:tabs>
        <w:ind w:left="1126" w:hanging="11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777568A"/>
    <w:multiLevelType w:val="hybridMultilevel"/>
    <w:tmpl w:val="5A12F7F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 w15:restartNumberingAfterBreak="0">
    <w:nsid w:val="249F126D"/>
    <w:multiLevelType w:val="hybridMultilevel"/>
    <w:tmpl w:val="362C9A2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E67253"/>
    <w:multiLevelType w:val="hybridMultilevel"/>
    <w:tmpl w:val="3EFA83B0"/>
    <w:styleLink w:val="Gemporteerdestijl3"/>
    <w:lvl w:ilvl="0" w:tplc="8E98BFB6">
      <w:start w:val="1"/>
      <w:numFmt w:val="bullet"/>
      <w:lvlText w:val="•"/>
      <w:lvlJc w:val="left"/>
      <w:pPr>
        <w:ind w:left="121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E04857E">
      <w:start w:val="1"/>
      <w:numFmt w:val="bullet"/>
      <w:lvlText w:val="o"/>
      <w:lvlJc w:val="left"/>
      <w:pPr>
        <w:ind w:left="19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3923086">
      <w:start w:val="1"/>
      <w:numFmt w:val="bullet"/>
      <w:lvlText w:val="▪"/>
      <w:lvlJc w:val="left"/>
      <w:pPr>
        <w:ind w:left="26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DC8B5B6">
      <w:start w:val="1"/>
      <w:numFmt w:val="bullet"/>
      <w:lvlText w:val="•"/>
      <w:lvlJc w:val="left"/>
      <w:pPr>
        <w:ind w:left="33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A927116">
      <w:start w:val="1"/>
      <w:numFmt w:val="bullet"/>
      <w:lvlText w:val="o"/>
      <w:lvlJc w:val="left"/>
      <w:pPr>
        <w:ind w:left="40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726183C">
      <w:start w:val="1"/>
      <w:numFmt w:val="bullet"/>
      <w:lvlText w:val="▪"/>
      <w:lvlJc w:val="left"/>
      <w:pPr>
        <w:ind w:left="48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A9CE80E">
      <w:start w:val="1"/>
      <w:numFmt w:val="bullet"/>
      <w:lvlText w:val="•"/>
      <w:lvlJc w:val="left"/>
      <w:pPr>
        <w:ind w:left="55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344341E">
      <w:start w:val="1"/>
      <w:numFmt w:val="bullet"/>
      <w:lvlText w:val="o"/>
      <w:lvlJc w:val="left"/>
      <w:pPr>
        <w:ind w:left="62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D02D6AE">
      <w:start w:val="1"/>
      <w:numFmt w:val="bullet"/>
      <w:lvlText w:val="▪"/>
      <w:lvlJc w:val="left"/>
      <w:pPr>
        <w:ind w:left="69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2B87223E"/>
    <w:multiLevelType w:val="hybridMultilevel"/>
    <w:tmpl w:val="67EAF9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754CD3"/>
    <w:multiLevelType w:val="hybridMultilevel"/>
    <w:tmpl w:val="F96C441E"/>
    <w:lvl w:ilvl="0" w:tplc="04130001">
      <w:start w:val="1"/>
      <w:numFmt w:val="bullet"/>
      <w:lvlText w:val=""/>
      <w:lvlJc w:val="left"/>
      <w:pPr>
        <w:ind w:left="1571"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D542D3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D89630">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F4A231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8D09C4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EAE2626">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07EDED0">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FA23CE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C1E9416">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5B7E43A2"/>
    <w:multiLevelType w:val="hybridMultilevel"/>
    <w:tmpl w:val="AC7CB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BA01E0"/>
    <w:multiLevelType w:val="hybridMultilevel"/>
    <w:tmpl w:val="29DC6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E76410"/>
    <w:multiLevelType w:val="hybridMultilevel"/>
    <w:tmpl w:val="13FAB84A"/>
    <w:styleLink w:val="Gemporteerdestijl2"/>
    <w:lvl w:ilvl="0" w:tplc="98B2846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4E67812">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E727BFC">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3385600">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3521ABC">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700502C">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AC20638">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1E223F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032CE32">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68841B7"/>
    <w:multiLevelType w:val="hybridMultilevel"/>
    <w:tmpl w:val="7F6248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553759"/>
    <w:multiLevelType w:val="hybridMultilevel"/>
    <w:tmpl w:val="2EBA05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pStyle w:val="Lijstmetafbeeldingen"/>
      <w:lvlText w:val=""/>
      <w:lvlJc w:val="left"/>
      <w:pPr>
        <w:tabs>
          <w:tab w:val="num" w:pos="1440"/>
        </w:tabs>
        <w:ind w:left="1440" w:hanging="360"/>
      </w:pPr>
      <w:rPr>
        <w:rFonts w:ascii="Symbol" w:hAnsi="Symbol" w:hint="default"/>
      </w:rPr>
    </w:lvl>
    <w:lvl w:ilvl="2" w:tplc="04130005">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56375D"/>
    <w:multiLevelType w:val="multilevel"/>
    <w:tmpl w:val="B8669A5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717"/>
        </w:tabs>
        <w:ind w:left="717"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3" w15:restartNumberingAfterBreak="0">
    <w:nsid w:val="769B576C"/>
    <w:multiLevelType w:val="hybridMultilevel"/>
    <w:tmpl w:val="4426FAFA"/>
    <w:lvl w:ilvl="0" w:tplc="04130001">
      <w:start w:val="1"/>
      <w:numFmt w:val="bullet"/>
      <w:lvlText w:val=""/>
      <w:lvlJc w:val="left"/>
      <w:pPr>
        <w:ind w:left="1571"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D542D3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D89630">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F4A231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8D09C4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EAE2626">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07EDED0">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FA23CEA">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C1E9416">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786330AB"/>
    <w:multiLevelType w:val="hybridMultilevel"/>
    <w:tmpl w:val="9F5AEA2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5" w15:restartNumberingAfterBreak="0">
    <w:nsid w:val="7D8B19D3"/>
    <w:multiLevelType w:val="hybridMultilevel"/>
    <w:tmpl w:val="E264A8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9"/>
  </w:num>
  <w:num w:numId="5">
    <w:abstractNumId w:val="4"/>
  </w:num>
  <w:num w:numId="6">
    <w:abstractNumId w:val="14"/>
  </w:num>
  <w:num w:numId="7">
    <w:abstractNumId w:val="0"/>
  </w:num>
  <w:num w:numId="8">
    <w:abstractNumId w:val="6"/>
  </w:num>
  <w:num w:numId="9">
    <w:abstractNumId w:val="13"/>
  </w:num>
  <w:num w:numId="10">
    <w:abstractNumId w:val="5"/>
  </w:num>
  <w:num w:numId="11">
    <w:abstractNumId w:val="2"/>
  </w:num>
  <w:num w:numId="12">
    <w:abstractNumId w:val="8"/>
  </w:num>
  <w:num w:numId="13">
    <w:abstractNumId w:val="10"/>
  </w:num>
  <w:num w:numId="14">
    <w:abstractNumId w:val="3"/>
  </w:num>
  <w:num w:numId="15">
    <w:abstractNumId w:val="15"/>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18433">
      <v:stroke endarrow="classic" endarrowlength="short"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yWizard" w:val="Blanco|7|"/>
  </w:docVars>
  <w:rsids>
    <w:rsidRoot w:val="006671D6"/>
    <w:rsid w:val="00007B89"/>
    <w:rsid w:val="00007FB9"/>
    <w:rsid w:val="00010BBA"/>
    <w:rsid w:val="000114A6"/>
    <w:rsid w:val="0002108A"/>
    <w:rsid w:val="00023160"/>
    <w:rsid w:val="00023289"/>
    <w:rsid w:val="0002592F"/>
    <w:rsid w:val="00027951"/>
    <w:rsid w:val="00030E9A"/>
    <w:rsid w:val="000320B2"/>
    <w:rsid w:val="00032C71"/>
    <w:rsid w:val="0004423D"/>
    <w:rsid w:val="00050194"/>
    <w:rsid w:val="000501A4"/>
    <w:rsid w:val="000551D3"/>
    <w:rsid w:val="000552B5"/>
    <w:rsid w:val="0005685E"/>
    <w:rsid w:val="00061E89"/>
    <w:rsid w:val="00065631"/>
    <w:rsid w:val="00082864"/>
    <w:rsid w:val="000848D3"/>
    <w:rsid w:val="00095E4B"/>
    <w:rsid w:val="000A06DA"/>
    <w:rsid w:val="000A212F"/>
    <w:rsid w:val="000A3918"/>
    <w:rsid w:val="000A64B8"/>
    <w:rsid w:val="000A7D8C"/>
    <w:rsid w:val="000B349A"/>
    <w:rsid w:val="000C0A7C"/>
    <w:rsid w:val="000C37A0"/>
    <w:rsid w:val="000C4560"/>
    <w:rsid w:val="000C74DE"/>
    <w:rsid w:val="000C7DC3"/>
    <w:rsid w:val="000D407B"/>
    <w:rsid w:val="000E6BA6"/>
    <w:rsid w:val="000E6E60"/>
    <w:rsid w:val="000F2C1B"/>
    <w:rsid w:val="000F4A2E"/>
    <w:rsid w:val="0010387B"/>
    <w:rsid w:val="001103CF"/>
    <w:rsid w:val="00120371"/>
    <w:rsid w:val="001217A7"/>
    <w:rsid w:val="00122EF1"/>
    <w:rsid w:val="00124F38"/>
    <w:rsid w:val="00133852"/>
    <w:rsid w:val="0013589F"/>
    <w:rsid w:val="00135933"/>
    <w:rsid w:val="001370E8"/>
    <w:rsid w:val="001376AB"/>
    <w:rsid w:val="00142DDE"/>
    <w:rsid w:val="00143689"/>
    <w:rsid w:val="00144C4D"/>
    <w:rsid w:val="00145815"/>
    <w:rsid w:val="0015011A"/>
    <w:rsid w:val="001578A8"/>
    <w:rsid w:val="00160B09"/>
    <w:rsid w:val="001612BE"/>
    <w:rsid w:val="00162D5F"/>
    <w:rsid w:val="00163956"/>
    <w:rsid w:val="00174665"/>
    <w:rsid w:val="001777FC"/>
    <w:rsid w:val="00177AE2"/>
    <w:rsid w:val="00186B85"/>
    <w:rsid w:val="00186EAB"/>
    <w:rsid w:val="001934B9"/>
    <w:rsid w:val="00194B2D"/>
    <w:rsid w:val="0019533F"/>
    <w:rsid w:val="001A0B4F"/>
    <w:rsid w:val="001A1A4B"/>
    <w:rsid w:val="001A35E1"/>
    <w:rsid w:val="001A4C2D"/>
    <w:rsid w:val="001A72E8"/>
    <w:rsid w:val="001B223A"/>
    <w:rsid w:val="001D797A"/>
    <w:rsid w:val="001E4DC2"/>
    <w:rsid w:val="001E7919"/>
    <w:rsid w:val="001F2CC0"/>
    <w:rsid w:val="001F5356"/>
    <w:rsid w:val="00206A4C"/>
    <w:rsid w:val="00215B8F"/>
    <w:rsid w:val="00220762"/>
    <w:rsid w:val="00226330"/>
    <w:rsid w:val="00232251"/>
    <w:rsid w:val="002328BD"/>
    <w:rsid w:val="00237B4F"/>
    <w:rsid w:val="0024255E"/>
    <w:rsid w:val="00244E0E"/>
    <w:rsid w:val="00250B12"/>
    <w:rsid w:val="00251A0D"/>
    <w:rsid w:val="002610A8"/>
    <w:rsid w:val="0026308D"/>
    <w:rsid w:val="002630C2"/>
    <w:rsid w:val="002666B4"/>
    <w:rsid w:val="0026720B"/>
    <w:rsid w:val="0027045A"/>
    <w:rsid w:val="00270589"/>
    <w:rsid w:val="00271E11"/>
    <w:rsid w:val="0028682F"/>
    <w:rsid w:val="00287AF6"/>
    <w:rsid w:val="002A3DD4"/>
    <w:rsid w:val="002A7235"/>
    <w:rsid w:val="002B6066"/>
    <w:rsid w:val="002C09DF"/>
    <w:rsid w:val="002C3587"/>
    <w:rsid w:val="002C4BE7"/>
    <w:rsid w:val="002C59FF"/>
    <w:rsid w:val="002C626E"/>
    <w:rsid w:val="002D26DE"/>
    <w:rsid w:val="002D34AA"/>
    <w:rsid w:val="002D6644"/>
    <w:rsid w:val="002E03A6"/>
    <w:rsid w:val="002E193E"/>
    <w:rsid w:val="002E69EB"/>
    <w:rsid w:val="002F36F9"/>
    <w:rsid w:val="002F4149"/>
    <w:rsid w:val="002F7C69"/>
    <w:rsid w:val="0031114B"/>
    <w:rsid w:val="00312A58"/>
    <w:rsid w:val="003178D2"/>
    <w:rsid w:val="00321712"/>
    <w:rsid w:val="0032692C"/>
    <w:rsid w:val="00326ED0"/>
    <w:rsid w:val="003274E2"/>
    <w:rsid w:val="0033552B"/>
    <w:rsid w:val="003414B8"/>
    <w:rsid w:val="003421B6"/>
    <w:rsid w:val="003430E8"/>
    <w:rsid w:val="003456E9"/>
    <w:rsid w:val="0035260A"/>
    <w:rsid w:val="00352896"/>
    <w:rsid w:val="0035296F"/>
    <w:rsid w:val="00353506"/>
    <w:rsid w:val="00361FBF"/>
    <w:rsid w:val="00363F72"/>
    <w:rsid w:val="003647BA"/>
    <w:rsid w:val="00367F2C"/>
    <w:rsid w:val="00380393"/>
    <w:rsid w:val="00390824"/>
    <w:rsid w:val="003927A7"/>
    <w:rsid w:val="003954E8"/>
    <w:rsid w:val="003A090F"/>
    <w:rsid w:val="003A14FA"/>
    <w:rsid w:val="003A7643"/>
    <w:rsid w:val="003B0F3A"/>
    <w:rsid w:val="003C1C72"/>
    <w:rsid w:val="003C7B62"/>
    <w:rsid w:val="003D0B2B"/>
    <w:rsid w:val="003D2CA8"/>
    <w:rsid w:val="003D4715"/>
    <w:rsid w:val="003D569D"/>
    <w:rsid w:val="003E7A83"/>
    <w:rsid w:val="003F172A"/>
    <w:rsid w:val="004017BA"/>
    <w:rsid w:val="00403180"/>
    <w:rsid w:val="0040515F"/>
    <w:rsid w:val="00412E04"/>
    <w:rsid w:val="00414D7F"/>
    <w:rsid w:val="00416338"/>
    <w:rsid w:val="0043201C"/>
    <w:rsid w:val="00433162"/>
    <w:rsid w:val="004359AF"/>
    <w:rsid w:val="00441317"/>
    <w:rsid w:val="00447211"/>
    <w:rsid w:val="004533E0"/>
    <w:rsid w:val="004550AD"/>
    <w:rsid w:val="004555F0"/>
    <w:rsid w:val="00463F68"/>
    <w:rsid w:val="00464F00"/>
    <w:rsid w:val="00470905"/>
    <w:rsid w:val="00473697"/>
    <w:rsid w:val="00473A3A"/>
    <w:rsid w:val="00481784"/>
    <w:rsid w:val="00485B86"/>
    <w:rsid w:val="00487A7E"/>
    <w:rsid w:val="004926C3"/>
    <w:rsid w:val="00496F33"/>
    <w:rsid w:val="004A2601"/>
    <w:rsid w:val="004A454A"/>
    <w:rsid w:val="004A4690"/>
    <w:rsid w:val="004A57A9"/>
    <w:rsid w:val="004B0ECE"/>
    <w:rsid w:val="004B5284"/>
    <w:rsid w:val="004B5775"/>
    <w:rsid w:val="004C037A"/>
    <w:rsid w:val="004C2553"/>
    <w:rsid w:val="004C505C"/>
    <w:rsid w:val="004D2AC1"/>
    <w:rsid w:val="004D6B4E"/>
    <w:rsid w:val="004D780D"/>
    <w:rsid w:val="004E073D"/>
    <w:rsid w:val="004E0ADF"/>
    <w:rsid w:val="004E37ED"/>
    <w:rsid w:val="004E3C52"/>
    <w:rsid w:val="004E668F"/>
    <w:rsid w:val="004E7643"/>
    <w:rsid w:val="004E790B"/>
    <w:rsid w:val="004F027E"/>
    <w:rsid w:val="004F1167"/>
    <w:rsid w:val="004F1DD7"/>
    <w:rsid w:val="004F7C7E"/>
    <w:rsid w:val="00504A83"/>
    <w:rsid w:val="00505026"/>
    <w:rsid w:val="00506573"/>
    <w:rsid w:val="00506FDC"/>
    <w:rsid w:val="005102C1"/>
    <w:rsid w:val="005139D5"/>
    <w:rsid w:val="0051769B"/>
    <w:rsid w:val="00521DED"/>
    <w:rsid w:val="00524CCE"/>
    <w:rsid w:val="005438FB"/>
    <w:rsid w:val="00543985"/>
    <w:rsid w:val="00552843"/>
    <w:rsid w:val="0055778A"/>
    <w:rsid w:val="00562A37"/>
    <w:rsid w:val="005662AC"/>
    <w:rsid w:val="005754C8"/>
    <w:rsid w:val="00576B3C"/>
    <w:rsid w:val="00580C64"/>
    <w:rsid w:val="00580D99"/>
    <w:rsid w:val="00581D78"/>
    <w:rsid w:val="005840BC"/>
    <w:rsid w:val="00585B5D"/>
    <w:rsid w:val="00585B72"/>
    <w:rsid w:val="005906C7"/>
    <w:rsid w:val="00597C18"/>
    <w:rsid w:val="005A1CDC"/>
    <w:rsid w:val="005A2378"/>
    <w:rsid w:val="005A2EFD"/>
    <w:rsid w:val="005A7E16"/>
    <w:rsid w:val="005B59D5"/>
    <w:rsid w:val="005B5B17"/>
    <w:rsid w:val="005B712E"/>
    <w:rsid w:val="005C43A6"/>
    <w:rsid w:val="005C7A9F"/>
    <w:rsid w:val="005D12A7"/>
    <w:rsid w:val="005E192F"/>
    <w:rsid w:val="005E422D"/>
    <w:rsid w:val="005E6F38"/>
    <w:rsid w:val="005F251D"/>
    <w:rsid w:val="005F26D7"/>
    <w:rsid w:val="005F499C"/>
    <w:rsid w:val="00603627"/>
    <w:rsid w:val="00603823"/>
    <w:rsid w:val="00613A60"/>
    <w:rsid w:val="00615038"/>
    <w:rsid w:val="00616707"/>
    <w:rsid w:val="00617B07"/>
    <w:rsid w:val="006211EC"/>
    <w:rsid w:val="006304C4"/>
    <w:rsid w:val="00632F01"/>
    <w:rsid w:val="00633C3E"/>
    <w:rsid w:val="00633C9D"/>
    <w:rsid w:val="006416E5"/>
    <w:rsid w:val="00645A72"/>
    <w:rsid w:val="00645B0A"/>
    <w:rsid w:val="0064696F"/>
    <w:rsid w:val="0065370C"/>
    <w:rsid w:val="00653BB2"/>
    <w:rsid w:val="0065537A"/>
    <w:rsid w:val="006566FE"/>
    <w:rsid w:val="00657D62"/>
    <w:rsid w:val="00662648"/>
    <w:rsid w:val="006633FA"/>
    <w:rsid w:val="00665FD3"/>
    <w:rsid w:val="006671D6"/>
    <w:rsid w:val="0067040B"/>
    <w:rsid w:val="0067326C"/>
    <w:rsid w:val="00675C0A"/>
    <w:rsid w:val="00677FCA"/>
    <w:rsid w:val="00683908"/>
    <w:rsid w:val="00692550"/>
    <w:rsid w:val="00692F60"/>
    <w:rsid w:val="006B1F26"/>
    <w:rsid w:val="006B214E"/>
    <w:rsid w:val="006B4C9B"/>
    <w:rsid w:val="006B55D9"/>
    <w:rsid w:val="006C315F"/>
    <w:rsid w:val="006C35D4"/>
    <w:rsid w:val="006C7228"/>
    <w:rsid w:val="006D2D67"/>
    <w:rsid w:val="006D35EA"/>
    <w:rsid w:val="006D48CF"/>
    <w:rsid w:val="006D5232"/>
    <w:rsid w:val="006E377A"/>
    <w:rsid w:val="006E3FA2"/>
    <w:rsid w:val="006E738A"/>
    <w:rsid w:val="006E741B"/>
    <w:rsid w:val="006F21CC"/>
    <w:rsid w:val="006F294C"/>
    <w:rsid w:val="0070196A"/>
    <w:rsid w:val="00701EDF"/>
    <w:rsid w:val="00704BB2"/>
    <w:rsid w:val="007058EA"/>
    <w:rsid w:val="0071069B"/>
    <w:rsid w:val="007241CB"/>
    <w:rsid w:val="00725603"/>
    <w:rsid w:val="00725C70"/>
    <w:rsid w:val="007331CF"/>
    <w:rsid w:val="00733FD0"/>
    <w:rsid w:val="0074099F"/>
    <w:rsid w:val="00741A60"/>
    <w:rsid w:val="00741FCB"/>
    <w:rsid w:val="0074215E"/>
    <w:rsid w:val="00742B17"/>
    <w:rsid w:val="0074538E"/>
    <w:rsid w:val="0074669E"/>
    <w:rsid w:val="00750F5A"/>
    <w:rsid w:val="00750FE0"/>
    <w:rsid w:val="007515F3"/>
    <w:rsid w:val="00755F6A"/>
    <w:rsid w:val="007573EC"/>
    <w:rsid w:val="00761750"/>
    <w:rsid w:val="007626BC"/>
    <w:rsid w:val="00763EB6"/>
    <w:rsid w:val="0076776F"/>
    <w:rsid w:val="00776509"/>
    <w:rsid w:val="007812EC"/>
    <w:rsid w:val="00783862"/>
    <w:rsid w:val="007851C0"/>
    <w:rsid w:val="00793B39"/>
    <w:rsid w:val="007A0286"/>
    <w:rsid w:val="007A35AD"/>
    <w:rsid w:val="007A501D"/>
    <w:rsid w:val="007B4E0F"/>
    <w:rsid w:val="007C0331"/>
    <w:rsid w:val="007C415C"/>
    <w:rsid w:val="007D08FF"/>
    <w:rsid w:val="007D3EF1"/>
    <w:rsid w:val="007D5970"/>
    <w:rsid w:val="007D7922"/>
    <w:rsid w:val="007E0071"/>
    <w:rsid w:val="007E3361"/>
    <w:rsid w:val="007F03F4"/>
    <w:rsid w:val="007F0F23"/>
    <w:rsid w:val="008000C6"/>
    <w:rsid w:val="008115BC"/>
    <w:rsid w:val="0081162C"/>
    <w:rsid w:val="00816EEF"/>
    <w:rsid w:val="00822069"/>
    <w:rsid w:val="00827DAF"/>
    <w:rsid w:val="0083043E"/>
    <w:rsid w:val="00830F5A"/>
    <w:rsid w:val="00831056"/>
    <w:rsid w:val="00836CC6"/>
    <w:rsid w:val="00851CEC"/>
    <w:rsid w:val="008526DA"/>
    <w:rsid w:val="00852DE9"/>
    <w:rsid w:val="008550D4"/>
    <w:rsid w:val="00857BBC"/>
    <w:rsid w:val="00870F1C"/>
    <w:rsid w:val="008726FC"/>
    <w:rsid w:val="00884E8F"/>
    <w:rsid w:val="00884EDD"/>
    <w:rsid w:val="00886FC3"/>
    <w:rsid w:val="008877E6"/>
    <w:rsid w:val="00895A03"/>
    <w:rsid w:val="00897DDB"/>
    <w:rsid w:val="008A06AC"/>
    <w:rsid w:val="008A2048"/>
    <w:rsid w:val="008A53E4"/>
    <w:rsid w:val="008A541E"/>
    <w:rsid w:val="008A7686"/>
    <w:rsid w:val="008A76FC"/>
    <w:rsid w:val="008B0EDC"/>
    <w:rsid w:val="008B1C8E"/>
    <w:rsid w:val="008B53C6"/>
    <w:rsid w:val="008B6709"/>
    <w:rsid w:val="008B7FAF"/>
    <w:rsid w:val="008C30F9"/>
    <w:rsid w:val="008C55EB"/>
    <w:rsid w:val="008D0B97"/>
    <w:rsid w:val="008D5B64"/>
    <w:rsid w:val="008E1454"/>
    <w:rsid w:val="008E4662"/>
    <w:rsid w:val="008E4E78"/>
    <w:rsid w:val="008E6795"/>
    <w:rsid w:val="008F1A2E"/>
    <w:rsid w:val="00912F98"/>
    <w:rsid w:val="009173DE"/>
    <w:rsid w:val="00920EB3"/>
    <w:rsid w:val="00924682"/>
    <w:rsid w:val="00926442"/>
    <w:rsid w:val="009275D4"/>
    <w:rsid w:val="009359AC"/>
    <w:rsid w:val="00944834"/>
    <w:rsid w:val="00947985"/>
    <w:rsid w:val="0095094D"/>
    <w:rsid w:val="009526AE"/>
    <w:rsid w:val="00952AE0"/>
    <w:rsid w:val="0095351A"/>
    <w:rsid w:val="009611E4"/>
    <w:rsid w:val="00963D36"/>
    <w:rsid w:val="00964438"/>
    <w:rsid w:val="009715B3"/>
    <w:rsid w:val="0097258D"/>
    <w:rsid w:val="00973910"/>
    <w:rsid w:val="0097607B"/>
    <w:rsid w:val="009814F5"/>
    <w:rsid w:val="00982412"/>
    <w:rsid w:val="009870BB"/>
    <w:rsid w:val="009A326B"/>
    <w:rsid w:val="009B04F5"/>
    <w:rsid w:val="009B658B"/>
    <w:rsid w:val="009C767E"/>
    <w:rsid w:val="009C7DE8"/>
    <w:rsid w:val="009E79D2"/>
    <w:rsid w:val="009F0B63"/>
    <w:rsid w:val="009F1561"/>
    <w:rsid w:val="009F314C"/>
    <w:rsid w:val="009F3271"/>
    <w:rsid w:val="009F34CB"/>
    <w:rsid w:val="009F5460"/>
    <w:rsid w:val="009F5FCE"/>
    <w:rsid w:val="009F7392"/>
    <w:rsid w:val="00A00494"/>
    <w:rsid w:val="00A0663C"/>
    <w:rsid w:val="00A06803"/>
    <w:rsid w:val="00A072CE"/>
    <w:rsid w:val="00A21016"/>
    <w:rsid w:val="00A23629"/>
    <w:rsid w:val="00A27F7F"/>
    <w:rsid w:val="00A30629"/>
    <w:rsid w:val="00A366BC"/>
    <w:rsid w:val="00A43482"/>
    <w:rsid w:val="00A4405B"/>
    <w:rsid w:val="00A529A5"/>
    <w:rsid w:val="00A54F98"/>
    <w:rsid w:val="00A60C9B"/>
    <w:rsid w:val="00A61CB3"/>
    <w:rsid w:val="00A630E5"/>
    <w:rsid w:val="00A649F7"/>
    <w:rsid w:val="00A71C12"/>
    <w:rsid w:val="00A723DC"/>
    <w:rsid w:val="00A73158"/>
    <w:rsid w:val="00A741DE"/>
    <w:rsid w:val="00A74FF5"/>
    <w:rsid w:val="00A80B76"/>
    <w:rsid w:val="00A85EF9"/>
    <w:rsid w:val="00A865E9"/>
    <w:rsid w:val="00A930C8"/>
    <w:rsid w:val="00A9357A"/>
    <w:rsid w:val="00A9704B"/>
    <w:rsid w:val="00AA02A3"/>
    <w:rsid w:val="00AA0302"/>
    <w:rsid w:val="00AA543B"/>
    <w:rsid w:val="00AA571C"/>
    <w:rsid w:val="00AA5D5D"/>
    <w:rsid w:val="00AA70FB"/>
    <w:rsid w:val="00AA73EB"/>
    <w:rsid w:val="00AB74CE"/>
    <w:rsid w:val="00AC014F"/>
    <w:rsid w:val="00AC2726"/>
    <w:rsid w:val="00AC3714"/>
    <w:rsid w:val="00AC37D1"/>
    <w:rsid w:val="00AC45EF"/>
    <w:rsid w:val="00AC60E6"/>
    <w:rsid w:val="00AC6D23"/>
    <w:rsid w:val="00AD05A0"/>
    <w:rsid w:val="00AD2AB4"/>
    <w:rsid w:val="00AD58B9"/>
    <w:rsid w:val="00AD5EAE"/>
    <w:rsid w:val="00AD6E81"/>
    <w:rsid w:val="00AD6FAE"/>
    <w:rsid w:val="00AE1CBD"/>
    <w:rsid w:val="00AE4ABE"/>
    <w:rsid w:val="00AF08C9"/>
    <w:rsid w:val="00AF22D4"/>
    <w:rsid w:val="00AF719E"/>
    <w:rsid w:val="00AF7649"/>
    <w:rsid w:val="00B0363E"/>
    <w:rsid w:val="00B03B74"/>
    <w:rsid w:val="00B107B9"/>
    <w:rsid w:val="00B16991"/>
    <w:rsid w:val="00B17657"/>
    <w:rsid w:val="00B20541"/>
    <w:rsid w:val="00B208B1"/>
    <w:rsid w:val="00B3491F"/>
    <w:rsid w:val="00B357A0"/>
    <w:rsid w:val="00B37666"/>
    <w:rsid w:val="00B37854"/>
    <w:rsid w:val="00B43EE3"/>
    <w:rsid w:val="00B46784"/>
    <w:rsid w:val="00B50DDE"/>
    <w:rsid w:val="00B51095"/>
    <w:rsid w:val="00B51C75"/>
    <w:rsid w:val="00B5310A"/>
    <w:rsid w:val="00B56AD0"/>
    <w:rsid w:val="00B56F0C"/>
    <w:rsid w:val="00B56F55"/>
    <w:rsid w:val="00B57018"/>
    <w:rsid w:val="00B61626"/>
    <w:rsid w:val="00B61D06"/>
    <w:rsid w:val="00B62C61"/>
    <w:rsid w:val="00B63B6C"/>
    <w:rsid w:val="00B675D0"/>
    <w:rsid w:val="00B75FCE"/>
    <w:rsid w:val="00B80E0D"/>
    <w:rsid w:val="00B82379"/>
    <w:rsid w:val="00B927F5"/>
    <w:rsid w:val="00B95A7A"/>
    <w:rsid w:val="00B95B0C"/>
    <w:rsid w:val="00BA50FC"/>
    <w:rsid w:val="00BB0454"/>
    <w:rsid w:val="00BB376C"/>
    <w:rsid w:val="00BB7092"/>
    <w:rsid w:val="00BB7184"/>
    <w:rsid w:val="00BC01F2"/>
    <w:rsid w:val="00BC0551"/>
    <w:rsid w:val="00BC0D46"/>
    <w:rsid w:val="00BC7484"/>
    <w:rsid w:val="00BD188C"/>
    <w:rsid w:val="00BD4446"/>
    <w:rsid w:val="00BD45B1"/>
    <w:rsid w:val="00BE11B2"/>
    <w:rsid w:val="00BF09A6"/>
    <w:rsid w:val="00BF3F8D"/>
    <w:rsid w:val="00C07349"/>
    <w:rsid w:val="00C11BCD"/>
    <w:rsid w:val="00C152C8"/>
    <w:rsid w:val="00C1569B"/>
    <w:rsid w:val="00C15E5B"/>
    <w:rsid w:val="00C21699"/>
    <w:rsid w:val="00C21FEB"/>
    <w:rsid w:val="00C23621"/>
    <w:rsid w:val="00C26C37"/>
    <w:rsid w:val="00C34A3A"/>
    <w:rsid w:val="00C415A9"/>
    <w:rsid w:val="00C42EB4"/>
    <w:rsid w:val="00C60434"/>
    <w:rsid w:val="00C61629"/>
    <w:rsid w:val="00C811C9"/>
    <w:rsid w:val="00C81DA7"/>
    <w:rsid w:val="00C8218B"/>
    <w:rsid w:val="00C8264D"/>
    <w:rsid w:val="00C9051F"/>
    <w:rsid w:val="00C92F67"/>
    <w:rsid w:val="00C97078"/>
    <w:rsid w:val="00CA6F5E"/>
    <w:rsid w:val="00CB36AE"/>
    <w:rsid w:val="00CB5AD2"/>
    <w:rsid w:val="00CB7501"/>
    <w:rsid w:val="00CC55DC"/>
    <w:rsid w:val="00CD4C3D"/>
    <w:rsid w:val="00CD7D25"/>
    <w:rsid w:val="00CE13F7"/>
    <w:rsid w:val="00CE1B8F"/>
    <w:rsid w:val="00CF15F3"/>
    <w:rsid w:val="00CF41AE"/>
    <w:rsid w:val="00CF664A"/>
    <w:rsid w:val="00D065F4"/>
    <w:rsid w:val="00D11725"/>
    <w:rsid w:val="00D15154"/>
    <w:rsid w:val="00D151FE"/>
    <w:rsid w:val="00D321D1"/>
    <w:rsid w:val="00D32ADC"/>
    <w:rsid w:val="00D36D40"/>
    <w:rsid w:val="00D41010"/>
    <w:rsid w:val="00D429CA"/>
    <w:rsid w:val="00D448B7"/>
    <w:rsid w:val="00D50EB5"/>
    <w:rsid w:val="00D55E96"/>
    <w:rsid w:val="00D57815"/>
    <w:rsid w:val="00D60DAF"/>
    <w:rsid w:val="00D63CE3"/>
    <w:rsid w:val="00D7112D"/>
    <w:rsid w:val="00D71C82"/>
    <w:rsid w:val="00D72785"/>
    <w:rsid w:val="00D744FE"/>
    <w:rsid w:val="00D779F9"/>
    <w:rsid w:val="00D804BC"/>
    <w:rsid w:val="00D83366"/>
    <w:rsid w:val="00D83DE3"/>
    <w:rsid w:val="00D85005"/>
    <w:rsid w:val="00D8753B"/>
    <w:rsid w:val="00D87554"/>
    <w:rsid w:val="00D90544"/>
    <w:rsid w:val="00D9456C"/>
    <w:rsid w:val="00D952D7"/>
    <w:rsid w:val="00DA0AA0"/>
    <w:rsid w:val="00DA16C3"/>
    <w:rsid w:val="00DA242B"/>
    <w:rsid w:val="00DA2EE8"/>
    <w:rsid w:val="00DA3A40"/>
    <w:rsid w:val="00DB07A6"/>
    <w:rsid w:val="00DB1807"/>
    <w:rsid w:val="00DB1A2C"/>
    <w:rsid w:val="00DB3C19"/>
    <w:rsid w:val="00DB5D58"/>
    <w:rsid w:val="00DB7D84"/>
    <w:rsid w:val="00DC0432"/>
    <w:rsid w:val="00DC2B69"/>
    <w:rsid w:val="00DC45A2"/>
    <w:rsid w:val="00DC4F20"/>
    <w:rsid w:val="00DE0D15"/>
    <w:rsid w:val="00DE2BCE"/>
    <w:rsid w:val="00DF09DB"/>
    <w:rsid w:val="00DF2309"/>
    <w:rsid w:val="00DF3079"/>
    <w:rsid w:val="00E006F2"/>
    <w:rsid w:val="00E04274"/>
    <w:rsid w:val="00E210C0"/>
    <w:rsid w:val="00E23B93"/>
    <w:rsid w:val="00E26B4E"/>
    <w:rsid w:val="00E3155B"/>
    <w:rsid w:val="00E32882"/>
    <w:rsid w:val="00E33830"/>
    <w:rsid w:val="00E44066"/>
    <w:rsid w:val="00E446DE"/>
    <w:rsid w:val="00E53891"/>
    <w:rsid w:val="00E57052"/>
    <w:rsid w:val="00E57C6A"/>
    <w:rsid w:val="00E640D1"/>
    <w:rsid w:val="00E6459C"/>
    <w:rsid w:val="00E67D6A"/>
    <w:rsid w:val="00E74EA2"/>
    <w:rsid w:val="00E778E1"/>
    <w:rsid w:val="00E817D3"/>
    <w:rsid w:val="00E82C5A"/>
    <w:rsid w:val="00E86794"/>
    <w:rsid w:val="00E91A8F"/>
    <w:rsid w:val="00E9588A"/>
    <w:rsid w:val="00E974AF"/>
    <w:rsid w:val="00EA54D1"/>
    <w:rsid w:val="00EA5748"/>
    <w:rsid w:val="00EA5F73"/>
    <w:rsid w:val="00EA71E2"/>
    <w:rsid w:val="00EB3271"/>
    <w:rsid w:val="00EB344C"/>
    <w:rsid w:val="00EB4D12"/>
    <w:rsid w:val="00EB68B8"/>
    <w:rsid w:val="00EB6E0C"/>
    <w:rsid w:val="00EC3ACF"/>
    <w:rsid w:val="00ED4543"/>
    <w:rsid w:val="00ED4E60"/>
    <w:rsid w:val="00EF363C"/>
    <w:rsid w:val="00F0050F"/>
    <w:rsid w:val="00F036FC"/>
    <w:rsid w:val="00F039B4"/>
    <w:rsid w:val="00F05FB8"/>
    <w:rsid w:val="00F152F1"/>
    <w:rsid w:val="00F20422"/>
    <w:rsid w:val="00F21F17"/>
    <w:rsid w:val="00F271C0"/>
    <w:rsid w:val="00F30BE4"/>
    <w:rsid w:val="00F32155"/>
    <w:rsid w:val="00F33CFF"/>
    <w:rsid w:val="00F3455A"/>
    <w:rsid w:val="00F36F26"/>
    <w:rsid w:val="00F451D3"/>
    <w:rsid w:val="00F539D8"/>
    <w:rsid w:val="00F56EA0"/>
    <w:rsid w:val="00F609E4"/>
    <w:rsid w:val="00F60D1F"/>
    <w:rsid w:val="00F60E49"/>
    <w:rsid w:val="00F64474"/>
    <w:rsid w:val="00F708F0"/>
    <w:rsid w:val="00F7298C"/>
    <w:rsid w:val="00F7307F"/>
    <w:rsid w:val="00F74E7F"/>
    <w:rsid w:val="00F757CE"/>
    <w:rsid w:val="00F75A11"/>
    <w:rsid w:val="00F830C3"/>
    <w:rsid w:val="00F851CA"/>
    <w:rsid w:val="00F93183"/>
    <w:rsid w:val="00F941DB"/>
    <w:rsid w:val="00F952BB"/>
    <w:rsid w:val="00FA47C3"/>
    <w:rsid w:val="00FB1392"/>
    <w:rsid w:val="00FB221F"/>
    <w:rsid w:val="00FB3D19"/>
    <w:rsid w:val="00FB5E6A"/>
    <w:rsid w:val="00FB6892"/>
    <w:rsid w:val="00FC161C"/>
    <w:rsid w:val="00FC183F"/>
    <w:rsid w:val="00FC306C"/>
    <w:rsid w:val="00FD5791"/>
    <w:rsid w:val="00FE1A4F"/>
    <w:rsid w:val="00FF1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endarrow="classic" endarrowlength="short" weight=".5pt"/>
    </o:shapedefaults>
    <o:shapelayout v:ext="edit">
      <o:idmap v:ext="edit" data="1"/>
    </o:shapelayout>
  </w:shapeDefaults>
  <w:decimalSymbol w:val=","/>
  <w:listSeparator w:val=";"/>
  <w14:docId w14:val="4B28B009"/>
  <w15:docId w15:val="{1BA16707-6AD6-45DB-93D2-1613D774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CF664A"/>
    <w:pPr>
      <w:overflowPunct w:val="0"/>
      <w:autoSpaceDE w:val="0"/>
      <w:autoSpaceDN w:val="0"/>
      <w:adjustRightInd w:val="0"/>
      <w:spacing w:line="240" w:lineRule="exact"/>
      <w:ind w:left="851"/>
      <w:textAlignment w:val="baseline"/>
    </w:pPr>
    <w:rPr>
      <w:rFonts w:ascii="Arial" w:hAnsi="Arial"/>
      <w:sz w:val="17"/>
    </w:rPr>
  </w:style>
  <w:style w:type="paragraph" w:styleId="Kop1">
    <w:name w:val="heading 1"/>
    <w:aliases w:val="Hoofdstukkopje"/>
    <w:basedOn w:val="Standaard"/>
    <w:next w:val="Standaard"/>
    <w:qFormat/>
    <w:pPr>
      <w:keepNext/>
      <w:numPr>
        <w:numId w:val="2"/>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ilvl w:val="1"/>
        <w:numId w:val="2"/>
      </w:numPr>
      <w:tabs>
        <w:tab w:val="left" w:pos="851"/>
      </w:tabs>
      <w:spacing w:after="260"/>
      <w:outlineLvl w:val="1"/>
    </w:pPr>
    <w:rPr>
      <w:b/>
      <w:sz w:val="20"/>
    </w:rPr>
  </w:style>
  <w:style w:type="paragraph" w:styleId="Kop3">
    <w:name w:val="heading 3"/>
    <w:aliases w:val="Subparagraafkopje,subparagraaf"/>
    <w:basedOn w:val="Standaard"/>
    <w:next w:val="Standaard"/>
    <w:link w:val="Kop3Char"/>
    <w:qFormat/>
    <w:pPr>
      <w:keepNext/>
      <w:numPr>
        <w:ilvl w:val="2"/>
        <w:numId w:val="2"/>
      </w:numPr>
      <w:tabs>
        <w:tab w:val="right" w:pos="851"/>
      </w:tabs>
      <w:spacing w:after="60"/>
      <w:outlineLvl w:val="2"/>
    </w:pPr>
    <w:rPr>
      <w:b/>
    </w:rPr>
  </w:style>
  <w:style w:type="paragraph" w:styleId="Kop4">
    <w:name w:val="heading 4"/>
    <w:aliases w:val="Sub4"/>
    <w:basedOn w:val="Standaard"/>
    <w:next w:val="Standaard"/>
    <w:qFormat/>
    <w:pPr>
      <w:keepNext/>
      <w:numPr>
        <w:ilvl w:val="3"/>
        <w:numId w:val="2"/>
      </w:numPr>
      <w:spacing w:after="60"/>
      <w:outlineLvl w:val="3"/>
    </w:pPr>
    <w:rPr>
      <w:b/>
      <w:sz w:val="16"/>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spacing w:before="240" w:after="60"/>
      <w:outlineLvl w:val="5"/>
    </w:pPr>
    <w:rPr>
      <w:i/>
      <w:sz w:val="22"/>
    </w:rPr>
  </w:style>
  <w:style w:type="paragraph" w:styleId="Kop7">
    <w:name w:val="heading 7"/>
    <w:basedOn w:val="Standaard"/>
    <w:next w:val="Standaard"/>
    <w:qFormat/>
    <w:pPr>
      <w:numPr>
        <w:ilvl w:val="6"/>
        <w:numId w:val="2"/>
      </w:numPr>
      <w:spacing w:before="240" w:after="60"/>
      <w:outlineLvl w:val="6"/>
    </w:pPr>
  </w:style>
  <w:style w:type="paragraph" w:styleId="Kop8">
    <w:name w:val="heading 8"/>
    <w:basedOn w:val="Standaard"/>
    <w:next w:val="Standaard"/>
    <w:qFormat/>
    <w:pPr>
      <w:numPr>
        <w:ilvl w:val="7"/>
        <w:numId w:val="2"/>
      </w:numPr>
      <w:spacing w:before="240" w:after="60"/>
      <w:outlineLvl w:val="7"/>
    </w:pPr>
    <w:rPr>
      <w:i/>
    </w:rPr>
  </w:style>
  <w:style w:type="paragraph" w:styleId="Kop9">
    <w:name w:val="heading 9"/>
    <w:basedOn w:val="Standaard"/>
    <w:next w:val="Standaard"/>
    <w:qFormat/>
    <w:pPr>
      <w:numPr>
        <w:ilvl w:val="8"/>
        <w:numId w:val="2"/>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1"/>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ind w:left="0"/>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ind w:left="0"/>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ind w:left="0"/>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ind w:left="0"/>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ind w:left="0"/>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styleId="Tekstzonderopmaak">
    <w:name w:val="Plain Text"/>
    <w:basedOn w:val="Standaard"/>
    <w:link w:val="TekstzonderopmaakChar"/>
    <w:uiPriority w:val="99"/>
    <w:unhideWhenUsed/>
    <w:rsid w:val="0065537A"/>
    <w:pPr>
      <w:overflowPunct/>
      <w:autoSpaceDE/>
      <w:autoSpaceDN/>
      <w:adjustRightInd/>
      <w:spacing w:line="240" w:lineRule="auto"/>
      <w:ind w:left="0"/>
      <w:textAlignment w:val="auto"/>
    </w:pPr>
    <w:rPr>
      <w:rFonts w:ascii="Calibri" w:hAnsi="Calibri" w:cs="Arial"/>
      <w:spacing w:val="-4"/>
      <w:sz w:val="22"/>
      <w:szCs w:val="21"/>
    </w:rPr>
  </w:style>
  <w:style w:type="character" w:customStyle="1" w:styleId="TekstzonderopmaakChar">
    <w:name w:val="Tekst zonder opmaak Char"/>
    <w:basedOn w:val="Standaardalinea-lettertype"/>
    <w:link w:val="Tekstzonderopmaak"/>
    <w:uiPriority w:val="99"/>
    <w:rsid w:val="0065537A"/>
    <w:rPr>
      <w:rFonts w:ascii="Calibri" w:hAnsi="Calibri" w:cs="Arial"/>
      <w:spacing w:val="-4"/>
      <w:sz w:val="22"/>
      <w:szCs w:val="21"/>
    </w:rPr>
  </w:style>
  <w:style w:type="character" w:customStyle="1" w:styleId="LijstalineaChar">
    <w:name w:val="Lijstalinea Char"/>
    <w:basedOn w:val="Standaardalinea-lettertype"/>
    <w:link w:val="Lijstalinea"/>
    <w:uiPriority w:val="34"/>
    <w:rsid w:val="0065537A"/>
    <w:rPr>
      <w:rFonts w:ascii="Arial" w:hAnsi="Arial" w:cs="Arial"/>
      <w:sz w:val="17"/>
      <w:szCs w:val="17"/>
    </w:rPr>
  </w:style>
  <w:style w:type="character" w:customStyle="1" w:styleId="Kop3Char">
    <w:name w:val="Kop 3 Char"/>
    <w:aliases w:val="Subparagraafkopje Char,subparagraaf Char"/>
    <w:basedOn w:val="Standaardalinea-lettertype"/>
    <w:link w:val="Kop3"/>
    <w:rsid w:val="005C7A9F"/>
    <w:rPr>
      <w:rFonts w:ascii="Arial" w:hAnsi="Arial"/>
      <w:b/>
      <w:sz w:val="17"/>
    </w:rPr>
  </w:style>
  <w:style w:type="numbering" w:customStyle="1" w:styleId="Gemporteerdestijl1">
    <w:name w:val="Geïmporteerde stijl 1"/>
    <w:rsid w:val="00F36F26"/>
    <w:pPr>
      <w:numPr>
        <w:numId w:val="3"/>
      </w:numPr>
    </w:pPr>
  </w:style>
  <w:style w:type="numbering" w:customStyle="1" w:styleId="Gemporteerdestijl2">
    <w:name w:val="Geïmporteerde stijl 2"/>
    <w:rsid w:val="00F36F26"/>
    <w:pPr>
      <w:numPr>
        <w:numId w:val="4"/>
      </w:numPr>
    </w:pPr>
  </w:style>
  <w:style w:type="numbering" w:customStyle="1" w:styleId="Gemporteerdestijl3">
    <w:name w:val="Geïmporteerde stijl 3"/>
    <w:rsid w:val="00F36F26"/>
    <w:pPr>
      <w:numPr>
        <w:numId w:val="5"/>
      </w:numPr>
    </w:pPr>
  </w:style>
  <w:style w:type="paragraph" w:customStyle="1" w:styleId="Default">
    <w:name w:val="Default"/>
    <w:rsid w:val="006633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713431569">
      <w:bodyDiv w:val="1"/>
      <w:marLeft w:val="0"/>
      <w:marRight w:val="0"/>
      <w:marTop w:val="0"/>
      <w:marBottom w:val="0"/>
      <w:divBdr>
        <w:top w:val="none" w:sz="0" w:space="0" w:color="auto"/>
        <w:left w:val="none" w:sz="0" w:space="0" w:color="auto"/>
        <w:bottom w:val="none" w:sz="0" w:space="0" w:color="auto"/>
        <w:right w:val="none" w:sz="0" w:space="0" w:color="auto"/>
      </w:divBdr>
      <w:divsChild>
        <w:div w:id="1725131771">
          <w:marLeft w:val="0"/>
          <w:marRight w:val="0"/>
          <w:marTop w:val="0"/>
          <w:marBottom w:val="0"/>
          <w:divBdr>
            <w:top w:val="none" w:sz="0" w:space="0" w:color="auto"/>
            <w:left w:val="none" w:sz="0" w:space="0" w:color="auto"/>
            <w:bottom w:val="none" w:sz="0" w:space="0" w:color="auto"/>
            <w:right w:val="none" w:sz="0" w:space="0" w:color="auto"/>
          </w:divBdr>
          <w:divsChild>
            <w:div w:id="298850969">
              <w:marLeft w:val="0"/>
              <w:marRight w:val="0"/>
              <w:marTop w:val="0"/>
              <w:marBottom w:val="0"/>
              <w:divBdr>
                <w:top w:val="none" w:sz="0" w:space="0" w:color="auto"/>
                <w:left w:val="none" w:sz="0" w:space="0" w:color="auto"/>
                <w:bottom w:val="none" w:sz="0" w:space="0" w:color="auto"/>
                <w:right w:val="none" w:sz="0" w:space="0" w:color="auto"/>
              </w:divBdr>
              <w:divsChild>
                <w:div w:id="13359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38389320">
      <w:bodyDiv w:val="1"/>
      <w:marLeft w:val="0"/>
      <w:marRight w:val="0"/>
      <w:marTop w:val="0"/>
      <w:marBottom w:val="0"/>
      <w:divBdr>
        <w:top w:val="none" w:sz="0" w:space="0" w:color="auto"/>
        <w:left w:val="none" w:sz="0" w:space="0" w:color="auto"/>
        <w:bottom w:val="none" w:sz="0" w:space="0" w:color="auto"/>
        <w:right w:val="none" w:sz="0" w:space="0" w:color="auto"/>
      </w:divBdr>
    </w:div>
    <w:div w:id="1697609478">
      <w:bodyDiv w:val="1"/>
      <w:marLeft w:val="0"/>
      <w:marRight w:val="0"/>
      <w:marTop w:val="0"/>
      <w:marBottom w:val="0"/>
      <w:divBdr>
        <w:top w:val="none" w:sz="0" w:space="0" w:color="auto"/>
        <w:left w:val="none" w:sz="0" w:space="0" w:color="auto"/>
        <w:bottom w:val="none" w:sz="0" w:space="0" w:color="auto"/>
        <w:right w:val="none" w:sz="0" w:space="0" w:color="auto"/>
      </w:divBdr>
      <w:divsChild>
        <w:div w:id="1243493239">
          <w:marLeft w:val="0"/>
          <w:marRight w:val="0"/>
          <w:marTop w:val="0"/>
          <w:marBottom w:val="0"/>
          <w:divBdr>
            <w:top w:val="none" w:sz="0" w:space="0" w:color="auto"/>
            <w:left w:val="none" w:sz="0" w:space="0" w:color="auto"/>
            <w:bottom w:val="none" w:sz="0" w:space="0" w:color="auto"/>
            <w:right w:val="none" w:sz="0" w:space="0" w:color="auto"/>
          </w:divBdr>
          <w:divsChild>
            <w:div w:id="350767928">
              <w:marLeft w:val="0"/>
              <w:marRight w:val="0"/>
              <w:marTop w:val="0"/>
              <w:marBottom w:val="0"/>
              <w:divBdr>
                <w:top w:val="none" w:sz="0" w:space="0" w:color="auto"/>
                <w:left w:val="none" w:sz="0" w:space="0" w:color="auto"/>
                <w:bottom w:val="none" w:sz="0" w:space="0" w:color="auto"/>
                <w:right w:val="none" w:sz="0" w:space="0" w:color="auto"/>
              </w:divBdr>
              <w:divsChild>
                <w:div w:id="3608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6524">
      <w:bodyDiv w:val="1"/>
      <w:marLeft w:val="0"/>
      <w:marRight w:val="0"/>
      <w:marTop w:val="0"/>
      <w:marBottom w:val="0"/>
      <w:divBdr>
        <w:top w:val="none" w:sz="0" w:space="0" w:color="auto"/>
        <w:left w:val="none" w:sz="0" w:space="0" w:color="auto"/>
        <w:bottom w:val="none" w:sz="0" w:space="0" w:color="auto"/>
        <w:right w:val="none" w:sz="0" w:space="0" w:color="auto"/>
      </w:divBdr>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FAE0-BBC1-470F-9962-F77A19EA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5070</Words>
  <Characters>32938</Characters>
  <Application>Microsoft Office Word</Application>
  <DocSecurity>0</DocSecurity>
  <Lines>274</Lines>
  <Paragraphs>75</Paragraphs>
  <ScaleCrop>false</ScaleCrop>
  <HeadingPairs>
    <vt:vector size="2" baseType="variant">
      <vt:variant>
        <vt:lpstr>Titel</vt:lpstr>
      </vt:variant>
      <vt:variant>
        <vt:i4>1</vt:i4>
      </vt:variant>
    </vt:vector>
  </HeadingPairs>
  <TitlesOfParts>
    <vt:vector size="1" baseType="lpstr">
      <vt:lpstr/>
    </vt:vector>
  </TitlesOfParts>
  <Company>Packard Bell NEC, Inc.</Company>
  <LinksUpToDate>false</LinksUpToDate>
  <CharactersWithSpaces>37933</CharactersWithSpaces>
  <SharedDoc>false</SharedDoc>
  <HLinks>
    <vt:vector size="186" baseType="variant">
      <vt:variant>
        <vt:i4>7077969</vt:i4>
      </vt:variant>
      <vt:variant>
        <vt:i4>192</vt:i4>
      </vt:variant>
      <vt:variant>
        <vt:i4>0</vt:i4>
      </vt:variant>
      <vt:variant>
        <vt:i4>5</vt:i4>
      </vt:variant>
      <vt:variant>
        <vt:lpwstr>mailto:aanbestedingsklachten@prorail.nl</vt:lpwstr>
      </vt:variant>
      <vt:variant>
        <vt:lpwstr/>
      </vt:variant>
      <vt:variant>
        <vt:i4>1441830</vt:i4>
      </vt:variant>
      <vt:variant>
        <vt:i4>189</vt:i4>
      </vt:variant>
      <vt:variant>
        <vt:i4>0</vt:i4>
      </vt:variant>
      <vt:variant>
        <vt:i4>5</vt:i4>
      </vt:variant>
      <vt:variant>
        <vt:lpwstr>mailto:aki@prorail.nl</vt:lpwstr>
      </vt:variant>
      <vt:variant>
        <vt:lpwstr/>
      </vt:variant>
      <vt:variant>
        <vt:i4>7077990</vt:i4>
      </vt:variant>
      <vt:variant>
        <vt:i4>186</vt:i4>
      </vt:variant>
      <vt:variant>
        <vt:i4>0</vt:i4>
      </vt:variant>
      <vt:variant>
        <vt:i4>5</vt:i4>
      </vt:variant>
      <vt:variant>
        <vt:lpwstr>http://www.prorail.nl/leveranciers</vt:lpwstr>
      </vt:variant>
      <vt:variant>
        <vt:lpwstr/>
      </vt:variant>
      <vt:variant>
        <vt:i4>1048630</vt:i4>
      </vt:variant>
      <vt:variant>
        <vt:i4>164</vt:i4>
      </vt:variant>
      <vt:variant>
        <vt:i4>0</vt:i4>
      </vt:variant>
      <vt:variant>
        <vt:i4>5</vt:i4>
      </vt:variant>
      <vt:variant>
        <vt:lpwstr/>
      </vt:variant>
      <vt:variant>
        <vt:lpwstr>_Toc365632355</vt:lpwstr>
      </vt:variant>
      <vt:variant>
        <vt:i4>1048630</vt:i4>
      </vt:variant>
      <vt:variant>
        <vt:i4>158</vt:i4>
      </vt:variant>
      <vt:variant>
        <vt:i4>0</vt:i4>
      </vt:variant>
      <vt:variant>
        <vt:i4>5</vt:i4>
      </vt:variant>
      <vt:variant>
        <vt:lpwstr/>
      </vt:variant>
      <vt:variant>
        <vt:lpwstr>_Toc365632354</vt:lpwstr>
      </vt:variant>
      <vt:variant>
        <vt:i4>1048630</vt:i4>
      </vt:variant>
      <vt:variant>
        <vt:i4>152</vt:i4>
      </vt:variant>
      <vt:variant>
        <vt:i4>0</vt:i4>
      </vt:variant>
      <vt:variant>
        <vt:i4>5</vt:i4>
      </vt:variant>
      <vt:variant>
        <vt:lpwstr/>
      </vt:variant>
      <vt:variant>
        <vt:lpwstr>_Toc365632353</vt:lpwstr>
      </vt:variant>
      <vt:variant>
        <vt:i4>1048630</vt:i4>
      </vt:variant>
      <vt:variant>
        <vt:i4>146</vt:i4>
      </vt:variant>
      <vt:variant>
        <vt:i4>0</vt:i4>
      </vt:variant>
      <vt:variant>
        <vt:i4>5</vt:i4>
      </vt:variant>
      <vt:variant>
        <vt:lpwstr/>
      </vt:variant>
      <vt:variant>
        <vt:lpwstr>_Toc365632352</vt:lpwstr>
      </vt:variant>
      <vt:variant>
        <vt:i4>1048630</vt:i4>
      </vt:variant>
      <vt:variant>
        <vt:i4>140</vt:i4>
      </vt:variant>
      <vt:variant>
        <vt:i4>0</vt:i4>
      </vt:variant>
      <vt:variant>
        <vt:i4>5</vt:i4>
      </vt:variant>
      <vt:variant>
        <vt:lpwstr/>
      </vt:variant>
      <vt:variant>
        <vt:lpwstr>_Toc365632351</vt:lpwstr>
      </vt:variant>
      <vt:variant>
        <vt:i4>1048630</vt:i4>
      </vt:variant>
      <vt:variant>
        <vt:i4>134</vt:i4>
      </vt:variant>
      <vt:variant>
        <vt:i4>0</vt:i4>
      </vt:variant>
      <vt:variant>
        <vt:i4>5</vt:i4>
      </vt:variant>
      <vt:variant>
        <vt:lpwstr/>
      </vt:variant>
      <vt:variant>
        <vt:lpwstr>_Toc365632350</vt:lpwstr>
      </vt:variant>
      <vt:variant>
        <vt:i4>1114166</vt:i4>
      </vt:variant>
      <vt:variant>
        <vt:i4>128</vt:i4>
      </vt:variant>
      <vt:variant>
        <vt:i4>0</vt:i4>
      </vt:variant>
      <vt:variant>
        <vt:i4>5</vt:i4>
      </vt:variant>
      <vt:variant>
        <vt:lpwstr/>
      </vt:variant>
      <vt:variant>
        <vt:lpwstr>_Toc365632349</vt:lpwstr>
      </vt:variant>
      <vt:variant>
        <vt:i4>1114166</vt:i4>
      </vt:variant>
      <vt:variant>
        <vt:i4>122</vt:i4>
      </vt:variant>
      <vt:variant>
        <vt:i4>0</vt:i4>
      </vt:variant>
      <vt:variant>
        <vt:i4>5</vt:i4>
      </vt:variant>
      <vt:variant>
        <vt:lpwstr/>
      </vt:variant>
      <vt:variant>
        <vt:lpwstr>_Toc365632348</vt:lpwstr>
      </vt:variant>
      <vt:variant>
        <vt:i4>1114166</vt:i4>
      </vt:variant>
      <vt:variant>
        <vt:i4>116</vt:i4>
      </vt:variant>
      <vt:variant>
        <vt:i4>0</vt:i4>
      </vt:variant>
      <vt:variant>
        <vt:i4>5</vt:i4>
      </vt:variant>
      <vt:variant>
        <vt:lpwstr/>
      </vt:variant>
      <vt:variant>
        <vt:lpwstr>_Toc365632347</vt:lpwstr>
      </vt:variant>
      <vt:variant>
        <vt:i4>1114166</vt:i4>
      </vt:variant>
      <vt:variant>
        <vt:i4>110</vt:i4>
      </vt:variant>
      <vt:variant>
        <vt:i4>0</vt:i4>
      </vt:variant>
      <vt:variant>
        <vt:i4>5</vt:i4>
      </vt:variant>
      <vt:variant>
        <vt:lpwstr/>
      </vt:variant>
      <vt:variant>
        <vt:lpwstr>_Toc365632346</vt:lpwstr>
      </vt:variant>
      <vt:variant>
        <vt:i4>1114166</vt:i4>
      </vt:variant>
      <vt:variant>
        <vt:i4>104</vt:i4>
      </vt:variant>
      <vt:variant>
        <vt:i4>0</vt:i4>
      </vt:variant>
      <vt:variant>
        <vt:i4>5</vt:i4>
      </vt:variant>
      <vt:variant>
        <vt:lpwstr/>
      </vt:variant>
      <vt:variant>
        <vt:lpwstr>_Toc365632345</vt:lpwstr>
      </vt:variant>
      <vt:variant>
        <vt:i4>1114166</vt:i4>
      </vt:variant>
      <vt:variant>
        <vt:i4>98</vt:i4>
      </vt:variant>
      <vt:variant>
        <vt:i4>0</vt:i4>
      </vt:variant>
      <vt:variant>
        <vt:i4>5</vt:i4>
      </vt:variant>
      <vt:variant>
        <vt:lpwstr/>
      </vt:variant>
      <vt:variant>
        <vt:lpwstr>_Toc365632344</vt:lpwstr>
      </vt:variant>
      <vt:variant>
        <vt:i4>1114166</vt:i4>
      </vt:variant>
      <vt:variant>
        <vt:i4>92</vt:i4>
      </vt:variant>
      <vt:variant>
        <vt:i4>0</vt:i4>
      </vt:variant>
      <vt:variant>
        <vt:i4>5</vt:i4>
      </vt:variant>
      <vt:variant>
        <vt:lpwstr/>
      </vt:variant>
      <vt:variant>
        <vt:lpwstr>_Toc365632343</vt:lpwstr>
      </vt:variant>
      <vt:variant>
        <vt:i4>1114166</vt:i4>
      </vt:variant>
      <vt:variant>
        <vt:i4>86</vt:i4>
      </vt:variant>
      <vt:variant>
        <vt:i4>0</vt:i4>
      </vt:variant>
      <vt:variant>
        <vt:i4>5</vt:i4>
      </vt:variant>
      <vt:variant>
        <vt:lpwstr/>
      </vt:variant>
      <vt:variant>
        <vt:lpwstr>_Toc365632342</vt:lpwstr>
      </vt:variant>
      <vt:variant>
        <vt:i4>1114166</vt:i4>
      </vt:variant>
      <vt:variant>
        <vt:i4>80</vt:i4>
      </vt:variant>
      <vt:variant>
        <vt:i4>0</vt:i4>
      </vt:variant>
      <vt:variant>
        <vt:i4>5</vt:i4>
      </vt:variant>
      <vt:variant>
        <vt:lpwstr/>
      </vt:variant>
      <vt:variant>
        <vt:lpwstr>_Toc365632341</vt:lpwstr>
      </vt:variant>
      <vt:variant>
        <vt:i4>1114166</vt:i4>
      </vt:variant>
      <vt:variant>
        <vt:i4>74</vt:i4>
      </vt:variant>
      <vt:variant>
        <vt:i4>0</vt:i4>
      </vt:variant>
      <vt:variant>
        <vt:i4>5</vt:i4>
      </vt:variant>
      <vt:variant>
        <vt:lpwstr/>
      </vt:variant>
      <vt:variant>
        <vt:lpwstr>_Toc365632340</vt:lpwstr>
      </vt:variant>
      <vt:variant>
        <vt:i4>1441846</vt:i4>
      </vt:variant>
      <vt:variant>
        <vt:i4>68</vt:i4>
      </vt:variant>
      <vt:variant>
        <vt:i4>0</vt:i4>
      </vt:variant>
      <vt:variant>
        <vt:i4>5</vt:i4>
      </vt:variant>
      <vt:variant>
        <vt:lpwstr/>
      </vt:variant>
      <vt:variant>
        <vt:lpwstr>_Toc365632339</vt:lpwstr>
      </vt:variant>
      <vt:variant>
        <vt:i4>1441846</vt:i4>
      </vt:variant>
      <vt:variant>
        <vt:i4>62</vt:i4>
      </vt:variant>
      <vt:variant>
        <vt:i4>0</vt:i4>
      </vt:variant>
      <vt:variant>
        <vt:i4>5</vt:i4>
      </vt:variant>
      <vt:variant>
        <vt:lpwstr/>
      </vt:variant>
      <vt:variant>
        <vt:lpwstr>_Toc365632338</vt:lpwstr>
      </vt:variant>
      <vt:variant>
        <vt:i4>1441846</vt:i4>
      </vt:variant>
      <vt:variant>
        <vt:i4>56</vt:i4>
      </vt:variant>
      <vt:variant>
        <vt:i4>0</vt:i4>
      </vt:variant>
      <vt:variant>
        <vt:i4>5</vt:i4>
      </vt:variant>
      <vt:variant>
        <vt:lpwstr/>
      </vt:variant>
      <vt:variant>
        <vt:lpwstr>_Toc365632337</vt:lpwstr>
      </vt:variant>
      <vt:variant>
        <vt:i4>1441846</vt:i4>
      </vt:variant>
      <vt:variant>
        <vt:i4>50</vt:i4>
      </vt:variant>
      <vt:variant>
        <vt:i4>0</vt:i4>
      </vt:variant>
      <vt:variant>
        <vt:i4>5</vt:i4>
      </vt:variant>
      <vt:variant>
        <vt:lpwstr/>
      </vt:variant>
      <vt:variant>
        <vt:lpwstr>_Toc365632336</vt:lpwstr>
      </vt:variant>
      <vt:variant>
        <vt:i4>1441846</vt:i4>
      </vt:variant>
      <vt:variant>
        <vt:i4>44</vt:i4>
      </vt:variant>
      <vt:variant>
        <vt:i4>0</vt:i4>
      </vt:variant>
      <vt:variant>
        <vt:i4>5</vt:i4>
      </vt:variant>
      <vt:variant>
        <vt:lpwstr/>
      </vt:variant>
      <vt:variant>
        <vt:lpwstr>_Toc365632335</vt:lpwstr>
      </vt:variant>
      <vt:variant>
        <vt:i4>1441846</vt:i4>
      </vt:variant>
      <vt:variant>
        <vt:i4>38</vt:i4>
      </vt:variant>
      <vt:variant>
        <vt:i4>0</vt:i4>
      </vt:variant>
      <vt:variant>
        <vt:i4>5</vt:i4>
      </vt:variant>
      <vt:variant>
        <vt:lpwstr/>
      </vt:variant>
      <vt:variant>
        <vt:lpwstr>_Toc365632334</vt:lpwstr>
      </vt:variant>
      <vt:variant>
        <vt:i4>1441846</vt:i4>
      </vt:variant>
      <vt:variant>
        <vt:i4>32</vt:i4>
      </vt:variant>
      <vt:variant>
        <vt:i4>0</vt:i4>
      </vt:variant>
      <vt:variant>
        <vt:i4>5</vt:i4>
      </vt:variant>
      <vt:variant>
        <vt:lpwstr/>
      </vt:variant>
      <vt:variant>
        <vt:lpwstr>_Toc365632333</vt:lpwstr>
      </vt:variant>
      <vt:variant>
        <vt:i4>1441846</vt:i4>
      </vt:variant>
      <vt:variant>
        <vt:i4>26</vt:i4>
      </vt:variant>
      <vt:variant>
        <vt:i4>0</vt:i4>
      </vt:variant>
      <vt:variant>
        <vt:i4>5</vt:i4>
      </vt:variant>
      <vt:variant>
        <vt:lpwstr/>
      </vt:variant>
      <vt:variant>
        <vt:lpwstr>_Toc365632332</vt:lpwstr>
      </vt:variant>
      <vt:variant>
        <vt:i4>1441846</vt:i4>
      </vt:variant>
      <vt:variant>
        <vt:i4>20</vt:i4>
      </vt:variant>
      <vt:variant>
        <vt:i4>0</vt:i4>
      </vt:variant>
      <vt:variant>
        <vt:i4>5</vt:i4>
      </vt:variant>
      <vt:variant>
        <vt:lpwstr/>
      </vt:variant>
      <vt:variant>
        <vt:lpwstr>_Toc365632331</vt:lpwstr>
      </vt:variant>
      <vt:variant>
        <vt:i4>1441846</vt:i4>
      </vt:variant>
      <vt:variant>
        <vt:i4>14</vt:i4>
      </vt:variant>
      <vt:variant>
        <vt:i4>0</vt:i4>
      </vt:variant>
      <vt:variant>
        <vt:i4>5</vt:i4>
      </vt:variant>
      <vt:variant>
        <vt:lpwstr/>
      </vt:variant>
      <vt:variant>
        <vt:lpwstr>_Toc365632330</vt:lpwstr>
      </vt:variant>
      <vt:variant>
        <vt:i4>1507382</vt:i4>
      </vt:variant>
      <vt:variant>
        <vt:i4>8</vt:i4>
      </vt:variant>
      <vt:variant>
        <vt:i4>0</vt:i4>
      </vt:variant>
      <vt:variant>
        <vt:i4>5</vt:i4>
      </vt:variant>
      <vt:variant>
        <vt:lpwstr/>
      </vt:variant>
      <vt:variant>
        <vt:lpwstr>_Toc365632329</vt:lpwstr>
      </vt:variant>
      <vt:variant>
        <vt:i4>1507382</vt:i4>
      </vt:variant>
      <vt:variant>
        <vt:i4>2</vt:i4>
      </vt:variant>
      <vt:variant>
        <vt:i4>0</vt:i4>
      </vt:variant>
      <vt:variant>
        <vt:i4>5</vt:i4>
      </vt:variant>
      <vt:variant>
        <vt:lpwstr/>
      </vt:variant>
      <vt:variant>
        <vt:lpwstr>_Toc365632328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Onbekend</dc:creator>
  <cp:lastModifiedBy>Damen, O (Olaf)</cp:lastModifiedBy>
  <cp:revision>3</cp:revision>
  <cp:lastPrinted>2013-01-14T13:17:00Z</cp:lastPrinted>
  <dcterms:created xsi:type="dcterms:W3CDTF">2017-12-11T13:38:00Z</dcterms:created>
  <dcterms:modified xsi:type="dcterms:W3CDTF">2017-12-11T13:46:00Z</dcterms:modified>
</cp:coreProperties>
</file>