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57" w:type="dxa"/>
        <w:tblInd w:w="-999"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708"/>
        <w:gridCol w:w="4537"/>
        <w:gridCol w:w="992"/>
        <w:gridCol w:w="4820"/>
      </w:tblGrid>
      <w:tr w:rsidR="00C23D39" w:rsidRPr="00425127" w:rsidTr="00C23D39">
        <w:tc>
          <w:tcPr>
            <w:tcW w:w="708" w:type="dxa"/>
            <w:tcBorders>
              <w:top w:val="single" w:sz="12" w:space="0" w:color="808080"/>
              <w:left w:val="single" w:sz="12" w:space="0" w:color="808080"/>
              <w:bottom w:val="single" w:sz="12" w:space="0" w:color="808080"/>
              <w:right w:val="single" w:sz="12" w:space="0" w:color="808080"/>
            </w:tcBorders>
            <w:shd w:val="clear" w:color="auto" w:fill="CCCCCC"/>
          </w:tcPr>
          <w:p w:rsidR="00C23D39" w:rsidRPr="00425127" w:rsidRDefault="00C23D39" w:rsidP="00D21CE4">
            <w:pPr>
              <w:spacing w:before="90" w:after="54"/>
              <w:jc w:val="center"/>
              <w:rPr>
                <w:b/>
                <w:bCs/>
              </w:rPr>
            </w:pPr>
            <w:r w:rsidRPr="00425127">
              <w:rPr>
                <w:b/>
                <w:bCs/>
              </w:rPr>
              <w:t>Wens</w:t>
            </w:r>
          </w:p>
        </w:tc>
        <w:tc>
          <w:tcPr>
            <w:tcW w:w="4537" w:type="dxa"/>
            <w:tcBorders>
              <w:top w:val="single" w:sz="12" w:space="0" w:color="808080"/>
              <w:left w:val="single" w:sz="12" w:space="0" w:color="808080"/>
              <w:bottom w:val="single" w:sz="12" w:space="0" w:color="808080"/>
              <w:right w:val="single" w:sz="12" w:space="0" w:color="808080"/>
            </w:tcBorders>
            <w:shd w:val="clear" w:color="auto" w:fill="CCCCCC"/>
          </w:tcPr>
          <w:p w:rsidR="00C23D39" w:rsidRPr="00425127" w:rsidRDefault="00C23D39" w:rsidP="00D21CE4">
            <w:pPr>
              <w:spacing w:before="90" w:after="54"/>
              <w:jc w:val="center"/>
              <w:rPr>
                <w:b/>
                <w:bCs/>
              </w:rPr>
            </w:pPr>
            <w:r w:rsidRPr="00425127">
              <w:rPr>
                <w:b/>
                <w:bCs/>
              </w:rPr>
              <w:t>Stelling</w:t>
            </w:r>
          </w:p>
        </w:tc>
        <w:tc>
          <w:tcPr>
            <w:tcW w:w="992" w:type="dxa"/>
            <w:tcBorders>
              <w:top w:val="single" w:sz="12" w:space="0" w:color="808080"/>
              <w:left w:val="single" w:sz="12" w:space="0" w:color="808080"/>
              <w:bottom w:val="single" w:sz="12" w:space="0" w:color="808080"/>
              <w:right w:val="single" w:sz="12" w:space="0" w:color="808080"/>
            </w:tcBorders>
            <w:shd w:val="clear" w:color="auto" w:fill="CCCCCC"/>
          </w:tcPr>
          <w:p w:rsidR="00C23D39" w:rsidRPr="00425127" w:rsidRDefault="00C23D39" w:rsidP="00D21CE4">
            <w:pPr>
              <w:spacing w:before="90" w:after="54"/>
              <w:jc w:val="center"/>
              <w:rPr>
                <w:b/>
                <w:bCs/>
              </w:rPr>
            </w:pPr>
            <w:r w:rsidRPr="00425127">
              <w:rPr>
                <w:b/>
                <w:bCs/>
              </w:rPr>
              <w:t>Ja/Nee</w:t>
            </w:r>
          </w:p>
        </w:tc>
        <w:tc>
          <w:tcPr>
            <w:tcW w:w="4820" w:type="dxa"/>
            <w:tcBorders>
              <w:top w:val="single" w:sz="12" w:space="0" w:color="808080"/>
              <w:left w:val="single" w:sz="12" w:space="0" w:color="808080"/>
              <w:bottom w:val="single" w:sz="12" w:space="0" w:color="808080"/>
              <w:right w:val="single" w:sz="12" w:space="0" w:color="808080"/>
            </w:tcBorders>
            <w:shd w:val="clear" w:color="auto" w:fill="CCCCCC"/>
          </w:tcPr>
          <w:p w:rsidR="00C23D39" w:rsidRPr="00425127" w:rsidRDefault="00C23D39" w:rsidP="00D21CE4">
            <w:pPr>
              <w:spacing w:before="90" w:after="54"/>
              <w:jc w:val="center"/>
              <w:rPr>
                <w:b/>
                <w:bCs/>
              </w:rPr>
            </w:pPr>
            <w:r w:rsidRPr="00425127">
              <w:rPr>
                <w:b/>
                <w:bCs/>
              </w:rPr>
              <w:t>Toelichting</w:t>
            </w:r>
          </w:p>
        </w:tc>
      </w:tr>
      <w:tr w:rsidR="00C23D39" w:rsidRPr="00425127" w:rsidTr="00C23D39">
        <w:tc>
          <w:tcPr>
            <w:tcW w:w="708" w:type="dxa"/>
            <w:tcBorders>
              <w:top w:val="single" w:sz="12" w:space="0" w:color="808080"/>
            </w:tcBorders>
            <w:shd w:val="clear" w:color="auto" w:fill="E6E6E6"/>
          </w:tcPr>
          <w:p w:rsidR="00C23D39" w:rsidRPr="00425127" w:rsidRDefault="00C23D39" w:rsidP="00C23D39">
            <w:pPr>
              <w:widowControl w:val="0"/>
              <w:numPr>
                <w:ilvl w:val="0"/>
                <w:numId w:val="1"/>
              </w:numPr>
              <w:spacing w:before="90" w:after="54" w:line="312" w:lineRule="auto"/>
              <w:ind w:left="57" w:firstLine="0"/>
              <w:jc w:val="both"/>
              <w:rPr>
                <w:rFonts w:cs="Tahoma"/>
              </w:rPr>
            </w:pPr>
          </w:p>
        </w:tc>
        <w:tc>
          <w:tcPr>
            <w:tcW w:w="4537" w:type="dxa"/>
            <w:tcBorders>
              <w:top w:val="single" w:sz="12" w:space="0" w:color="808080"/>
            </w:tcBorders>
          </w:tcPr>
          <w:p w:rsidR="00C23D39" w:rsidRPr="00425127" w:rsidRDefault="00C23D39" w:rsidP="00D21CE4">
            <w:pPr>
              <w:tabs>
                <w:tab w:val="left" w:pos="397"/>
              </w:tabs>
              <w:spacing w:before="90" w:after="54"/>
              <w:ind w:left="57"/>
            </w:pPr>
            <w:r>
              <w:t xml:space="preserve">Leverancier adviseert de Tweede Kamer over de interpretatie van de bezoekcijfers en – op basis daarvan – mogelijkheden om het gebruik en de gebruikersvriendelijkheid van </w:t>
            </w:r>
            <w:proofErr w:type="gramStart"/>
            <w:r>
              <w:t>het</w:t>
            </w:r>
            <w:proofErr w:type="gramEnd"/>
            <w:r>
              <w:t xml:space="preserve"> intranet en de websites te verbeteren. </w:t>
            </w:r>
          </w:p>
        </w:tc>
        <w:tc>
          <w:tcPr>
            <w:tcW w:w="992" w:type="dxa"/>
            <w:tcBorders>
              <w:top w:val="single" w:sz="12" w:space="0" w:color="808080"/>
            </w:tcBorders>
          </w:tcPr>
          <w:p w:rsidR="00C23D39" w:rsidRPr="00425127" w:rsidRDefault="00C23D39" w:rsidP="00D21CE4">
            <w:pPr>
              <w:tabs>
                <w:tab w:val="left" w:pos="397"/>
              </w:tabs>
              <w:spacing w:before="90" w:after="54"/>
              <w:ind w:left="57"/>
            </w:pPr>
          </w:p>
        </w:tc>
        <w:tc>
          <w:tcPr>
            <w:tcW w:w="4820" w:type="dxa"/>
            <w:tcBorders>
              <w:top w:val="single" w:sz="12" w:space="0" w:color="808080"/>
            </w:tcBorders>
          </w:tcPr>
          <w:p w:rsidR="00C23D39" w:rsidRPr="00425127" w:rsidRDefault="00C23D39" w:rsidP="00D21CE4">
            <w:pPr>
              <w:tabs>
                <w:tab w:val="left" w:pos="397"/>
              </w:tabs>
              <w:spacing w:before="90" w:after="54"/>
              <w:ind w:left="57"/>
            </w:pPr>
          </w:p>
        </w:tc>
      </w:tr>
      <w:tr w:rsidR="00C23D39" w:rsidRPr="00425127" w:rsidTr="00C23D39">
        <w:tc>
          <w:tcPr>
            <w:tcW w:w="708" w:type="dxa"/>
            <w:shd w:val="clear" w:color="auto" w:fill="E6E6E6"/>
          </w:tcPr>
          <w:p w:rsidR="00C23D39" w:rsidRPr="00425127" w:rsidRDefault="00C23D39" w:rsidP="00C23D39">
            <w:pPr>
              <w:numPr>
                <w:ilvl w:val="0"/>
                <w:numId w:val="1"/>
              </w:numPr>
              <w:spacing w:before="90" w:after="54" w:line="312" w:lineRule="auto"/>
              <w:ind w:left="57" w:firstLine="0"/>
              <w:jc w:val="both"/>
            </w:pPr>
          </w:p>
        </w:tc>
        <w:tc>
          <w:tcPr>
            <w:tcW w:w="4537" w:type="dxa"/>
          </w:tcPr>
          <w:p w:rsidR="00C23D39" w:rsidRPr="00425127" w:rsidRDefault="00C23D39" w:rsidP="00D21CE4">
            <w:pPr>
              <w:tabs>
                <w:tab w:val="left" w:pos="397"/>
              </w:tabs>
              <w:spacing w:before="90" w:after="54"/>
              <w:ind w:left="57"/>
            </w:pPr>
            <w:r>
              <w:t>Leverancier ondersteunt de functionaliteit om A/B-testen uit te voeren.</w:t>
            </w:r>
          </w:p>
        </w:tc>
        <w:tc>
          <w:tcPr>
            <w:tcW w:w="992" w:type="dxa"/>
          </w:tcPr>
          <w:p w:rsidR="00C23D39" w:rsidRPr="00425127" w:rsidRDefault="00C23D39" w:rsidP="00D21CE4">
            <w:pPr>
              <w:tabs>
                <w:tab w:val="left" w:pos="397"/>
              </w:tabs>
              <w:spacing w:before="90" w:after="54"/>
              <w:ind w:left="57"/>
            </w:pPr>
          </w:p>
        </w:tc>
        <w:tc>
          <w:tcPr>
            <w:tcW w:w="4820" w:type="dxa"/>
          </w:tcPr>
          <w:p w:rsidR="00C23D39" w:rsidRPr="00425127" w:rsidRDefault="00C23D39" w:rsidP="00D21CE4">
            <w:pPr>
              <w:tabs>
                <w:tab w:val="left" w:pos="397"/>
              </w:tabs>
              <w:spacing w:before="90" w:after="54"/>
              <w:ind w:left="57"/>
            </w:pPr>
          </w:p>
        </w:tc>
      </w:tr>
      <w:tr w:rsidR="00C23D39" w:rsidRPr="00425127" w:rsidTr="00C23D39">
        <w:tc>
          <w:tcPr>
            <w:tcW w:w="708" w:type="dxa"/>
            <w:shd w:val="clear" w:color="auto" w:fill="E6E6E6"/>
          </w:tcPr>
          <w:p w:rsidR="00C23D39" w:rsidRPr="00425127" w:rsidRDefault="00C23D39" w:rsidP="00C23D39">
            <w:pPr>
              <w:numPr>
                <w:ilvl w:val="0"/>
                <w:numId w:val="1"/>
              </w:numPr>
              <w:spacing w:before="90" w:after="54" w:line="312" w:lineRule="auto"/>
              <w:ind w:left="57" w:firstLine="0"/>
              <w:jc w:val="both"/>
            </w:pPr>
          </w:p>
        </w:tc>
        <w:tc>
          <w:tcPr>
            <w:tcW w:w="4537" w:type="dxa"/>
          </w:tcPr>
          <w:p w:rsidR="00C23D39" w:rsidRDefault="00C23D39" w:rsidP="00D21CE4">
            <w:pPr>
              <w:tabs>
                <w:tab w:val="left" w:pos="397"/>
              </w:tabs>
              <w:spacing w:before="90" w:after="54"/>
              <w:ind w:left="57"/>
            </w:pPr>
            <w:r>
              <w:t>Leverancier adviseert de Tweede Kamer per website over de mate van gedetailleerdheid waarmee data worden bewaard, zodat de behoefte aan rapportages en de snelheid waarmee de applicatie die rapportages kan genereren in balans zijn.</w:t>
            </w:r>
          </w:p>
        </w:tc>
        <w:tc>
          <w:tcPr>
            <w:tcW w:w="992" w:type="dxa"/>
          </w:tcPr>
          <w:p w:rsidR="00C23D39" w:rsidRPr="00425127" w:rsidRDefault="00C23D39" w:rsidP="00D21CE4">
            <w:pPr>
              <w:tabs>
                <w:tab w:val="left" w:pos="397"/>
              </w:tabs>
              <w:spacing w:before="90" w:after="54"/>
              <w:ind w:left="57"/>
            </w:pPr>
          </w:p>
        </w:tc>
        <w:tc>
          <w:tcPr>
            <w:tcW w:w="4820" w:type="dxa"/>
          </w:tcPr>
          <w:p w:rsidR="00C23D39" w:rsidRPr="00425127" w:rsidRDefault="00C23D39" w:rsidP="00D21CE4">
            <w:pPr>
              <w:tabs>
                <w:tab w:val="left" w:pos="397"/>
              </w:tabs>
              <w:spacing w:before="90" w:after="54"/>
              <w:ind w:left="57"/>
            </w:pPr>
          </w:p>
        </w:tc>
      </w:tr>
    </w:tbl>
    <w:p w:rsidR="00D45B08" w:rsidRDefault="00D45B08">
      <w:bookmarkStart w:id="0" w:name="_GoBack"/>
      <w:bookmarkEnd w:id="0"/>
    </w:p>
    <w:sectPr w:rsidR="00D45B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A467DA"/>
    <w:multiLevelType w:val="hybridMultilevel"/>
    <w:tmpl w:val="A9AA86DA"/>
    <w:lvl w:ilvl="0" w:tplc="3F7E3634">
      <w:start w:val="1"/>
      <w:numFmt w:val="decimal"/>
      <w:lvlText w:val="%1."/>
      <w:lvlJc w:val="left"/>
      <w:pPr>
        <w:tabs>
          <w:tab w:val="num" w:pos="360"/>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D39"/>
    <w:rsid w:val="004E469B"/>
    <w:rsid w:val="00C23D39"/>
    <w:rsid w:val="00D45B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uiPriority="99"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uiPriority w:val="99"/>
    <w:qFormat/>
    <w:rsid w:val="00C23D39"/>
    <w:rPr>
      <w:rFonts w:ascii="Verdana" w:eastAsia="MS Mincho" w:hAnsi="Verdana"/>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uiPriority="99"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uiPriority w:val="99"/>
    <w:qFormat/>
    <w:rsid w:val="00C23D39"/>
    <w:rPr>
      <w:rFonts w:ascii="Verdana" w:eastAsia="MS Mincho" w:hAnsi="Verdana"/>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2DB4572B</Template>
  <TotalTime>1</TotalTime>
  <Pages>1</Pages>
  <Words>80</Words>
  <Characters>484</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Tweede Kamer</Company>
  <LinksUpToDate>false</LinksUpToDate>
  <CharactersWithSpaces>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Bakker de E.W.</dc:creator>
  <cp:lastModifiedBy>Bakker de E.W.</cp:lastModifiedBy>
  <cp:revision>1</cp:revision>
  <dcterms:created xsi:type="dcterms:W3CDTF">2017-06-30T14:19:00Z</dcterms:created>
  <dcterms:modified xsi:type="dcterms:W3CDTF">2017-06-30T14:20:00Z</dcterms:modified>
</cp:coreProperties>
</file>