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96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061"/>
        <w:gridCol w:w="992"/>
        <w:gridCol w:w="4579"/>
      </w:tblGrid>
      <w:tr w:rsidR="00685126" w:rsidRPr="00425127" w:rsidTr="00685126">
        <w:tc>
          <w:tcPr>
            <w:tcW w:w="56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</w:tcPr>
          <w:p w:rsidR="00685126" w:rsidRPr="00425127" w:rsidRDefault="00685126" w:rsidP="00D21CE4">
            <w:pPr>
              <w:spacing w:before="90" w:after="54"/>
              <w:jc w:val="center"/>
              <w:rPr>
                <w:b/>
                <w:bCs/>
              </w:rPr>
            </w:pPr>
            <w:r w:rsidRPr="00425127">
              <w:rPr>
                <w:b/>
                <w:bCs/>
              </w:rPr>
              <w:t>Eis</w:t>
            </w:r>
          </w:p>
        </w:tc>
        <w:tc>
          <w:tcPr>
            <w:tcW w:w="50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</w:tcPr>
          <w:p w:rsidR="00685126" w:rsidRPr="00425127" w:rsidRDefault="00685126" w:rsidP="00D21CE4">
            <w:pPr>
              <w:spacing w:before="90" w:after="54"/>
              <w:jc w:val="center"/>
              <w:rPr>
                <w:b/>
                <w:bCs/>
              </w:rPr>
            </w:pPr>
            <w:r w:rsidRPr="00425127">
              <w:rPr>
                <w:b/>
                <w:bCs/>
              </w:rPr>
              <w:t>Stelling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</w:tcPr>
          <w:p w:rsidR="00685126" w:rsidRPr="00425127" w:rsidRDefault="00685126" w:rsidP="00D21CE4">
            <w:pPr>
              <w:spacing w:before="90" w:after="54"/>
              <w:jc w:val="center"/>
              <w:rPr>
                <w:b/>
                <w:bCs/>
              </w:rPr>
            </w:pPr>
            <w:r w:rsidRPr="00425127">
              <w:rPr>
                <w:b/>
                <w:bCs/>
              </w:rPr>
              <w:t>Ja/Nee</w:t>
            </w:r>
          </w:p>
        </w:tc>
        <w:tc>
          <w:tcPr>
            <w:tcW w:w="45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</w:tcPr>
          <w:p w:rsidR="00685126" w:rsidRPr="00425127" w:rsidRDefault="00685126" w:rsidP="00D21CE4">
            <w:pPr>
              <w:spacing w:before="90" w:after="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Toelichting</w:t>
            </w: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</w:t>
            </w:r>
            <w:r w:rsidRPr="0046406E">
              <w:t xml:space="preserve">stelt </w:t>
            </w:r>
            <w:proofErr w:type="spellStart"/>
            <w:r w:rsidRPr="0046406E">
              <w:t>Piwik</w:t>
            </w:r>
            <w:proofErr w:type="spellEnd"/>
            <w:r w:rsidRPr="0046406E">
              <w:t xml:space="preserve"> via een zogeheten SAAS-constructie beschikbaar voor de Kamer (hosting vindt plaats in Europa</w:t>
            </w:r>
            <w:r>
              <w:t>).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bookmarkStart w:id="0" w:name="_GoBack"/>
        <w:bookmarkEnd w:id="0"/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voert het functioneel en applicatiebeheer uit over de </w:t>
            </w:r>
            <w:proofErr w:type="spellStart"/>
            <w:r>
              <w:t>Piwik</w:t>
            </w:r>
            <w:proofErr w:type="spellEnd"/>
            <w:r>
              <w:t>-installatie.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>Leverancier voert de configuratie uit.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>Leverancier richt vijftig à zeventig vaste, specifieke rapportages in volgens opgave van de Kamer.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biedt de mogelijkheid om segmenten </w:t>
            </w:r>
            <w:r w:rsidRPr="002C693A">
              <w:t xml:space="preserve">vanuit verschillende invalshoeken </w:t>
            </w:r>
            <w:r>
              <w:t xml:space="preserve">te </w:t>
            </w:r>
            <w:r w:rsidRPr="002C693A">
              <w:t xml:space="preserve">bekijken. </w:t>
            </w:r>
            <w:r>
              <w:br/>
              <w:t>Voorbeeld: o</w:t>
            </w:r>
            <w:r w:rsidRPr="002C693A">
              <w:t xml:space="preserve">p intranet </w:t>
            </w:r>
            <w:r>
              <w:t>willen we</w:t>
            </w:r>
            <w:r w:rsidRPr="002C693A">
              <w:t xml:space="preserve"> </w:t>
            </w:r>
            <w:r>
              <w:t xml:space="preserve">weten </w:t>
            </w:r>
            <w:r w:rsidRPr="002C693A">
              <w:t>welke dossiers door een gebruikersgroep het vaakst is bekeken en omgedraaid welke gebruikersgroepen een bepaald dossier het vaakst hebben bekeken</w:t>
            </w:r>
            <w:r>
              <w:t>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biedt de mogelijkheid om </w:t>
            </w:r>
            <w:proofErr w:type="gramStart"/>
            <w:r>
              <w:t>middels</w:t>
            </w:r>
            <w:proofErr w:type="gramEnd"/>
            <w:r>
              <w:t xml:space="preserve"> ‘</w:t>
            </w:r>
            <w:proofErr w:type="spellStart"/>
            <w:r>
              <w:t>campaigns</w:t>
            </w:r>
            <w:proofErr w:type="spellEnd"/>
            <w:r>
              <w:t xml:space="preserve">’ de effectiviteit van sociale-media-activiteiten en andere tijdelijke </w:t>
            </w:r>
            <w:proofErr w:type="spellStart"/>
            <w:r>
              <w:t>webactiviteiten</w:t>
            </w:r>
            <w:proofErr w:type="spellEnd"/>
            <w:r>
              <w:t xml:space="preserve"> te meten.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Tweede Kamer </w:t>
            </w:r>
            <w:proofErr w:type="spellStart"/>
            <w:r>
              <w:t>Piwik</w:t>
            </w:r>
            <w:proofErr w:type="spellEnd"/>
            <w:r>
              <w:t xml:space="preserve"> data (vanaf 2015) worden in samenwerking met de huidige leverancier gekopieerd naar de nieuwe </w:t>
            </w:r>
            <w:proofErr w:type="spellStart"/>
            <w:r>
              <w:t>Piwik</w:t>
            </w:r>
            <w:proofErr w:type="spellEnd"/>
            <w:r>
              <w:t>-installatie.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Data kunnen worden geëxporteerd naar andere applicaties, zoals </w:t>
            </w:r>
            <w:proofErr w:type="spellStart"/>
            <w:r>
              <w:t>Cognos</w:t>
            </w:r>
            <w:proofErr w:type="spellEnd"/>
            <w:r>
              <w:t>, voor gebruik in bijvoorbeeld managementrapportages.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biedt de mogelijkheid om </w:t>
            </w:r>
            <w:r w:rsidRPr="00F32CD1">
              <w:t xml:space="preserve">specifieke </w:t>
            </w:r>
            <w:proofErr w:type="spellStart"/>
            <w:r w:rsidRPr="00F32CD1">
              <w:t>attenderingen</w:t>
            </w:r>
            <w:proofErr w:type="spellEnd"/>
            <w:r w:rsidRPr="00F32CD1">
              <w:t xml:space="preserve"> </w:t>
            </w:r>
            <w:r>
              <w:t xml:space="preserve">te </w:t>
            </w:r>
            <w:r w:rsidRPr="00F32CD1">
              <w:t xml:space="preserve">maken, </w:t>
            </w:r>
            <w:r>
              <w:t xml:space="preserve">waarmee </w:t>
            </w:r>
            <w:r w:rsidRPr="00F32CD1">
              <w:t>rapportage</w:t>
            </w:r>
            <w:r>
              <w:t>s</w:t>
            </w:r>
            <w:r w:rsidRPr="00F32CD1">
              <w:t xml:space="preserve"> periodiek </w:t>
            </w:r>
            <w:r>
              <w:t xml:space="preserve">gemaild kunnen worden naar </w:t>
            </w:r>
            <w:r w:rsidRPr="00F32CD1">
              <w:t>aan een groep</w:t>
            </w:r>
            <w:r>
              <w:t xml:space="preserve"> die n</w:t>
            </w:r>
            <w:r w:rsidRPr="00F32CD1">
              <w:t xml:space="preserve">iet </w:t>
            </w:r>
            <w:proofErr w:type="gramStart"/>
            <w:r w:rsidRPr="00F32CD1">
              <w:t>per se</w:t>
            </w:r>
            <w:proofErr w:type="gramEnd"/>
            <w:r w:rsidRPr="00F32CD1">
              <w:t xml:space="preserve"> toegang he</w:t>
            </w:r>
            <w:r>
              <w:t xml:space="preserve">eft </w:t>
            </w:r>
            <w:r w:rsidRPr="00F32CD1">
              <w:t xml:space="preserve">tot </w:t>
            </w:r>
            <w:proofErr w:type="spellStart"/>
            <w:r w:rsidRPr="00F32CD1">
              <w:t>P</w:t>
            </w:r>
            <w:r>
              <w:t>iwik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biedt de mogelijkheid om inzicht te hebben in </w:t>
            </w:r>
            <w:r w:rsidRPr="00F32CD1">
              <w:t>welke pagina’s / dossiers er door internen worden geraadpleegd en welke door externen</w:t>
            </w:r>
            <w:r>
              <w:t>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 xml:space="preserve">Leverancier biedt de mogelijkheid om inzicht te hebben in welke </w:t>
            </w:r>
            <w:r w:rsidRPr="00F32CD1">
              <w:t>zoekvragen eindgebruikers hebben gesteld</w:t>
            </w:r>
            <w:r>
              <w:t xml:space="preserve"> en </w:t>
            </w:r>
            <w:r w:rsidRPr="00F32CD1">
              <w:t>welke wél en welke géén resultaat hebben opgeleverd</w:t>
            </w:r>
            <w:r>
              <w:t>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  <w:tr w:rsidR="00685126" w:rsidRPr="00425127" w:rsidTr="00685126">
        <w:tc>
          <w:tcPr>
            <w:tcW w:w="567" w:type="dxa"/>
            <w:shd w:val="clear" w:color="auto" w:fill="E6E6E6"/>
          </w:tcPr>
          <w:p w:rsidR="00685126" w:rsidRPr="00425127" w:rsidRDefault="00685126" w:rsidP="00685126">
            <w:pPr>
              <w:numPr>
                <w:ilvl w:val="0"/>
                <w:numId w:val="1"/>
              </w:numPr>
              <w:tabs>
                <w:tab w:val="clear" w:pos="227"/>
                <w:tab w:val="num" w:pos="369"/>
              </w:tabs>
              <w:spacing w:before="90" w:after="54" w:line="312" w:lineRule="auto"/>
              <w:ind w:left="57" w:firstLine="0"/>
              <w:jc w:val="both"/>
              <w:rPr>
                <w:rFonts w:cs="Tahoma"/>
              </w:rPr>
            </w:pPr>
          </w:p>
        </w:tc>
        <w:tc>
          <w:tcPr>
            <w:tcW w:w="5061" w:type="dxa"/>
          </w:tcPr>
          <w:p w:rsidR="00685126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  <w:r>
              <w:t>Leverancier legt één referentie voor met vergelijkbare dienstverlening.</w:t>
            </w:r>
          </w:p>
        </w:tc>
        <w:tc>
          <w:tcPr>
            <w:tcW w:w="992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  <w:tc>
          <w:tcPr>
            <w:tcW w:w="4579" w:type="dxa"/>
          </w:tcPr>
          <w:p w:rsidR="00685126" w:rsidRPr="00425127" w:rsidRDefault="00685126" w:rsidP="00D21CE4">
            <w:pPr>
              <w:tabs>
                <w:tab w:val="left" w:pos="397"/>
              </w:tabs>
              <w:spacing w:before="90" w:after="54"/>
              <w:ind w:left="57"/>
            </w:pPr>
          </w:p>
        </w:tc>
      </w:tr>
    </w:tbl>
    <w:p w:rsidR="00D45B08" w:rsidRDefault="00D45B08"/>
    <w:sectPr w:rsidR="00D4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26"/>
    <w:rsid w:val="004E469B"/>
    <w:rsid w:val="00685126"/>
    <w:rsid w:val="00D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iPriority w:val="99"/>
    <w:qFormat/>
    <w:rsid w:val="00685126"/>
    <w:rPr>
      <w:rFonts w:ascii="Verdana" w:eastAsia="MS Mincho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iPriority w:val="99"/>
    <w:qFormat/>
    <w:rsid w:val="00685126"/>
    <w:rPr>
      <w:rFonts w:ascii="Verdana" w:eastAsia="MS Mincho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2DB4572B</Template>
  <TotalTime>2</TotalTime>
  <Pages>1</Pages>
  <Words>227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Bakker de E.W.</dc:creator>
  <cp:lastModifiedBy>Bakker de E.W.</cp:lastModifiedBy>
  <cp:revision>1</cp:revision>
  <dcterms:created xsi:type="dcterms:W3CDTF">2017-06-30T14:16:00Z</dcterms:created>
  <dcterms:modified xsi:type="dcterms:W3CDTF">2017-06-30T14:18:00Z</dcterms:modified>
</cp:coreProperties>
</file>