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4113F" w14:textId="77777777" w:rsidR="00EC151A" w:rsidRDefault="00EC151A" w:rsidP="00EC151A">
      <w:pPr>
        <w:pStyle w:val="Kop1"/>
        <w:rPr>
          <w:lang w:val="en-US"/>
        </w:rPr>
      </w:pPr>
      <w:bookmarkStart w:id="0" w:name="_Toc469596333"/>
      <w:bookmarkStart w:id="1" w:name="_Toc472970104"/>
      <w:r w:rsidRPr="00C4257E">
        <w:rPr>
          <w:lang w:val="en-US"/>
        </w:rPr>
        <w:t xml:space="preserve">Bijlage </w:t>
      </w:r>
      <w:r>
        <w:rPr>
          <w:lang w:val="en-US"/>
        </w:rPr>
        <w:t>10</w:t>
      </w:r>
      <w:r w:rsidRPr="00C4257E">
        <w:rPr>
          <w:lang w:val="en-US"/>
        </w:rPr>
        <w:t xml:space="preserve"> </w:t>
      </w:r>
      <w:r>
        <w:rPr>
          <w:lang w:val="en-US"/>
        </w:rPr>
        <w:t>N</w:t>
      </w:r>
      <w:r w:rsidR="00D37354">
        <w:rPr>
          <w:lang w:val="en-US"/>
        </w:rPr>
        <w:t>ationale</w:t>
      </w:r>
      <w:r>
        <w:rPr>
          <w:lang w:val="en-US"/>
        </w:rPr>
        <w:t xml:space="preserve"> S</w:t>
      </w:r>
      <w:r w:rsidR="00D37354">
        <w:rPr>
          <w:lang w:val="en-US"/>
        </w:rPr>
        <w:t>tudenten</w:t>
      </w:r>
      <w:r>
        <w:rPr>
          <w:lang w:val="en-US"/>
        </w:rPr>
        <w:t xml:space="preserve"> enquete </w:t>
      </w:r>
      <w:r w:rsidR="00D37354">
        <w:rPr>
          <w:lang w:val="en-US"/>
        </w:rPr>
        <w:t xml:space="preserve">(nse) </w:t>
      </w:r>
      <w:r>
        <w:rPr>
          <w:lang w:val="en-US"/>
        </w:rPr>
        <w:t>2016</w:t>
      </w:r>
      <w:bookmarkEnd w:id="0"/>
      <w:bookmarkEnd w:id="1"/>
    </w:p>
    <w:p w14:paraId="16241140" w14:textId="77777777" w:rsidR="00D37354" w:rsidRDefault="00D37354" w:rsidP="00D37354">
      <w:pPr>
        <w:rPr>
          <w:lang w:val="en-US"/>
        </w:rPr>
      </w:pPr>
      <w:r>
        <w:rPr>
          <w:lang w:val="en-US"/>
        </w:rPr>
        <w:t xml:space="preserve">De NSE cijfers worden weergegeven in een 5-puntschaal.  </w:t>
      </w:r>
      <w:r>
        <w:rPr>
          <w:lang w:val="en-US"/>
        </w:rPr>
        <w:br/>
        <w:t>Fontys heeft in de NSE additionale vragen opgenomen die alleen aan Fontys studenten worden gesteld. De scores van de meting in 2016 is als volgt:</w:t>
      </w:r>
      <w:r>
        <w:rPr>
          <w:lang w:val="en-US"/>
        </w:rPr>
        <w:br/>
      </w:r>
      <w:r>
        <w:rPr>
          <w:lang w:val="en-US"/>
        </w:rPr>
        <w:br/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9"/>
        <w:gridCol w:w="671"/>
        <w:gridCol w:w="711"/>
        <w:gridCol w:w="671"/>
        <w:gridCol w:w="1120"/>
      </w:tblGrid>
      <w:tr w:rsidR="00D37354" w:rsidRPr="00D37354" w14:paraId="16241146" w14:textId="77777777" w:rsidTr="00D37354">
        <w:trPr>
          <w:trHeight w:val="411"/>
        </w:trPr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1141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NSE 2016 Aanvullende vragen Huisvesting en Facilitaire Zaken (Fontystotaal en uitgesplitst naar vorm)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42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Voltijd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43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Deeltijd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1144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Duaal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1145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fontys totaal</w:t>
            </w:r>
          </w:p>
        </w:tc>
      </w:tr>
      <w:tr w:rsidR="00D37354" w:rsidRPr="00D37354" w14:paraId="1624114C" w14:textId="77777777" w:rsidTr="00D37354">
        <w:trPr>
          <w:trHeight w:val="205"/>
        </w:trPr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1147" w14:textId="77777777" w:rsidR="00D37354" w:rsidRPr="00D37354" w:rsidRDefault="00D37354" w:rsidP="00D37354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148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15772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149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2821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14A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114B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18758</w:t>
            </w:r>
          </w:p>
        </w:tc>
      </w:tr>
      <w:tr w:rsidR="00D37354" w:rsidRPr="00D37354" w14:paraId="16241152" w14:textId="77777777" w:rsidTr="00D37354">
        <w:trPr>
          <w:trHeight w:val="205"/>
        </w:trPr>
        <w:tc>
          <w:tcPr>
            <w:tcW w:w="5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24114D" w14:textId="77777777" w:rsidR="00D37354" w:rsidRPr="00D37354" w:rsidRDefault="00D37354" w:rsidP="00D37354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Het aanbod van de restauratieve voorzieningen (restaurant en automaten) op je locatie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14E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14F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150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1151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3,58</w:t>
            </w:r>
          </w:p>
        </w:tc>
      </w:tr>
      <w:tr w:rsidR="00D37354" w:rsidRPr="00D37354" w14:paraId="16241158" w14:textId="77777777" w:rsidTr="00D37354">
        <w:trPr>
          <w:trHeight w:val="205"/>
        </w:trPr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1153" w14:textId="77777777" w:rsidR="00D37354" w:rsidRPr="00D37354" w:rsidRDefault="00D37354" w:rsidP="00D37354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De kwaliteit van het aanbod van de restauratieve voorzieningen (restaurant en automaten) op je locatie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54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55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56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1157" w14:textId="77777777" w:rsidR="00D37354" w:rsidRPr="00D37354" w:rsidRDefault="00D37354" w:rsidP="00D3735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7354">
              <w:rPr>
                <w:rFonts w:ascii="Calibri" w:hAnsi="Calibri" w:cs="Arial"/>
                <w:color w:val="000000"/>
                <w:sz w:val="18"/>
                <w:szCs w:val="18"/>
              </w:rPr>
              <w:t>3,53</w:t>
            </w:r>
          </w:p>
        </w:tc>
        <w:bookmarkStart w:id="2" w:name="_GoBack"/>
        <w:bookmarkEnd w:id="2"/>
      </w:tr>
    </w:tbl>
    <w:p w14:paraId="16241159" w14:textId="21CA0D65" w:rsidR="00D37354" w:rsidRDefault="00D37354" w:rsidP="00D37354">
      <w:pPr>
        <w:rPr>
          <w:lang w:val="en-US"/>
        </w:rPr>
      </w:pPr>
      <w:r>
        <w:rPr>
          <w:lang w:val="en-US"/>
        </w:rPr>
        <w:br/>
        <w:t>Uitgesplist en ve</w:t>
      </w:r>
      <w:r w:rsidR="00FB425B">
        <w:rPr>
          <w:lang w:val="en-US"/>
        </w:rPr>
        <w:t>r</w:t>
      </w:r>
      <w:r>
        <w:rPr>
          <w:lang w:val="en-US"/>
        </w:rPr>
        <w:t>taald naar een 10-puntschaal zijn de scores:</w:t>
      </w:r>
      <w:r>
        <w:rPr>
          <w:lang w:val="en-US"/>
        </w:rPr>
        <w:br/>
      </w:r>
    </w:p>
    <w:p w14:paraId="1624115A" w14:textId="77777777" w:rsidR="00D37354" w:rsidRPr="00D37354" w:rsidRDefault="00D37354" w:rsidP="00D37354">
      <w:pPr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"/>
        <w:gridCol w:w="1582"/>
        <w:gridCol w:w="3147"/>
        <w:gridCol w:w="14"/>
        <w:gridCol w:w="2093"/>
        <w:gridCol w:w="2220"/>
      </w:tblGrid>
      <w:tr w:rsidR="00EC151A" w:rsidRPr="00444BE5" w14:paraId="1624115F" w14:textId="77777777" w:rsidTr="00362D26">
        <w:trPr>
          <w:gridBefore w:val="1"/>
          <w:wBefore w:w="17" w:type="pct"/>
          <w:trHeight w:val="270"/>
        </w:trPr>
        <w:tc>
          <w:tcPr>
            <w:tcW w:w="10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FA7CC"/>
            <w:vAlign w:val="center"/>
            <w:hideMark/>
          </w:tcPr>
          <w:p w14:paraId="1624115B" w14:textId="77777777" w:rsidR="00EC151A" w:rsidRPr="00444BE5" w:rsidRDefault="00EC151A" w:rsidP="00362D26">
            <w:pPr>
              <w:contextualSpacing/>
              <w:rPr>
                <w:b/>
                <w:bCs/>
                <w:color w:val="000000"/>
                <w:sz w:val="18"/>
              </w:rPr>
            </w:pPr>
            <w:r w:rsidRPr="00444BE5">
              <w:rPr>
                <w:b/>
                <w:bCs/>
                <w:color w:val="000000"/>
                <w:sz w:val="18"/>
              </w:rPr>
              <w:t>Locatie</w:t>
            </w:r>
          </w:p>
        </w:tc>
        <w:tc>
          <w:tcPr>
            <w:tcW w:w="19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FA7CC"/>
            <w:vAlign w:val="center"/>
            <w:hideMark/>
          </w:tcPr>
          <w:p w14:paraId="1624115C" w14:textId="77777777" w:rsidR="00EC151A" w:rsidRPr="00444BE5" w:rsidRDefault="00EC151A" w:rsidP="00362D26">
            <w:pPr>
              <w:contextualSpacing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Gebouw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FA7CC"/>
            <w:noWrap/>
            <w:vAlign w:val="center"/>
            <w:hideMark/>
          </w:tcPr>
          <w:p w14:paraId="1624115D" w14:textId="77777777" w:rsidR="00EC151A" w:rsidRPr="00444BE5" w:rsidRDefault="00EC151A" w:rsidP="00362D26">
            <w:pPr>
              <w:contextualSpacing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T</w:t>
            </w:r>
            <w:r w:rsidRPr="00444BE5">
              <w:rPr>
                <w:b/>
                <w:bCs/>
                <w:color w:val="000000"/>
                <w:sz w:val="18"/>
              </w:rPr>
              <w:t>evredenheid aanbod</w:t>
            </w: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FA7CC"/>
            <w:noWrap/>
            <w:vAlign w:val="center"/>
            <w:hideMark/>
          </w:tcPr>
          <w:p w14:paraId="1624115E" w14:textId="77777777" w:rsidR="00EC151A" w:rsidRPr="00444BE5" w:rsidRDefault="00EC151A" w:rsidP="00362D26">
            <w:pPr>
              <w:contextualSpacing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T</w:t>
            </w:r>
            <w:r w:rsidRPr="00444BE5">
              <w:rPr>
                <w:b/>
                <w:bCs/>
                <w:color w:val="000000"/>
                <w:sz w:val="18"/>
              </w:rPr>
              <w:t>evredenheid kwaliteit</w:t>
            </w:r>
          </w:p>
        </w:tc>
      </w:tr>
      <w:tr w:rsidR="00EC151A" w:rsidRPr="00444BE5" w14:paraId="16241164" w14:textId="77777777" w:rsidTr="00362D26">
        <w:trPr>
          <w:gridBefore w:val="1"/>
          <w:wBefore w:w="17" w:type="pct"/>
          <w:trHeight w:val="249"/>
        </w:trPr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60" w14:textId="77777777" w:rsidR="00EC151A" w:rsidRPr="00444BE5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Den Bosch</w:t>
            </w:r>
          </w:p>
        </w:tc>
        <w:tc>
          <w:tcPr>
            <w:tcW w:w="19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241161" w14:textId="77777777" w:rsidR="00EC151A" w:rsidRPr="00444BE5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FF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62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63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7,4</w:t>
            </w:r>
          </w:p>
        </w:tc>
      </w:tr>
      <w:tr w:rsidR="00EC151A" w:rsidRPr="00444BE5" w14:paraId="16241169" w14:textId="77777777" w:rsidTr="00362D26">
        <w:trPr>
          <w:gridBefore w:val="1"/>
          <w:wBefore w:w="17" w:type="pct"/>
          <w:trHeight w:val="240"/>
        </w:trPr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65" w14:textId="77777777" w:rsidR="00EC151A" w:rsidRPr="00444BE5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Sittard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41166" w14:textId="77777777" w:rsidR="00EC151A" w:rsidRPr="00444BE5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CL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67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68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7,4</w:t>
            </w:r>
          </w:p>
        </w:tc>
      </w:tr>
      <w:tr w:rsidR="00EC151A" w:rsidRPr="00444BE5" w14:paraId="1624116E" w14:textId="77777777" w:rsidTr="00362D26">
        <w:trPr>
          <w:gridBefore w:val="1"/>
          <w:wBefore w:w="17" w:type="pct"/>
          <w:trHeight w:val="240"/>
        </w:trPr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6A" w14:textId="77777777" w:rsidR="00EC151A" w:rsidRPr="00444BE5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Venlo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6B" w14:textId="77777777" w:rsidR="00EC151A" w:rsidRPr="00444BE5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W1, W3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6C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6D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6,9</w:t>
            </w:r>
          </w:p>
        </w:tc>
      </w:tr>
      <w:tr w:rsidR="00EC151A" w:rsidRPr="00444BE5" w14:paraId="16241173" w14:textId="77777777" w:rsidTr="00362D26">
        <w:trPr>
          <w:gridBefore w:val="1"/>
          <w:wBefore w:w="17" w:type="pct"/>
          <w:trHeight w:val="255"/>
        </w:trPr>
        <w:tc>
          <w:tcPr>
            <w:tcW w:w="10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6F" w14:textId="77777777" w:rsidR="00EC151A" w:rsidRPr="00C60169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60169">
              <w:rPr>
                <w:rFonts w:ascii="Calibri" w:hAnsi="Calibri" w:cs="Arial"/>
                <w:color w:val="000000"/>
                <w:sz w:val="18"/>
                <w:szCs w:val="18"/>
              </w:rPr>
              <w:t>Eindhoven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70" w14:textId="77777777" w:rsidR="00EC151A" w:rsidRPr="00444BE5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R1=+R5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71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72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6,9</w:t>
            </w:r>
          </w:p>
        </w:tc>
      </w:tr>
      <w:tr w:rsidR="00EC151A" w:rsidRPr="00444BE5" w14:paraId="16241178" w14:textId="77777777" w:rsidTr="00362D26">
        <w:trPr>
          <w:gridBefore w:val="1"/>
          <w:wBefore w:w="17" w:type="pct"/>
          <w:trHeight w:val="240"/>
        </w:trPr>
        <w:tc>
          <w:tcPr>
            <w:tcW w:w="104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41174" w14:textId="77777777" w:rsidR="00EC151A" w:rsidRPr="00F33A81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75" w14:textId="77777777" w:rsidR="00EC151A" w:rsidRPr="00444BE5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R3+R4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76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77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6,9</w:t>
            </w:r>
          </w:p>
        </w:tc>
      </w:tr>
      <w:tr w:rsidR="00EC151A" w:rsidRPr="00444BE5" w14:paraId="1624117D" w14:textId="77777777" w:rsidTr="00362D26">
        <w:trPr>
          <w:gridBefore w:val="1"/>
          <w:wBefore w:w="17" w:type="pct"/>
          <w:trHeight w:val="240"/>
        </w:trPr>
        <w:tc>
          <w:tcPr>
            <w:tcW w:w="104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41179" w14:textId="77777777" w:rsidR="00EC151A" w:rsidRPr="00F33A81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7A" w14:textId="77777777" w:rsidR="00EC151A" w:rsidRPr="00444BE5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S3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7B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7C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7,6</w:t>
            </w:r>
          </w:p>
        </w:tc>
      </w:tr>
      <w:tr w:rsidR="00EC151A" w:rsidRPr="00444BE5" w14:paraId="16241182" w14:textId="77777777" w:rsidTr="00362D26">
        <w:trPr>
          <w:gridBefore w:val="1"/>
          <w:wBefore w:w="17" w:type="pct"/>
          <w:trHeight w:val="240"/>
        </w:trPr>
        <w:tc>
          <w:tcPr>
            <w:tcW w:w="104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4117E" w14:textId="77777777" w:rsidR="00EC151A" w:rsidRPr="00F33A81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7F" w14:textId="77777777" w:rsidR="00EC151A" w:rsidRPr="00444BE5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H4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80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81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7,8</w:t>
            </w:r>
          </w:p>
        </w:tc>
      </w:tr>
      <w:tr w:rsidR="00EC151A" w:rsidRPr="00444BE5" w14:paraId="16241187" w14:textId="77777777" w:rsidTr="00362D26">
        <w:trPr>
          <w:gridBefore w:val="1"/>
          <w:wBefore w:w="17" w:type="pct"/>
          <w:trHeight w:val="240"/>
        </w:trPr>
        <w:tc>
          <w:tcPr>
            <w:tcW w:w="104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241183" w14:textId="77777777" w:rsidR="00EC151A" w:rsidRPr="00F33A81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241184" w14:textId="77777777" w:rsidR="00EC151A" w:rsidRPr="00444BE5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TF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241185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241186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color w:val="000000"/>
                <w:sz w:val="18"/>
                <w:szCs w:val="18"/>
              </w:rPr>
              <w:t>7,2</w:t>
            </w:r>
          </w:p>
        </w:tc>
      </w:tr>
      <w:tr w:rsidR="00EC151A" w:rsidRPr="00D72254" w14:paraId="1624118C" w14:textId="77777777" w:rsidTr="00362D26">
        <w:trPr>
          <w:gridBefore w:val="1"/>
          <w:wBefore w:w="17" w:type="pct"/>
          <w:trHeight w:val="240"/>
        </w:trPr>
        <w:tc>
          <w:tcPr>
            <w:tcW w:w="104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41188" w14:textId="77777777" w:rsidR="00EC151A" w:rsidRPr="00F33A81" w:rsidRDefault="00EC151A" w:rsidP="00362D26">
            <w:pPr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89" w14:textId="77777777" w:rsidR="00EC151A" w:rsidRPr="00444BE5" w:rsidRDefault="00EC151A" w:rsidP="00362D26">
            <w:pPr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Gemiddelde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8A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8B" w14:textId="77777777" w:rsidR="00EC151A" w:rsidRPr="00444BE5" w:rsidRDefault="00EC151A" w:rsidP="00362D26">
            <w:pPr>
              <w:contextualSpacing/>
              <w:jc w:val="center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444BE5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7,1</w:t>
            </w:r>
          </w:p>
        </w:tc>
      </w:tr>
      <w:tr w:rsidR="00EC151A" w:rsidRPr="00F33A81" w14:paraId="16241191" w14:textId="77777777" w:rsidTr="00362D26">
        <w:trPr>
          <w:trHeight w:val="255"/>
        </w:trPr>
        <w:tc>
          <w:tcPr>
            <w:tcW w:w="106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8D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color w:val="000000"/>
                <w:sz w:val="18"/>
                <w:szCs w:val="18"/>
              </w:rPr>
              <w:t>Tilburg</w:t>
            </w:r>
          </w:p>
        </w:tc>
        <w:tc>
          <w:tcPr>
            <w:tcW w:w="1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8E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P1, P2, P3, P4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8F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90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color w:val="000000"/>
                <w:sz w:val="18"/>
                <w:szCs w:val="18"/>
              </w:rPr>
              <w:t>7,4</w:t>
            </w:r>
          </w:p>
        </w:tc>
      </w:tr>
      <w:tr w:rsidR="00EC151A" w:rsidRPr="00F33A81" w14:paraId="16241196" w14:textId="77777777" w:rsidTr="00362D26">
        <w:trPr>
          <w:trHeight w:val="240"/>
        </w:trPr>
        <w:tc>
          <w:tcPr>
            <w:tcW w:w="10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41192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93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MD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94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95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color w:val="000000"/>
                <w:sz w:val="18"/>
                <w:szCs w:val="18"/>
              </w:rPr>
              <w:t>7,0</w:t>
            </w:r>
          </w:p>
        </w:tc>
      </w:tr>
      <w:tr w:rsidR="00EC151A" w:rsidRPr="00F33A81" w14:paraId="1624119B" w14:textId="77777777" w:rsidTr="00362D26">
        <w:trPr>
          <w:trHeight w:val="240"/>
        </w:trPr>
        <w:tc>
          <w:tcPr>
            <w:tcW w:w="10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41197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41198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GI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99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9A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color w:val="000000"/>
                <w:sz w:val="18"/>
                <w:szCs w:val="18"/>
              </w:rPr>
              <w:t>6,3</w:t>
            </w:r>
          </w:p>
        </w:tc>
      </w:tr>
      <w:tr w:rsidR="00EC151A" w:rsidRPr="00F33A81" w14:paraId="162411A0" w14:textId="77777777" w:rsidTr="00362D26">
        <w:trPr>
          <w:trHeight w:val="240"/>
        </w:trPr>
        <w:tc>
          <w:tcPr>
            <w:tcW w:w="10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4119C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4119D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ZP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9E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9F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color w:val="000000"/>
                <w:sz w:val="18"/>
                <w:szCs w:val="18"/>
              </w:rPr>
              <w:t>7,1</w:t>
            </w:r>
          </w:p>
        </w:tc>
      </w:tr>
      <w:tr w:rsidR="00EC151A" w:rsidRPr="00F33A81" w14:paraId="162411A5" w14:textId="77777777" w:rsidTr="00362D26">
        <w:trPr>
          <w:trHeight w:val="240"/>
        </w:trPr>
        <w:tc>
          <w:tcPr>
            <w:tcW w:w="10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411A1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411A2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Gemiddelde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A3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11A4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7,2</w:t>
            </w:r>
          </w:p>
        </w:tc>
      </w:tr>
      <w:tr w:rsidR="00EC151A" w:rsidRPr="00F33A81" w14:paraId="162411AA" w14:textId="77777777" w:rsidTr="00362D26">
        <w:trPr>
          <w:trHeight w:val="240"/>
        </w:trPr>
        <w:tc>
          <w:tcPr>
            <w:tcW w:w="10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411A6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Gemiddeld voltijd</w:t>
            </w:r>
          </w:p>
        </w:tc>
        <w:tc>
          <w:tcPr>
            <w:tcW w:w="18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11A7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1A8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1A9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7,4</w:t>
            </w:r>
          </w:p>
        </w:tc>
      </w:tr>
      <w:tr w:rsidR="00EC151A" w:rsidRPr="00F33A81" w14:paraId="162411AE" w14:textId="77777777" w:rsidTr="00362D26">
        <w:trPr>
          <w:trHeight w:val="240"/>
        </w:trPr>
        <w:tc>
          <w:tcPr>
            <w:tcW w:w="28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411AB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Gemiddeld deeltijd</w:t>
            </w:r>
          </w:p>
        </w:tc>
        <w:tc>
          <w:tcPr>
            <w:tcW w:w="10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1AC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1AD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6,9</w:t>
            </w:r>
          </w:p>
        </w:tc>
      </w:tr>
      <w:tr w:rsidR="00EC151A" w:rsidRPr="00F33A81" w14:paraId="162411B3" w14:textId="77777777" w:rsidTr="00362D26">
        <w:trPr>
          <w:trHeight w:val="240"/>
        </w:trPr>
        <w:tc>
          <w:tcPr>
            <w:tcW w:w="10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411AF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Gemiddeld duaal</w:t>
            </w:r>
          </w:p>
        </w:tc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11B0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1B1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1B2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7,7</w:t>
            </w:r>
          </w:p>
        </w:tc>
      </w:tr>
      <w:tr w:rsidR="00EC151A" w:rsidRPr="00884A53" w14:paraId="162411B8" w14:textId="77777777" w:rsidTr="00362D26">
        <w:trPr>
          <w:trHeight w:val="255"/>
        </w:trPr>
        <w:tc>
          <w:tcPr>
            <w:tcW w:w="10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2411B4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Gemiddeld totaal</w:t>
            </w:r>
          </w:p>
        </w:tc>
        <w:tc>
          <w:tcPr>
            <w:tcW w:w="182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2411B5" w14:textId="77777777" w:rsidR="00EC151A" w:rsidRPr="00903F80" w:rsidRDefault="00EC151A" w:rsidP="00362D26">
            <w:pPr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B6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11B7" w14:textId="77777777" w:rsidR="00EC151A" w:rsidRPr="00903F80" w:rsidRDefault="00EC151A" w:rsidP="00362D26">
            <w:pPr>
              <w:contextualSpacing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03F8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7,1</w:t>
            </w:r>
          </w:p>
        </w:tc>
      </w:tr>
    </w:tbl>
    <w:p w14:paraId="162411B9" w14:textId="77777777" w:rsidR="00EC151A" w:rsidRPr="00EC151A" w:rsidRDefault="00EC151A" w:rsidP="00EC151A">
      <w:pPr>
        <w:pStyle w:val="Kop1"/>
        <w:rPr>
          <w:rFonts w:cs="Tahoma"/>
          <w:szCs w:val="20"/>
          <w:lang w:eastAsia="en-US"/>
        </w:rPr>
      </w:pPr>
      <w:bookmarkStart w:id="3" w:name="_Toc376936128"/>
      <w:bookmarkStart w:id="4" w:name="_Toc376946007"/>
      <w:bookmarkStart w:id="5" w:name="_Toc376954072"/>
      <w:bookmarkStart w:id="6" w:name="_Toc464805774"/>
      <w:bookmarkStart w:id="7" w:name="_Toc465259222"/>
      <w:bookmarkStart w:id="8" w:name="_Toc376936129"/>
      <w:bookmarkStart w:id="9" w:name="_Toc376946008"/>
      <w:bookmarkStart w:id="10" w:name="_Toc376954073"/>
      <w:bookmarkStart w:id="11" w:name="_Toc464805775"/>
      <w:bookmarkStart w:id="12" w:name="_Toc465259223"/>
      <w:bookmarkStart w:id="13" w:name="_Toc468713731"/>
      <w:bookmarkStart w:id="14" w:name="_Toc468713796"/>
      <w:bookmarkStart w:id="15" w:name="_Toc469358920"/>
      <w:bookmarkStart w:id="16" w:name="_Toc375554848"/>
      <w:bookmarkStart w:id="17" w:name="_Toc376936151"/>
      <w:bookmarkStart w:id="18" w:name="_Toc376946030"/>
      <w:bookmarkStart w:id="19" w:name="_Toc376954095"/>
      <w:bookmarkStart w:id="20" w:name="_Toc464805796"/>
      <w:bookmarkStart w:id="21" w:name="_Toc465259250"/>
      <w:bookmarkStart w:id="22" w:name="_Toc375554854"/>
      <w:bookmarkStart w:id="23" w:name="_Toc376936157"/>
      <w:bookmarkStart w:id="24" w:name="_Toc376946036"/>
      <w:bookmarkStart w:id="25" w:name="_Toc376954101"/>
      <w:bookmarkStart w:id="26" w:name="_Toc464805802"/>
      <w:bookmarkStart w:id="27" w:name="_Toc465259256"/>
      <w:bookmarkStart w:id="28" w:name="_Toc468713741"/>
      <w:bookmarkStart w:id="29" w:name="_Toc468713806"/>
      <w:bookmarkStart w:id="30" w:name="_Toc469358930"/>
      <w:bookmarkStart w:id="31" w:name="_Toc468713743"/>
      <w:bookmarkStart w:id="32" w:name="_Toc468713808"/>
      <w:bookmarkStart w:id="33" w:name="_Toc469358932"/>
      <w:bookmarkStart w:id="34" w:name="_Toc468713746"/>
      <w:bookmarkStart w:id="35" w:name="_Toc468713811"/>
      <w:bookmarkStart w:id="36" w:name="_Toc469358935"/>
      <w:bookmarkStart w:id="37" w:name="_Toc468713748"/>
      <w:bookmarkStart w:id="38" w:name="_Toc468713813"/>
      <w:bookmarkStart w:id="39" w:name="_Toc469358937"/>
      <w:bookmarkStart w:id="40" w:name="_Toc468713750"/>
      <w:bookmarkStart w:id="41" w:name="_Toc468713815"/>
      <w:bookmarkStart w:id="42" w:name="_Toc469358939"/>
      <w:bookmarkStart w:id="43" w:name="_Toc468713752"/>
      <w:bookmarkStart w:id="44" w:name="_Toc468713817"/>
      <w:bookmarkStart w:id="45" w:name="_Toc469358941"/>
      <w:bookmarkStart w:id="46" w:name="_Toc468713753"/>
      <w:bookmarkStart w:id="47" w:name="_Toc468713818"/>
      <w:bookmarkStart w:id="48" w:name="_Toc469358942"/>
      <w:bookmarkStart w:id="49" w:name="_Toc468713755"/>
      <w:bookmarkStart w:id="50" w:name="_Toc468713820"/>
      <w:bookmarkStart w:id="51" w:name="_Toc469358944"/>
      <w:bookmarkStart w:id="52" w:name="_Toc468713757"/>
      <w:bookmarkStart w:id="53" w:name="_Toc468713822"/>
      <w:bookmarkStart w:id="54" w:name="_Toc469358946"/>
      <w:bookmarkStart w:id="55" w:name="_Toc468713759"/>
      <w:bookmarkStart w:id="56" w:name="_Toc468713824"/>
      <w:bookmarkStart w:id="57" w:name="_Toc469358948"/>
      <w:bookmarkStart w:id="58" w:name="_Toc468713761"/>
      <w:bookmarkStart w:id="59" w:name="_Toc468713826"/>
      <w:bookmarkStart w:id="60" w:name="_Toc46935895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sectPr w:rsidR="00EC151A" w:rsidRPr="00EC151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411C0" w14:textId="77777777" w:rsidR="00593464" w:rsidRDefault="00FB425B">
      <w:r>
        <w:separator/>
      </w:r>
    </w:p>
  </w:endnote>
  <w:endnote w:type="continuationSeparator" w:id="0">
    <w:p w14:paraId="162411C2" w14:textId="77777777" w:rsidR="00593464" w:rsidRDefault="00FB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1BA" w14:textId="77777777" w:rsidR="00CC3C86" w:rsidRDefault="00B73278" w:rsidP="00C02EFA">
    <w:pPr>
      <w:pStyle w:val="Voettekst"/>
      <w:jc w:val="center"/>
    </w:pPr>
  </w:p>
  <w:p w14:paraId="162411BB" w14:textId="77777777" w:rsidR="00CC3C86" w:rsidRDefault="00B7327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411BC" w14:textId="77777777" w:rsidR="00593464" w:rsidRDefault="00FB425B">
      <w:r>
        <w:separator/>
      </w:r>
    </w:p>
  </w:footnote>
  <w:footnote w:type="continuationSeparator" w:id="0">
    <w:p w14:paraId="162411BE" w14:textId="77777777" w:rsidR="00593464" w:rsidRDefault="00FB4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1A"/>
    <w:rsid w:val="000D09EA"/>
    <w:rsid w:val="00593464"/>
    <w:rsid w:val="0086268F"/>
    <w:rsid w:val="00B73278"/>
    <w:rsid w:val="00D37354"/>
    <w:rsid w:val="00EC151A"/>
    <w:rsid w:val="00FB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113F"/>
  <w15:chartTrackingRefBased/>
  <w15:docId w15:val="{44CE7647-4C13-4BA8-962F-886B9C72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C151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aliases w:val="Chapter Headline,hoofdstuk,hfd,Hoofdkop,Hoofdkop1,Hoofdkop2,Hoofdkop11,Hoofdkop3,Hoofdkop12,Hoofdkop21,Hoofdkop111,Hoofdkop4,Hoofdkop13,Hoofdkop22,Hoofdkop112,Hoofdkop31,Hoofdkop121,Hoofdkop211,Hoofdkop1111,Hoofdkop5,Hoofdkop14,Hoofdkop23"/>
    <w:basedOn w:val="Standaard"/>
    <w:next w:val="Standaard"/>
    <w:link w:val="Kop1Char"/>
    <w:autoRedefine/>
    <w:uiPriority w:val="9"/>
    <w:qFormat/>
    <w:rsid w:val="00EC151A"/>
    <w:pPr>
      <w:keepNext/>
      <w:keepLines/>
      <w:spacing w:after="360" w:line="276" w:lineRule="auto"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Chapter Headline Char,hoofdstuk Char,hfd Char,Hoofdkop Char,Hoofdkop1 Char,Hoofdkop2 Char,Hoofdkop11 Char,Hoofdkop3 Char,Hoofdkop12 Char,Hoofdkop21 Char,Hoofdkop111 Char,Hoofdkop4 Char,Hoofdkop13 Char,Hoofdkop22 Char,Hoofdkop112 Char"/>
    <w:basedOn w:val="Standaardalinea-lettertype"/>
    <w:link w:val="Kop1"/>
    <w:uiPriority w:val="9"/>
    <w:rsid w:val="00EC151A"/>
    <w:rPr>
      <w:rFonts w:ascii="Tahoma" w:eastAsiaTheme="majorEastAsia" w:hAnsi="Tahoma" w:cstheme="majorBidi"/>
      <w:b/>
      <w:bCs/>
      <w:caps/>
      <w:color w:val="000000" w:themeColor="text1"/>
      <w:sz w:val="20"/>
      <w:szCs w:val="28"/>
      <w:lang w:eastAsia="nl-NL"/>
    </w:rPr>
  </w:style>
  <w:style w:type="paragraph" w:styleId="Voettekst">
    <w:name w:val="footer"/>
    <w:basedOn w:val="Standaard"/>
    <w:link w:val="VoettekstChar"/>
    <w:uiPriority w:val="99"/>
    <w:rsid w:val="00EC15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151A"/>
    <w:rPr>
      <w:rFonts w:ascii="Tahoma" w:eastAsia="Times New Roman" w:hAnsi="Tahoma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1CBC928347D4DAA2B5587C2D4D386" ma:contentTypeVersion="0" ma:contentTypeDescription="Een nieuw document maken." ma:contentTypeScope="" ma:versionID="cfa6a9a9f9eb8cd4cf602f6a6d0f18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B66B1-A78E-43FA-A991-3B9F231AB2B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D49F36-18BB-42E1-AFDF-BAD166F82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494086-2FDA-43B7-9248-6B332D4BC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Swinkels,Anita J.A.M.</dc:creator>
  <cp:keywords/>
  <dc:description/>
  <cp:lastModifiedBy>Swinkels,Anita J.A.M.</cp:lastModifiedBy>
  <cp:revision>2</cp:revision>
  <dcterms:created xsi:type="dcterms:W3CDTF">2017-03-14T16:02:00Z</dcterms:created>
  <dcterms:modified xsi:type="dcterms:W3CDTF">2017-03-14T16:02:00Z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0x010100F591CBC928347D4DAA2B5587C2D4D386</vt:lpwstr>
  </property>
</Properties>
</file>